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58CA" w14:textId="046BBC0C" w:rsidR="00625AA4" w:rsidRPr="009C0EA0" w:rsidRDefault="00625AA4" w:rsidP="00033006">
      <w:pPr>
        <w:pStyle w:val="Heading1-Statement"/>
      </w:pPr>
      <w:r w:rsidRPr="009C0EA0">
        <w:t xml:space="preserve">Statement 4: </w:t>
      </w:r>
      <w:r w:rsidR="00745ADA" w:rsidRPr="009C0EA0">
        <w:br/>
      </w:r>
      <w:r w:rsidR="008C6C43" w:rsidRPr="009C0EA0">
        <w:t>Meeting Australia</w:t>
      </w:r>
      <w:r w:rsidR="0004287B">
        <w:t>’</w:t>
      </w:r>
      <w:r w:rsidR="008C6C43" w:rsidRPr="009C0EA0">
        <w:t xml:space="preserve">s </w:t>
      </w:r>
      <w:r w:rsidR="000411C5" w:rsidRPr="009C0EA0">
        <w:t>Housing</w:t>
      </w:r>
      <w:r w:rsidR="008C6C43" w:rsidRPr="009C0EA0">
        <w:t xml:space="preserve"> Challenge</w:t>
      </w:r>
    </w:p>
    <w:p w14:paraId="478DA08F" w14:textId="39CDC6CB" w:rsidR="007E6D53" w:rsidRPr="009C0EA0" w:rsidRDefault="007E6D53" w:rsidP="00085B47">
      <w:r w:rsidRPr="009C0EA0">
        <w:t xml:space="preserve">Australia has a </w:t>
      </w:r>
      <w:r w:rsidR="008C6C43" w:rsidRPr="009C0EA0">
        <w:t xml:space="preserve">housing </w:t>
      </w:r>
      <w:r w:rsidRPr="009C0EA0">
        <w:t>shortage</w:t>
      </w:r>
      <w:r w:rsidR="00596EAE" w:rsidRPr="009C0EA0">
        <w:t xml:space="preserve">. </w:t>
      </w:r>
      <w:r w:rsidR="00AE63C7" w:rsidRPr="009C0EA0">
        <w:t xml:space="preserve">There are not enough homes being built in the right areas to meet the needs of </w:t>
      </w:r>
      <w:r w:rsidR="0038293B" w:rsidRPr="009C0EA0">
        <w:t>our</w:t>
      </w:r>
      <w:r w:rsidR="00AE63C7" w:rsidRPr="009C0EA0">
        <w:t xml:space="preserve"> </w:t>
      </w:r>
      <w:r w:rsidR="00233E93" w:rsidRPr="009C0EA0">
        <w:t>communities</w:t>
      </w:r>
      <w:r w:rsidR="00F84E8F" w:rsidRPr="009C0EA0">
        <w:t xml:space="preserve">. </w:t>
      </w:r>
      <w:r w:rsidRPr="009C0EA0">
        <w:t>This statement focuses on the reasons for the current undersupply of housing, how it affects affordability, and the changes required to more quickly unlock supply to meet the housing needs of all Australians. It also sets out how the Government</w:t>
      </w:r>
      <w:r w:rsidR="0004287B">
        <w:t>’</w:t>
      </w:r>
      <w:r w:rsidRPr="009C0EA0">
        <w:t>s policy respond</w:t>
      </w:r>
      <w:r w:rsidR="00FD56C3" w:rsidRPr="009C0EA0">
        <w:t>s</w:t>
      </w:r>
      <w:r w:rsidRPr="009C0EA0">
        <w:t xml:space="preserve"> to these drivers of undersupply</w:t>
      </w:r>
      <w:r w:rsidR="00D653DB">
        <w:t>.</w:t>
      </w:r>
    </w:p>
    <w:p w14:paraId="6338214D" w14:textId="1DDCAB7D" w:rsidR="00527475" w:rsidRPr="009C0EA0" w:rsidRDefault="00527475" w:rsidP="00085B47">
      <w:r w:rsidRPr="009C0EA0">
        <w:t>The Government is responding to build more homes for Australia. It has a $32 billion plan, including $6.2 billion of new initiatives in this Budget. It represents a long</w:t>
      </w:r>
      <w:r w:rsidR="0004287B">
        <w:noBreakHyphen/>
      </w:r>
      <w:r w:rsidRPr="009C0EA0">
        <w:t>term response to a complex structural challenge.</w:t>
      </w:r>
    </w:p>
    <w:p w14:paraId="3A655B98" w14:textId="6D268D97" w:rsidR="007A4666" w:rsidRPr="009C0EA0" w:rsidRDefault="007A4666" w:rsidP="00085B47">
      <w:r w:rsidRPr="009C0EA0">
        <w:t>Australia</w:t>
      </w:r>
      <w:r w:rsidR="0004287B">
        <w:t>’</w:t>
      </w:r>
      <w:r w:rsidRPr="009C0EA0">
        <w:t>s housing supply is low by international standards. Australia has among the lowest number of homes as a proportion of the population in the OECD</w:t>
      </w:r>
      <w:r w:rsidR="000C6B4B" w:rsidRPr="009C0EA0">
        <w:t xml:space="preserve">. </w:t>
      </w:r>
      <w:r w:rsidR="00842AF8" w:rsidRPr="009C0EA0">
        <w:t>Undersupp</w:t>
      </w:r>
      <w:r w:rsidR="00506BDB" w:rsidRPr="009C0EA0">
        <w:t xml:space="preserve">ly </w:t>
      </w:r>
      <w:r w:rsidR="00D47431" w:rsidRPr="009C0EA0">
        <w:t>is</w:t>
      </w:r>
      <w:r w:rsidRPr="009C0EA0">
        <w:t xml:space="preserve"> a key factor that has driven increases in rents, mortgage repayments and house prices. </w:t>
      </w:r>
    </w:p>
    <w:p w14:paraId="322CAD50" w14:textId="37D55711" w:rsidR="00C76727" w:rsidRPr="009C0EA0" w:rsidRDefault="00802EE9" w:rsidP="00C76727">
      <w:r w:rsidRPr="009C0EA0">
        <w:t>Australia</w:t>
      </w:r>
      <w:r w:rsidR="0004287B">
        <w:t>’</w:t>
      </w:r>
      <w:r w:rsidRPr="009C0EA0">
        <w:t xml:space="preserve">s housing system </w:t>
      </w:r>
      <w:r w:rsidR="002F6B53" w:rsidRPr="009C0EA0">
        <w:t xml:space="preserve">has been too slow to respond to demand. </w:t>
      </w:r>
      <w:r w:rsidR="00F35FC2" w:rsidRPr="009C0EA0">
        <w:t xml:space="preserve">The causes of this are </w:t>
      </w:r>
      <w:permStart w:id="1944404868" w:ed="treasury.gov.au\ben.robinson"/>
      <w:permEnd w:id="1944404868"/>
      <w:r w:rsidR="00F35FC2" w:rsidRPr="009C0EA0">
        <w:t>multifaceted</w:t>
      </w:r>
      <w:r w:rsidR="007C52FF" w:rsidRPr="009C0EA0">
        <w:t>,</w:t>
      </w:r>
      <w:r w:rsidR="00F35FC2" w:rsidRPr="009C0EA0">
        <w:t xml:space="preserve"> complex</w:t>
      </w:r>
      <w:r w:rsidR="007C52FF" w:rsidRPr="009C0EA0">
        <w:t xml:space="preserve"> and</w:t>
      </w:r>
      <w:r w:rsidR="00BF59C7" w:rsidRPr="009C0EA0">
        <w:t xml:space="preserve"> </w:t>
      </w:r>
      <w:r w:rsidR="001937C2" w:rsidRPr="009C0EA0">
        <w:t>affect</w:t>
      </w:r>
      <w:r w:rsidR="00C76727" w:rsidRPr="009C0EA0">
        <w:t xml:space="preserve"> all stages of the housing construction process, </w:t>
      </w:r>
      <w:r w:rsidR="001937C2" w:rsidRPr="009C0EA0">
        <w:t>including</w:t>
      </w:r>
      <w:r w:rsidR="00C76727" w:rsidRPr="009C0EA0">
        <w:t xml:space="preserve"> all levels of government a</w:t>
      </w:r>
      <w:r w:rsidR="00D41AD2" w:rsidRPr="009C0EA0">
        <w:t>nd</w:t>
      </w:r>
      <w:r w:rsidR="00C76727" w:rsidRPr="009C0EA0">
        <w:t xml:space="preserve"> industry.</w:t>
      </w:r>
      <w:r w:rsidR="009C50B0" w:rsidRPr="009C0EA0">
        <w:t xml:space="preserve"> </w:t>
      </w:r>
      <w:r w:rsidR="00C76727" w:rsidRPr="009C0EA0">
        <w:t xml:space="preserve">Planning and zoning and land release practices </w:t>
      </w:r>
      <w:r w:rsidR="00F35890" w:rsidRPr="009C0EA0">
        <w:t xml:space="preserve">are </w:t>
      </w:r>
      <w:r w:rsidR="00C76727" w:rsidRPr="009C0EA0">
        <w:t xml:space="preserve">often </w:t>
      </w:r>
      <w:r w:rsidR="00F35890" w:rsidRPr="009C0EA0">
        <w:t>slow</w:t>
      </w:r>
      <w:r w:rsidR="00C76727" w:rsidRPr="009C0EA0">
        <w:t xml:space="preserve"> and are not </w:t>
      </w:r>
      <w:r w:rsidR="00FD1BF8" w:rsidRPr="009C0EA0">
        <w:t>effectively</w:t>
      </w:r>
      <w:r w:rsidR="00C76727" w:rsidRPr="009C0EA0">
        <w:t xml:space="preserve"> factoring in urgent need for housing in </w:t>
      </w:r>
      <w:r w:rsidR="0020268B" w:rsidRPr="009C0EA0">
        <w:t xml:space="preserve">suburban </w:t>
      </w:r>
      <w:r w:rsidR="00C76727" w:rsidRPr="009C0EA0">
        <w:t xml:space="preserve">areas. </w:t>
      </w:r>
      <w:r w:rsidR="009627BA" w:rsidRPr="009C0EA0">
        <w:t>Industry</w:t>
      </w:r>
      <w:r w:rsidR="0004287B">
        <w:t>’</w:t>
      </w:r>
      <w:r w:rsidR="009627BA" w:rsidRPr="009C0EA0">
        <w:t>s capacity to add new supply has been</w:t>
      </w:r>
      <w:r w:rsidR="00D90AE5" w:rsidRPr="009C0EA0">
        <w:t xml:space="preserve"> </w:t>
      </w:r>
      <w:r w:rsidR="00A86182" w:rsidRPr="009C0EA0">
        <w:t>hampered by a</w:t>
      </w:r>
      <w:r w:rsidR="00302832" w:rsidRPr="009C0EA0">
        <w:t xml:space="preserve"> l</w:t>
      </w:r>
      <w:r w:rsidR="00C76727" w:rsidRPr="009C0EA0">
        <w:t xml:space="preserve">ack of essential infrastructure </w:t>
      </w:r>
      <w:r w:rsidR="00702926" w:rsidRPr="009C0EA0">
        <w:t>in greenfield</w:t>
      </w:r>
      <w:r w:rsidR="00F35032" w:rsidRPr="009C0EA0">
        <w:t xml:space="preserve"> developments, a </w:t>
      </w:r>
      <w:r w:rsidR="00C76727" w:rsidRPr="009C0EA0">
        <w:t>critical shortage of skilled labour</w:t>
      </w:r>
      <w:r w:rsidR="00C60FE6" w:rsidRPr="009C0EA0">
        <w:t xml:space="preserve"> </w:t>
      </w:r>
      <w:r w:rsidR="00F35032" w:rsidRPr="009C0EA0">
        <w:t xml:space="preserve">and </w:t>
      </w:r>
      <w:r w:rsidR="00123F2D" w:rsidRPr="009C0EA0">
        <w:t xml:space="preserve">falling </w:t>
      </w:r>
      <w:r w:rsidR="00F35032" w:rsidRPr="009C0EA0">
        <w:t>productivity in the sector</w:t>
      </w:r>
      <w:r w:rsidR="00C76727" w:rsidRPr="009C0EA0">
        <w:t>. At the same time</w:t>
      </w:r>
      <w:r w:rsidR="00AE55B6" w:rsidRPr="009C0EA0">
        <w:t>, there has been a long</w:t>
      </w:r>
      <w:r w:rsidR="0004287B">
        <w:noBreakHyphen/>
      </w:r>
      <w:r w:rsidR="00AE55B6" w:rsidRPr="009C0EA0">
        <w:t>term, chronic</w:t>
      </w:r>
      <w:r w:rsidR="00BE7828" w:rsidRPr="009C0EA0">
        <w:t xml:space="preserve"> under</w:t>
      </w:r>
      <w:r w:rsidR="0004287B">
        <w:noBreakHyphen/>
      </w:r>
      <w:r w:rsidR="00BE7828" w:rsidRPr="009C0EA0">
        <w:t>investment</w:t>
      </w:r>
      <w:r w:rsidR="00C76727" w:rsidRPr="009C0EA0">
        <w:t xml:space="preserve"> in social housing.</w:t>
      </w:r>
    </w:p>
    <w:p w14:paraId="7701A5EF" w14:textId="76106FF4" w:rsidR="00C76727" w:rsidRPr="009C0EA0" w:rsidRDefault="005E5D95" w:rsidP="00085B47">
      <w:r w:rsidRPr="009C0EA0">
        <w:t>Higher interest rates have added to Australians</w:t>
      </w:r>
      <w:r w:rsidR="0004287B">
        <w:t>’</w:t>
      </w:r>
      <w:r w:rsidRPr="009C0EA0">
        <w:t xml:space="preserve"> cost of living, </w:t>
      </w:r>
      <w:r w:rsidR="00BC1DB2" w:rsidRPr="009C0EA0">
        <w:t>particularly</w:t>
      </w:r>
      <w:r w:rsidRPr="009C0EA0">
        <w:t xml:space="preserve"> through higher mortgage repayments. Supply chain bottlenecks flowing from the COVID</w:t>
      </w:r>
      <w:r w:rsidR="0004287B">
        <w:noBreakHyphen/>
      </w:r>
      <w:r w:rsidRPr="009C0EA0">
        <w:t xml:space="preserve">19 pandemic and higher costs of construction and finance have contributed to making new housing supply more expensive, limiting how quickly homes can be built. </w:t>
      </w:r>
    </w:p>
    <w:p w14:paraId="10F3547F" w14:textId="1EFE0096" w:rsidR="00205C7B" w:rsidRPr="00B35D17" w:rsidRDefault="00205C7B" w:rsidP="00085B47">
      <w:r w:rsidRPr="009C0EA0">
        <w:t>Fixing supply and improving affordability will require concerted, cooperative and substantive efforts from all levels of government. The Government has a plan to increase supply, fund more social homes, better support renters</w:t>
      </w:r>
      <w:r w:rsidR="00AF06B3" w:rsidRPr="009C0EA0">
        <w:t xml:space="preserve">, </w:t>
      </w:r>
      <w:r w:rsidRPr="009C0EA0">
        <w:t>provide a pathway to home ownership</w:t>
      </w:r>
      <w:r w:rsidR="00AF06B3" w:rsidRPr="009C0EA0">
        <w:t xml:space="preserve"> and double </w:t>
      </w:r>
      <w:r w:rsidR="00654461" w:rsidRPr="009C0EA0">
        <w:t xml:space="preserve">its dedicated </w:t>
      </w:r>
      <w:r w:rsidR="00AF06B3" w:rsidRPr="009C0EA0">
        <w:t>funding for homelessness</w:t>
      </w:r>
      <w:r w:rsidR="007E0641" w:rsidRPr="009C0EA0">
        <w:t xml:space="preserve"> services</w:t>
      </w:r>
      <w:r w:rsidRPr="009C0EA0">
        <w:t xml:space="preserve">. </w:t>
      </w:r>
    </w:p>
    <w:p w14:paraId="1132FD3B" w14:textId="6506A05C" w:rsidR="00CA6A6A" w:rsidRPr="009C0EA0" w:rsidRDefault="00CA6A6A" w:rsidP="00085B47">
      <w:r w:rsidRPr="009C0EA0">
        <w:t>In recognition of the national leadership needed to address Australia</w:t>
      </w:r>
      <w:r w:rsidR="0004287B">
        <w:t>’</w:t>
      </w:r>
      <w:r w:rsidRPr="009C0EA0">
        <w:t>s housing supply challenges, the Government agree</w:t>
      </w:r>
      <w:r w:rsidR="005D5439" w:rsidRPr="009C0EA0">
        <w:t xml:space="preserve">d </w:t>
      </w:r>
      <w:r w:rsidRPr="009C0EA0">
        <w:t>with states, local government, industry and investors to deliver 1</w:t>
      </w:r>
      <w:r w:rsidR="005D5439" w:rsidRPr="009C0EA0">
        <w:t>.2</w:t>
      </w:r>
      <w:r w:rsidR="00536DAD" w:rsidRPr="009C0EA0">
        <w:t> million</w:t>
      </w:r>
      <w:r w:rsidRPr="009C0EA0">
        <w:t xml:space="preserve"> new, well</w:t>
      </w:r>
      <w:r w:rsidR="0004287B">
        <w:noBreakHyphen/>
      </w:r>
      <w:r w:rsidRPr="009C0EA0">
        <w:t>located homes in the five years to 30</w:t>
      </w:r>
      <w:r w:rsidR="00536DAD" w:rsidRPr="009C0EA0">
        <w:t> June </w:t>
      </w:r>
      <w:r w:rsidRPr="009C0EA0">
        <w:t>2029</w:t>
      </w:r>
      <w:r w:rsidR="00B8259B" w:rsidRPr="009C0EA0">
        <w:t xml:space="preserve"> through the National Housing Accord</w:t>
      </w:r>
      <w:r w:rsidR="007D4775" w:rsidRPr="009C0EA0">
        <w:t xml:space="preserve"> (the Accord)</w:t>
      </w:r>
      <w:r w:rsidR="00B8259B" w:rsidRPr="009C0EA0">
        <w:t>. This is being</w:t>
      </w:r>
      <w:r w:rsidR="00275D97" w:rsidRPr="009C0EA0">
        <w:t xml:space="preserve"> </w:t>
      </w:r>
      <w:r w:rsidRPr="009C0EA0">
        <w:t>supported by $3</w:t>
      </w:r>
      <w:r w:rsidR="00536DAD" w:rsidRPr="009C0EA0">
        <w:t> billion</w:t>
      </w:r>
      <w:r w:rsidRPr="009C0EA0">
        <w:t xml:space="preserve"> in incentive payments to the states</w:t>
      </w:r>
      <w:r w:rsidR="00AF2312" w:rsidRPr="009C0EA0">
        <w:t>,</w:t>
      </w:r>
      <w:r w:rsidR="00A7127B" w:rsidRPr="009C0EA0">
        <w:t xml:space="preserve"> and other investments</w:t>
      </w:r>
      <w:r w:rsidRPr="009C0EA0">
        <w:t>. This substantial commitment would be the equivalent of adding a city around the size of Brisbane to Australia</w:t>
      </w:r>
      <w:r w:rsidR="0004287B">
        <w:t>’</w:t>
      </w:r>
      <w:r w:rsidRPr="009C0EA0">
        <w:t xml:space="preserve">s housing supply. </w:t>
      </w:r>
    </w:p>
    <w:p w14:paraId="6C297FF8" w14:textId="4DB23EDA" w:rsidR="00CA6A6A" w:rsidRPr="009C0EA0" w:rsidRDefault="00CA6A6A" w:rsidP="00085B47">
      <w:r w:rsidRPr="009C0EA0">
        <w:t xml:space="preserve">The National Housing Supply and Affordability Council has found the target is suitably ambitious to help galvanise stakeholders into action. </w:t>
      </w:r>
      <w:r w:rsidR="00C71826" w:rsidRPr="009C0EA0">
        <w:t xml:space="preserve">But it can be </w:t>
      </w:r>
      <w:r w:rsidRPr="009C0EA0">
        <w:t>achieved with</w:t>
      </w:r>
      <w:r w:rsidR="007104ED" w:rsidRPr="009C0EA0">
        <w:t xml:space="preserve"> </w:t>
      </w:r>
      <w:r w:rsidRPr="009C0EA0">
        <w:t xml:space="preserve">early, and sustained, policy effort from all levels of government. It requires a significant uplift in the </w:t>
      </w:r>
      <w:r w:rsidRPr="009C0EA0">
        <w:lastRenderedPageBreak/>
        <w:t>number of homes built in every state and territory. Governments will need to work quickly to identify and clear roadblocks to new supply and ensure homebuyers</w:t>
      </w:r>
      <w:r w:rsidR="00C4365C" w:rsidRPr="009C0EA0">
        <w:t xml:space="preserve"> and renters</w:t>
      </w:r>
      <w:r w:rsidRPr="009C0EA0">
        <w:t xml:space="preserve"> are able to buy </w:t>
      </w:r>
      <w:r w:rsidR="00C4365C" w:rsidRPr="009C0EA0">
        <w:t>or rent</w:t>
      </w:r>
      <w:r w:rsidRPr="009C0EA0">
        <w:t xml:space="preserve"> new housing where they want to live. </w:t>
      </w:r>
    </w:p>
    <w:p w14:paraId="0F1F4E80" w14:textId="526355DE" w:rsidR="00CA6A6A" w:rsidRPr="009C0EA0" w:rsidRDefault="006A5436" w:rsidP="00085B47">
      <w:r w:rsidRPr="009C0EA0">
        <w:t>Addressing undersupply</w:t>
      </w:r>
      <w:r w:rsidR="00CA6A6A" w:rsidRPr="009C0EA0">
        <w:t xml:space="preserve"> requires more than continued expansion of housing </w:t>
      </w:r>
      <w:r w:rsidR="007B08D6" w:rsidRPr="009C0EA0">
        <w:t>in</w:t>
      </w:r>
      <w:r w:rsidR="00CA6A6A" w:rsidRPr="009C0EA0">
        <w:t xml:space="preserve"> </w:t>
      </w:r>
      <w:r w:rsidR="007B08D6" w:rsidRPr="009C0EA0">
        <w:t>outer suburbs</w:t>
      </w:r>
      <w:r w:rsidR="003750DC" w:rsidRPr="009C0EA0">
        <w:t>.</w:t>
      </w:r>
      <w:r w:rsidR="00CA6A6A" w:rsidRPr="009C0EA0">
        <w:t xml:space="preserve"> State, territory and local governments will need to focus on rebuilding the </w:t>
      </w:r>
      <w:r w:rsidR="0004287B">
        <w:t>‘</w:t>
      </w:r>
      <w:r w:rsidR="00CA6A6A" w:rsidRPr="009C0EA0">
        <w:t>missing middle</w:t>
      </w:r>
      <w:r w:rsidR="0004287B">
        <w:t>’</w:t>
      </w:r>
      <w:r w:rsidR="00CA6A6A" w:rsidRPr="009C0EA0">
        <w:t xml:space="preserve"> in Australia</w:t>
      </w:r>
      <w:r w:rsidR="0004287B">
        <w:t>’</w:t>
      </w:r>
      <w:r w:rsidR="00CA6A6A" w:rsidRPr="009C0EA0">
        <w:t>s cities – delivering more medium and high</w:t>
      </w:r>
      <w:r w:rsidR="0004287B">
        <w:noBreakHyphen/>
      </w:r>
      <w:r w:rsidR="00CA6A6A" w:rsidRPr="009C0EA0">
        <w:t xml:space="preserve">density housing where infrastructure, transport, jobs, education and community amenities already exist. Regional areas need new approaches to supplying housing. This is needed to break the cycle of housing </w:t>
      </w:r>
      <w:r w:rsidR="0027410C" w:rsidRPr="009C0EA0">
        <w:t xml:space="preserve">shortages </w:t>
      </w:r>
      <w:r w:rsidR="00CA6A6A" w:rsidRPr="009C0EA0">
        <w:t>making it difficult to attract the skills and labour – including construction labour –</w:t>
      </w:r>
      <w:r w:rsidR="001B79B7" w:rsidRPr="009C0EA0">
        <w:t xml:space="preserve"> </w:t>
      </w:r>
      <w:r w:rsidR="00CA6A6A" w:rsidRPr="009C0EA0">
        <w:t xml:space="preserve">to support and sustain vital towns and regions. </w:t>
      </w:r>
    </w:p>
    <w:p w14:paraId="3F132C4A" w14:textId="32B2B887" w:rsidR="00CA6A6A" w:rsidRPr="00B35D17" w:rsidRDefault="00CA6A6A" w:rsidP="00085B47">
      <w:r w:rsidRPr="009C0EA0">
        <w:t>As part of the Government</w:t>
      </w:r>
      <w:r w:rsidR="0004287B">
        <w:t>’</w:t>
      </w:r>
      <w:r w:rsidRPr="009C0EA0">
        <w:t>s commitment to this target, $1.5</w:t>
      </w:r>
      <w:r w:rsidR="00536DAD" w:rsidRPr="009C0EA0">
        <w:t> billion</w:t>
      </w:r>
      <w:r w:rsidRPr="009C0EA0">
        <w:t xml:space="preserve"> will be </w:t>
      </w:r>
      <w:r w:rsidR="007B705D" w:rsidRPr="009C0EA0">
        <w:t xml:space="preserve">made available </w:t>
      </w:r>
      <w:r w:rsidRPr="009C0EA0">
        <w:t>to the states and territories</w:t>
      </w:r>
      <w:r w:rsidR="00A1114D" w:rsidRPr="009C0EA0">
        <w:t>, including $1</w:t>
      </w:r>
      <w:r w:rsidR="00536DAD" w:rsidRPr="009C0EA0">
        <w:t> billion</w:t>
      </w:r>
      <w:r w:rsidR="00A1114D" w:rsidRPr="009C0EA0">
        <w:t xml:space="preserve"> through </w:t>
      </w:r>
      <w:r w:rsidR="00D92465" w:rsidRPr="009C0EA0">
        <w:t>the Budget</w:t>
      </w:r>
      <w:r w:rsidR="00384E8A" w:rsidRPr="009C0EA0">
        <w:t>,</w:t>
      </w:r>
      <w:r w:rsidRPr="009C0EA0">
        <w:t xml:space="preserve"> to help clear infrastructure bottlenecks delaying the construction of new housing. This support, coupled with the work underway through </w:t>
      </w:r>
      <w:r w:rsidR="00D23E64" w:rsidRPr="009C0EA0">
        <w:t>National Cabinet</w:t>
      </w:r>
      <w:r w:rsidR="0004287B">
        <w:t>’</w:t>
      </w:r>
      <w:r w:rsidR="00D23E64" w:rsidRPr="009C0EA0">
        <w:t>s</w:t>
      </w:r>
      <w:r w:rsidRPr="009C0EA0">
        <w:t xml:space="preserve"> Planning Reform Blueprint, provides the mechanism for states and territories to address structural inefficiencies in the planning, zoning and land release systems that prevent the market from responding more efficiently to demand. The Government is also investing $</w:t>
      </w:r>
      <w:r w:rsidR="00802F7B" w:rsidRPr="009C0EA0">
        <w:t>88.8</w:t>
      </w:r>
      <w:r w:rsidR="00536DAD" w:rsidRPr="009C0EA0">
        <w:t> million</w:t>
      </w:r>
      <w:r w:rsidRPr="009C0EA0">
        <w:t xml:space="preserve"> </w:t>
      </w:r>
      <w:r w:rsidR="00910006" w:rsidRPr="009C0EA0">
        <w:t xml:space="preserve">in the Budget </w:t>
      </w:r>
      <w:r w:rsidRPr="009C0EA0">
        <w:t>to train more construction workers to help build more homes more quickly</w:t>
      </w:r>
      <w:r w:rsidR="0004287B">
        <w:t xml:space="preserve">. </w:t>
      </w:r>
    </w:p>
    <w:p w14:paraId="5D96D7AA" w14:textId="64644DA8" w:rsidR="00CA6A6A" w:rsidRPr="009C0EA0" w:rsidRDefault="00CA6A6A" w:rsidP="00085B47">
      <w:r w:rsidRPr="009C0EA0">
        <w:t>The Government is supplementing this long</w:t>
      </w:r>
      <w:r w:rsidR="0004287B">
        <w:noBreakHyphen/>
      </w:r>
      <w:r w:rsidRPr="009C0EA0">
        <w:t xml:space="preserve">term structural reform with increased support for those who need it most. </w:t>
      </w:r>
      <w:r w:rsidR="006E2AB1" w:rsidRPr="009C0EA0">
        <w:t>Low vacancy rates and falling numbers of rental properties</w:t>
      </w:r>
      <w:r w:rsidR="008A1C2C" w:rsidRPr="009C0EA0">
        <w:t xml:space="preserve"> </w:t>
      </w:r>
      <w:r w:rsidR="006E2AB1" w:rsidRPr="009C0EA0">
        <w:t>have placed pressure on rental prices</w:t>
      </w:r>
      <w:r w:rsidR="004D02CF" w:rsidRPr="009C0EA0">
        <w:t xml:space="preserve"> over time; while</w:t>
      </w:r>
      <w:r w:rsidR="006E2AB1" w:rsidRPr="009C0EA0">
        <w:t xml:space="preserve"> lower income earners have less capacity to absorb higher prices. That is why </w:t>
      </w:r>
      <w:r w:rsidRPr="009C0EA0">
        <w:t xml:space="preserve">the Government is increasing Commonwealth Rent Assistance (CRA) as part of this Budget, in addition to the </w:t>
      </w:r>
      <w:r w:rsidR="00DC17CA" w:rsidRPr="009C0EA0">
        <w:t>increase in last year</w:t>
      </w:r>
      <w:r w:rsidR="0004287B">
        <w:t>’</w:t>
      </w:r>
      <w:r w:rsidR="00DC17CA" w:rsidRPr="009C0EA0">
        <w:t>s Budget</w:t>
      </w:r>
      <w:r w:rsidRPr="009C0EA0">
        <w:t xml:space="preserve">. </w:t>
      </w:r>
      <w:r w:rsidR="00B56341" w:rsidRPr="009C0EA0">
        <w:t>Because of these increases and indexation, maximum rates of CRA will be 40 per cent higher than they were in May 2022 which will benefit up to 1 million households.</w:t>
      </w:r>
    </w:p>
    <w:p w14:paraId="7EDC8B37" w14:textId="07288084" w:rsidR="00CA6A6A" w:rsidRPr="009C0EA0" w:rsidRDefault="00CA6A6A" w:rsidP="00085B47">
      <w:r w:rsidRPr="009C0EA0">
        <w:t xml:space="preserve">The Government has committed to an unprecedented program to </w:t>
      </w:r>
      <w:r w:rsidR="003F38E2" w:rsidRPr="009C0EA0">
        <w:t xml:space="preserve">support an </w:t>
      </w:r>
      <w:r w:rsidRPr="009C0EA0">
        <w:t xml:space="preserve">increase </w:t>
      </w:r>
      <w:r w:rsidR="00F75B90" w:rsidRPr="009C0EA0">
        <w:t xml:space="preserve">in </w:t>
      </w:r>
      <w:r w:rsidRPr="009C0EA0">
        <w:t>the supply of social and affordable housing</w:t>
      </w:r>
      <w:r w:rsidR="00F75B90" w:rsidRPr="009C0EA0">
        <w:t xml:space="preserve"> by around 55,000 homes</w:t>
      </w:r>
      <w:r w:rsidRPr="009C0EA0">
        <w:t xml:space="preserve"> through the Accord</w:t>
      </w:r>
      <w:r w:rsidR="00BF5E80" w:rsidRPr="009C0EA0">
        <w:t>,</w:t>
      </w:r>
      <w:r w:rsidR="000020F8" w:rsidRPr="009C0EA0">
        <w:t xml:space="preserve"> </w:t>
      </w:r>
      <w:r w:rsidRPr="009C0EA0">
        <w:t>the Housing Australia Future Fund</w:t>
      </w:r>
      <w:r w:rsidR="00BF5E80" w:rsidRPr="009C0EA0">
        <w:t>,</w:t>
      </w:r>
      <w:r w:rsidRPr="009C0EA0">
        <w:t xml:space="preserve"> the Social Housing Accelerator </w:t>
      </w:r>
      <w:r w:rsidR="004C17F7" w:rsidRPr="009C0EA0">
        <w:t>Payment</w:t>
      </w:r>
      <w:r w:rsidR="00345EC5" w:rsidRPr="009C0EA0">
        <w:t xml:space="preserve"> and other Housing Australia programs</w:t>
      </w:r>
      <w:r w:rsidR="0004287B">
        <w:t xml:space="preserve">. </w:t>
      </w:r>
      <w:r w:rsidR="00AA2A79" w:rsidRPr="009C0EA0">
        <w:t xml:space="preserve">New investment in this Budget includes $423.1 million in additional funding offered for the new </w:t>
      </w:r>
      <w:r w:rsidR="00F507B9" w:rsidRPr="009C0EA0">
        <w:t>$9.3</w:t>
      </w:r>
      <w:r w:rsidR="00536DAD" w:rsidRPr="009C0EA0">
        <w:t> billion</w:t>
      </w:r>
      <w:r w:rsidR="00F507B9" w:rsidRPr="009C0EA0">
        <w:t xml:space="preserve"> </w:t>
      </w:r>
      <w:r w:rsidR="00F860EA" w:rsidRPr="009C0EA0">
        <w:t>five</w:t>
      </w:r>
      <w:r w:rsidR="0004287B">
        <w:noBreakHyphen/>
      </w:r>
      <w:r w:rsidR="00F507B9" w:rsidRPr="009C0EA0">
        <w:t>year funding agreement to deliver social housing and homelessness services.</w:t>
      </w:r>
      <w:r w:rsidR="000020F8" w:rsidRPr="009C0EA0">
        <w:t xml:space="preserve"> </w:t>
      </w:r>
      <w:r w:rsidRPr="009C0EA0">
        <w:t xml:space="preserve">The Government has </w:t>
      </w:r>
      <w:r w:rsidR="004821D0" w:rsidRPr="009C0EA0">
        <w:t>already</w:t>
      </w:r>
      <w:r w:rsidR="009B2501" w:rsidRPr="009C0EA0">
        <w:t xml:space="preserve"> </w:t>
      </w:r>
      <w:r w:rsidRPr="009C0EA0">
        <w:t xml:space="preserve">helped </w:t>
      </w:r>
      <w:r w:rsidR="00681DB1" w:rsidRPr="009C0EA0">
        <w:t xml:space="preserve">more than </w:t>
      </w:r>
      <w:r w:rsidRPr="009C0EA0">
        <w:t>11</w:t>
      </w:r>
      <w:r w:rsidR="00681DB1" w:rsidRPr="009C0EA0">
        <w:t>0</w:t>
      </w:r>
      <w:r w:rsidRPr="009C0EA0">
        <w:t>,000 low</w:t>
      </w:r>
      <w:r w:rsidR="0004287B">
        <w:noBreakHyphen/>
      </w:r>
      <w:r w:rsidRPr="009C0EA0">
        <w:t xml:space="preserve"> to middle</w:t>
      </w:r>
      <w:r w:rsidR="0004287B">
        <w:noBreakHyphen/>
      </w:r>
      <w:r w:rsidRPr="009C0EA0">
        <w:t>income Australians overcome the deposit hurdle to get into home ownership</w:t>
      </w:r>
      <w:r w:rsidR="00651AF9" w:rsidRPr="009C0EA0">
        <w:t xml:space="preserve"> </w:t>
      </w:r>
      <w:r w:rsidR="009B2501" w:rsidRPr="009C0EA0">
        <w:t>and</w:t>
      </w:r>
      <w:r w:rsidRPr="009C0EA0">
        <w:t xml:space="preserve"> </w:t>
      </w:r>
      <w:r w:rsidR="00193ED9" w:rsidRPr="009C0EA0">
        <w:t>will help more</w:t>
      </w:r>
      <w:r w:rsidR="00651AF9" w:rsidRPr="009C0EA0">
        <w:t xml:space="preserve"> through </w:t>
      </w:r>
      <w:r w:rsidR="00A1324F" w:rsidRPr="009C0EA0">
        <w:t xml:space="preserve">the </w:t>
      </w:r>
      <w:r w:rsidR="00604D9F" w:rsidRPr="009C0EA0">
        <w:t>expansion of</w:t>
      </w:r>
      <w:r w:rsidR="001E5E85" w:rsidRPr="009C0EA0">
        <w:t xml:space="preserve"> the Home Guarantee Scheme</w:t>
      </w:r>
      <w:r w:rsidR="00604D9F" w:rsidRPr="009C0EA0">
        <w:t xml:space="preserve"> and</w:t>
      </w:r>
      <w:r w:rsidR="001E5E85" w:rsidRPr="009C0EA0">
        <w:t xml:space="preserve"> </w:t>
      </w:r>
      <w:r w:rsidR="00A1324F" w:rsidRPr="009C0EA0">
        <w:t xml:space="preserve">the new </w:t>
      </w:r>
      <w:r w:rsidR="00651AF9" w:rsidRPr="009C0EA0">
        <w:t>Help to Buy</w:t>
      </w:r>
      <w:r w:rsidR="00A1324F" w:rsidRPr="009C0EA0">
        <w:t xml:space="preserve"> program</w:t>
      </w:r>
      <w:r w:rsidR="0004287B">
        <w:t xml:space="preserve">. </w:t>
      </w:r>
    </w:p>
    <w:p w14:paraId="3C0535F0" w14:textId="023F8090" w:rsidR="004943B7" w:rsidRDefault="00CA6A6A" w:rsidP="00805E41">
      <w:pPr>
        <w:sectPr w:rsidR="004943B7" w:rsidSect="0009084D">
          <w:headerReference w:type="even" r:id="rId11"/>
          <w:headerReference w:type="default" r:id="rId12"/>
          <w:footerReference w:type="even" r:id="rId13"/>
          <w:footerReference w:type="default" r:id="rId14"/>
          <w:footerReference w:type="first" r:id="rId15"/>
          <w:type w:val="oddPage"/>
          <w:pgSz w:w="11906" w:h="16838" w:code="9"/>
          <w:pgMar w:top="2835" w:right="2098" w:bottom="2466" w:left="2098" w:header="1814" w:footer="1814" w:gutter="0"/>
          <w:pgNumType w:start="121"/>
          <w:cols w:space="708"/>
          <w:titlePg/>
          <w:docGrid w:linePitch="360"/>
        </w:sectPr>
      </w:pPr>
      <w:r w:rsidRPr="009C0EA0">
        <w:t>Collectively, the Government</w:t>
      </w:r>
      <w:r w:rsidR="0004287B">
        <w:t>’</w:t>
      </w:r>
      <w:r w:rsidRPr="009C0EA0">
        <w:t>s plan to meet Australia</w:t>
      </w:r>
      <w:r w:rsidR="0004287B">
        <w:t>’</w:t>
      </w:r>
      <w:r w:rsidRPr="009C0EA0">
        <w:t xml:space="preserve">s housing challenge goes to the heart of problems with structural undersupply, underinvestment in social and affordable housing, fairness for renters and barriers to home ownership. </w:t>
      </w:r>
    </w:p>
    <w:p w14:paraId="335DB463" w14:textId="271FC823" w:rsidR="00625AA4" w:rsidRPr="00B35D17" w:rsidRDefault="00625AA4" w:rsidP="00F157F9">
      <w:pPr>
        <w:pStyle w:val="ContentsHeading"/>
      </w:pPr>
      <w:r w:rsidRPr="00085B47">
        <w:lastRenderedPageBreak/>
        <w:t>Statement</w:t>
      </w:r>
      <w:r w:rsidRPr="00B35D17">
        <w:t xml:space="preserve"> contents</w:t>
      </w:r>
    </w:p>
    <w:p w14:paraId="502F72CD" w14:textId="155B107C" w:rsidR="00706ACF" w:rsidRDefault="00276306">
      <w:pPr>
        <w:pStyle w:val="TOC1"/>
        <w:rPr>
          <w:rFonts w:asciiTheme="minorHAnsi" w:eastAsiaTheme="minorEastAsia" w:hAnsiTheme="minorHAnsi" w:cstheme="minorBidi"/>
          <w:b w:val="0"/>
          <w:noProof/>
          <w:kern w:val="2"/>
          <w:sz w:val="22"/>
          <w:szCs w:val="22"/>
          <w14:ligatures w14:val="standardContextual"/>
        </w:rPr>
      </w:pPr>
      <w:r>
        <w:rPr>
          <w:rFonts w:cstheme="minorHAnsi"/>
          <w:b w:val="0"/>
          <w:noProof/>
          <w:lang w:val="en-US"/>
        </w:rPr>
        <w:fldChar w:fldCharType="begin"/>
      </w:r>
      <w:r>
        <w:rPr>
          <w:rFonts w:cstheme="minorHAnsi"/>
          <w:b w:val="0"/>
          <w:noProof/>
          <w:lang w:val="en-US"/>
        </w:rPr>
        <w:instrText xml:space="preserve"> TOC \h \z \t "Heading 1,1,Heading 2,1,Heading 3,2" </w:instrText>
      </w:r>
      <w:r>
        <w:rPr>
          <w:rFonts w:cstheme="minorHAnsi"/>
          <w:b w:val="0"/>
          <w:noProof/>
          <w:lang w:val="en-US"/>
        </w:rPr>
        <w:fldChar w:fldCharType="separate"/>
      </w:r>
      <w:hyperlink w:anchor="_Toc166355536" w:history="1">
        <w:r w:rsidR="00706ACF" w:rsidRPr="003A402B">
          <w:rPr>
            <w:rStyle w:val="Hyperlink"/>
            <w:noProof/>
          </w:rPr>
          <w:t>Statement 4: Meeting Australia’s Housing Challenge</w:t>
        </w:r>
        <w:r w:rsidR="00706ACF">
          <w:rPr>
            <w:noProof/>
            <w:webHidden/>
          </w:rPr>
          <w:tab/>
        </w:r>
        <w:r w:rsidR="00706ACF">
          <w:rPr>
            <w:noProof/>
            <w:webHidden/>
          </w:rPr>
          <w:fldChar w:fldCharType="begin"/>
        </w:r>
        <w:r w:rsidR="00706ACF">
          <w:rPr>
            <w:noProof/>
            <w:webHidden/>
          </w:rPr>
          <w:instrText xml:space="preserve"> PAGEREF _Toc166355536 \h </w:instrText>
        </w:r>
        <w:r w:rsidR="00706ACF">
          <w:rPr>
            <w:noProof/>
            <w:webHidden/>
          </w:rPr>
        </w:r>
        <w:r w:rsidR="00706ACF">
          <w:rPr>
            <w:noProof/>
            <w:webHidden/>
          </w:rPr>
          <w:fldChar w:fldCharType="separate"/>
        </w:r>
        <w:r w:rsidR="00F62828">
          <w:rPr>
            <w:noProof/>
            <w:webHidden/>
          </w:rPr>
          <w:t>125</w:t>
        </w:r>
        <w:r w:rsidR="00706ACF">
          <w:rPr>
            <w:noProof/>
            <w:webHidden/>
          </w:rPr>
          <w:fldChar w:fldCharType="end"/>
        </w:r>
      </w:hyperlink>
    </w:p>
    <w:p w14:paraId="47540DEB" w14:textId="395081D5" w:rsidR="00706ACF" w:rsidRDefault="000417B6">
      <w:pPr>
        <w:pStyle w:val="TOC1"/>
        <w:rPr>
          <w:rFonts w:asciiTheme="minorHAnsi" w:eastAsiaTheme="minorEastAsia" w:hAnsiTheme="minorHAnsi" w:cstheme="minorBidi"/>
          <w:b w:val="0"/>
          <w:noProof/>
          <w:kern w:val="2"/>
          <w:sz w:val="22"/>
          <w:szCs w:val="22"/>
          <w14:ligatures w14:val="standardContextual"/>
        </w:rPr>
      </w:pPr>
      <w:hyperlink w:anchor="_Toc166355537" w:history="1">
        <w:r w:rsidR="00706ACF" w:rsidRPr="003A402B">
          <w:rPr>
            <w:rStyle w:val="Hyperlink"/>
            <w:noProof/>
          </w:rPr>
          <w:t>Australia has underinvested in housing for too long</w:t>
        </w:r>
        <w:r w:rsidR="00706ACF">
          <w:rPr>
            <w:noProof/>
            <w:webHidden/>
          </w:rPr>
          <w:tab/>
        </w:r>
        <w:r w:rsidR="00706ACF">
          <w:rPr>
            <w:noProof/>
            <w:webHidden/>
          </w:rPr>
          <w:fldChar w:fldCharType="begin"/>
        </w:r>
        <w:r w:rsidR="00706ACF">
          <w:rPr>
            <w:noProof/>
            <w:webHidden/>
          </w:rPr>
          <w:instrText xml:space="preserve"> PAGEREF _Toc166355537 \h </w:instrText>
        </w:r>
        <w:r w:rsidR="00706ACF">
          <w:rPr>
            <w:noProof/>
            <w:webHidden/>
          </w:rPr>
        </w:r>
        <w:r w:rsidR="00706ACF">
          <w:rPr>
            <w:noProof/>
            <w:webHidden/>
          </w:rPr>
          <w:fldChar w:fldCharType="separate"/>
        </w:r>
        <w:r w:rsidR="00F62828">
          <w:rPr>
            <w:noProof/>
            <w:webHidden/>
          </w:rPr>
          <w:t>125</w:t>
        </w:r>
        <w:r w:rsidR="00706ACF">
          <w:rPr>
            <w:noProof/>
            <w:webHidden/>
          </w:rPr>
          <w:fldChar w:fldCharType="end"/>
        </w:r>
      </w:hyperlink>
    </w:p>
    <w:p w14:paraId="7EA6DC57" w14:textId="4BFDE78D"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38" w:history="1">
        <w:r w:rsidR="00706ACF" w:rsidRPr="003A402B">
          <w:rPr>
            <w:rStyle w:val="Hyperlink"/>
            <w:noProof/>
          </w:rPr>
          <w:t>Australia has a housing shortage – we have too few homes for those who need them</w:t>
        </w:r>
        <w:r w:rsidR="00706ACF">
          <w:rPr>
            <w:noProof/>
            <w:webHidden/>
          </w:rPr>
          <w:tab/>
        </w:r>
        <w:r w:rsidR="00706ACF">
          <w:rPr>
            <w:noProof/>
            <w:webHidden/>
          </w:rPr>
          <w:fldChar w:fldCharType="begin"/>
        </w:r>
        <w:r w:rsidR="00706ACF">
          <w:rPr>
            <w:noProof/>
            <w:webHidden/>
          </w:rPr>
          <w:instrText xml:space="preserve"> PAGEREF _Toc166355538 \h </w:instrText>
        </w:r>
        <w:r w:rsidR="00706ACF">
          <w:rPr>
            <w:noProof/>
            <w:webHidden/>
          </w:rPr>
        </w:r>
        <w:r w:rsidR="00706ACF">
          <w:rPr>
            <w:noProof/>
            <w:webHidden/>
          </w:rPr>
          <w:fldChar w:fldCharType="separate"/>
        </w:r>
        <w:r w:rsidR="00F62828">
          <w:rPr>
            <w:noProof/>
            <w:webHidden/>
          </w:rPr>
          <w:t>125</w:t>
        </w:r>
        <w:r w:rsidR="00706ACF">
          <w:rPr>
            <w:noProof/>
            <w:webHidden/>
          </w:rPr>
          <w:fldChar w:fldCharType="end"/>
        </w:r>
      </w:hyperlink>
    </w:p>
    <w:p w14:paraId="625FEBFE" w14:textId="7BA821C9"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39" w:history="1">
        <w:r w:rsidR="00706ACF" w:rsidRPr="003A402B">
          <w:rPr>
            <w:rStyle w:val="Hyperlink"/>
            <w:noProof/>
            <w:lang w:val="en-GB"/>
          </w:rPr>
          <w:t xml:space="preserve">Australia’s level of housing </w:t>
        </w:r>
        <w:r w:rsidR="00706ACF" w:rsidRPr="003A402B">
          <w:rPr>
            <w:rStyle w:val="Hyperlink"/>
            <w:noProof/>
          </w:rPr>
          <w:t>supply</w:t>
        </w:r>
        <w:r w:rsidR="00706ACF" w:rsidRPr="003A402B">
          <w:rPr>
            <w:rStyle w:val="Hyperlink"/>
            <w:noProof/>
            <w:lang w:val="en-GB"/>
          </w:rPr>
          <w:t xml:space="preserve"> is low by </w:t>
        </w:r>
        <w:r w:rsidR="00706ACF" w:rsidRPr="003A402B">
          <w:rPr>
            <w:rStyle w:val="Hyperlink"/>
            <w:noProof/>
          </w:rPr>
          <w:t>international</w:t>
        </w:r>
        <w:r w:rsidR="00706ACF" w:rsidRPr="003A402B">
          <w:rPr>
            <w:rStyle w:val="Hyperlink"/>
            <w:noProof/>
            <w:lang w:val="en-GB"/>
          </w:rPr>
          <w:t xml:space="preserve"> standards</w:t>
        </w:r>
        <w:r w:rsidR="00706ACF">
          <w:rPr>
            <w:noProof/>
            <w:webHidden/>
          </w:rPr>
          <w:tab/>
        </w:r>
        <w:r w:rsidR="00706ACF">
          <w:rPr>
            <w:noProof/>
            <w:webHidden/>
          </w:rPr>
          <w:fldChar w:fldCharType="begin"/>
        </w:r>
        <w:r w:rsidR="00706ACF">
          <w:rPr>
            <w:noProof/>
            <w:webHidden/>
          </w:rPr>
          <w:instrText xml:space="preserve"> PAGEREF _Toc166355539 \h </w:instrText>
        </w:r>
        <w:r w:rsidR="00706ACF">
          <w:rPr>
            <w:noProof/>
            <w:webHidden/>
          </w:rPr>
        </w:r>
        <w:r w:rsidR="00706ACF">
          <w:rPr>
            <w:noProof/>
            <w:webHidden/>
          </w:rPr>
          <w:fldChar w:fldCharType="separate"/>
        </w:r>
        <w:r w:rsidR="00F62828">
          <w:rPr>
            <w:noProof/>
            <w:webHidden/>
          </w:rPr>
          <w:t>127</w:t>
        </w:r>
        <w:r w:rsidR="00706ACF">
          <w:rPr>
            <w:noProof/>
            <w:webHidden/>
          </w:rPr>
          <w:fldChar w:fldCharType="end"/>
        </w:r>
      </w:hyperlink>
    </w:p>
    <w:p w14:paraId="14ED48D1" w14:textId="38ACB1F4"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0" w:history="1">
        <w:r w:rsidR="00706ACF" w:rsidRPr="003A402B">
          <w:rPr>
            <w:rStyle w:val="Hyperlink"/>
            <w:noProof/>
            <w:lang w:val="en-GB"/>
          </w:rPr>
          <w:t xml:space="preserve">A lack of supply is making it harder for </w:t>
        </w:r>
        <w:r w:rsidR="00706ACF" w:rsidRPr="003A402B">
          <w:rPr>
            <w:rStyle w:val="Hyperlink"/>
            <w:noProof/>
          </w:rPr>
          <w:t>people</w:t>
        </w:r>
        <w:r w:rsidR="00706ACF" w:rsidRPr="003A402B">
          <w:rPr>
            <w:rStyle w:val="Hyperlink"/>
            <w:noProof/>
            <w:lang w:val="en-GB"/>
          </w:rPr>
          <w:t xml:space="preserve"> to buy or rent</w:t>
        </w:r>
        <w:r w:rsidR="00706ACF">
          <w:rPr>
            <w:noProof/>
            <w:webHidden/>
          </w:rPr>
          <w:tab/>
        </w:r>
        <w:r w:rsidR="00706ACF">
          <w:rPr>
            <w:noProof/>
            <w:webHidden/>
          </w:rPr>
          <w:fldChar w:fldCharType="begin"/>
        </w:r>
        <w:r w:rsidR="00706ACF">
          <w:rPr>
            <w:noProof/>
            <w:webHidden/>
          </w:rPr>
          <w:instrText xml:space="preserve"> PAGEREF _Toc166355540 \h </w:instrText>
        </w:r>
        <w:r w:rsidR="00706ACF">
          <w:rPr>
            <w:noProof/>
            <w:webHidden/>
          </w:rPr>
        </w:r>
        <w:r w:rsidR="00706ACF">
          <w:rPr>
            <w:noProof/>
            <w:webHidden/>
          </w:rPr>
          <w:fldChar w:fldCharType="separate"/>
        </w:r>
        <w:r w:rsidR="00F62828">
          <w:rPr>
            <w:noProof/>
            <w:webHidden/>
          </w:rPr>
          <w:t>127</w:t>
        </w:r>
        <w:r w:rsidR="00706ACF">
          <w:rPr>
            <w:noProof/>
            <w:webHidden/>
          </w:rPr>
          <w:fldChar w:fldCharType="end"/>
        </w:r>
      </w:hyperlink>
    </w:p>
    <w:p w14:paraId="6E0F2FB9" w14:textId="5C161DC1"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1" w:history="1">
        <w:r w:rsidR="00706ACF" w:rsidRPr="003A402B">
          <w:rPr>
            <w:rStyle w:val="Hyperlink"/>
            <w:noProof/>
            <w:lang w:val="en-GB"/>
          </w:rPr>
          <w:t>Investment by governments in social housing has declined over decades</w:t>
        </w:r>
        <w:r w:rsidR="00706ACF">
          <w:rPr>
            <w:noProof/>
            <w:webHidden/>
          </w:rPr>
          <w:tab/>
        </w:r>
        <w:r w:rsidR="00706ACF">
          <w:rPr>
            <w:noProof/>
            <w:webHidden/>
          </w:rPr>
          <w:fldChar w:fldCharType="begin"/>
        </w:r>
        <w:r w:rsidR="00706ACF">
          <w:rPr>
            <w:noProof/>
            <w:webHidden/>
          </w:rPr>
          <w:instrText xml:space="preserve"> PAGEREF _Toc166355541 \h </w:instrText>
        </w:r>
        <w:r w:rsidR="00706ACF">
          <w:rPr>
            <w:noProof/>
            <w:webHidden/>
          </w:rPr>
        </w:r>
        <w:r w:rsidR="00706ACF">
          <w:rPr>
            <w:noProof/>
            <w:webHidden/>
          </w:rPr>
          <w:fldChar w:fldCharType="separate"/>
        </w:r>
        <w:r w:rsidR="00F62828">
          <w:rPr>
            <w:noProof/>
            <w:webHidden/>
          </w:rPr>
          <w:t>131</w:t>
        </w:r>
        <w:r w:rsidR="00706ACF">
          <w:rPr>
            <w:noProof/>
            <w:webHidden/>
          </w:rPr>
          <w:fldChar w:fldCharType="end"/>
        </w:r>
      </w:hyperlink>
    </w:p>
    <w:p w14:paraId="57A6B614" w14:textId="739D9310" w:rsidR="00706ACF" w:rsidRDefault="000417B6">
      <w:pPr>
        <w:pStyle w:val="TOC1"/>
        <w:rPr>
          <w:rFonts w:asciiTheme="minorHAnsi" w:eastAsiaTheme="minorEastAsia" w:hAnsiTheme="minorHAnsi" w:cstheme="minorBidi"/>
          <w:b w:val="0"/>
          <w:noProof/>
          <w:kern w:val="2"/>
          <w:sz w:val="22"/>
          <w:szCs w:val="22"/>
          <w14:ligatures w14:val="standardContextual"/>
        </w:rPr>
      </w:pPr>
      <w:hyperlink w:anchor="_Toc166355542" w:history="1">
        <w:r w:rsidR="00706ACF" w:rsidRPr="003A402B">
          <w:rPr>
            <w:rStyle w:val="Hyperlink"/>
            <w:noProof/>
          </w:rPr>
          <w:t>Affordability pressures are high</w:t>
        </w:r>
        <w:r w:rsidR="00706ACF">
          <w:rPr>
            <w:noProof/>
            <w:webHidden/>
          </w:rPr>
          <w:tab/>
        </w:r>
        <w:r w:rsidR="00706ACF">
          <w:rPr>
            <w:noProof/>
            <w:webHidden/>
          </w:rPr>
          <w:fldChar w:fldCharType="begin"/>
        </w:r>
        <w:r w:rsidR="00706ACF">
          <w:rPr>
            <w:noProof/>
            <w:webHidden/>
          </w:rPr>
          <w:instrText xml:space="preserve"> PAGEREF _Toc166355542 \h </w:instrText>
        </w:r>
        <w:r w:rsidR="00706ACF">
          <w:rPr>
            <w:noProof/>
            <w:webHidden/>
          </w:rPr>
        </w:r>
        <w:r w:rsidR="00706ACF">
          <w:rPr>
            <w:noProof/>
            <w:webHidden/>
          </w:rPr>
          <w:fldChar w:fldCharType="separate"/>
        </w:r>
        <w:r w:rsidR="00F62828">
          <w:rPr>
            <w:noProof/>
            <w:webHidden/>
          </w:rPr>
          <w:t>135</w:t>
        </w:r>
        <w:r w:rsidR="00706ACF">
          <w:rPr>
            <w:noProof/>
            <w:webHidden/>
          </w:rPr>
          <w:fldChar w:fldCharType="end"/>
        </w:r>
      </w:hyperlink>
    </w:p>
    <w:p w14:paraId="31A4106E" w14:textId="0253A0D7"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3" w:history="1">
        <w:r w:rsidR="00706ACF" w:rsidRPr="003A402B">
          <w:rPr>
            <w:rStyle w:val="Hyperlink"/>
            <w:noProof/>
          </w:rPr>
          <w:t>Supply shortages contribute to affordability pressures</w:t>
        </w:r>
        <w:r w:rsidR="00706ACF">
          <w:rPr>
            <w:noProof/>
            <w:webHidden/>
          </w:rPr>
          <w:tab/>
        </w:r>
        <w:r w:rsidR="00706ACF">
          <w:rPr>
            <w:noProof/>
            <w:webHidden/>
          </w:rPr>
          <w:fldChar w:fldCharType="begin"/>
        </w:r>
        <w:r w:rsidR="00706ACF">
          <w:rPr>
            <w:noProof/>
            <w:webHidden/>
          </w:rPr>
          <w:instrText xml:space="preserve"> PAGEREF _Toc166355543 \h </w:instrText>
        </w:r>
        <w:r w:rsidR="00706ACF">
          <w:rPr>
            <w:noProof/>
            <w:webHidden/>
          </w:rPr>
        </w:r>
        <w:r w:rsidR="00706ACF">
          <w:rPr>
            <w:noProof/>
            <w:webHidden/>
          </w:rPr>
          <w:fldChar w:fldCharType="separate"/>
        </w:r>
        <w:r w:rsidR="00F62828">
          <w:rPr>
            <w:noProof/>
            <w:webHidden/>
          </w:rPr>
          <w:t>135</w:t>
        </w:r>
        <w:r w:rsidR="00706ACF">
          <w:rPr>
            <w:noProof/>
            <w:webHidden/>
          </w:rPr>
          <w:fldChar w:fldCharType="end"/>
        </w:r>
      </w:hyperlink>
    </w:p>
    <w:p w14:paraId="7E172CC4" w14:textId="184CCBB7"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4" w:history="1">
        <w:r w:rsidR="00706ACF" w:rsidRPr="003A402B">
          <w:rPr>
            <w:rStyle w:val="Hyperlink"/>
            <w:noProof/>
          </w:rPr>
          <w:t>Long term decline in affordability</w:t>
        </w:r>
        <w:r w:rsidR="00706ACF">
          <w:rPr>
            <w:noProof/>
            <w:webHidden/>
          </w:rPr>
          <w:tab/>
        </w:r>
        <w:r w:rsidR="00706ACF">
          <w:rPr>
            <w:noProof/>
            <w:webHidden/>
          </w:rPr>
          <w:fldChar w:fldCharType="begin"/>
        </w:r>
        <w:r w:rsidR="00706ACF">
          <w:rPr>
            <w:noProof/>
            <w:webHidden/>
          </w:rPr>
          <w:instrText xml:space="preserve"> PAGEREF _Toc166355544 \h </w:instrText>
        </w:r>
        <w:r w:rsidR="00706ACF">
          <w:rPr>
            <w:noProof/>
            <w:webHidden/>
          </w:rPr>
        </w:r>
        <w:r w:rsidR="00706ACF">
          <w:rPr>
            <w:noProof/>
            <w:webHidden/>
          </w:rPr>
          <w:fldChar w:fldCharType="separate"/>
        </w:r>
        <w:r w:rsidR="00F62828">
          <w:rPr>
            <w:noProof/>
            <w:webHidden/>
          </w:rPr>
          <w:t>136</w:t>
        </w:r>
        <w:r w:rsidR="00706ACF">
          <w:rPr>
            <w:noProof/>
            <w:webHidden/>
          </w:rPr>
          <w:fldChar w:fldCharType="end"/>
        </w:r>
      </w:hyperlink>
    </w:p>
    <w:p w14:paraId="5A1D4F1E" w14:textId="2CD61D25"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5" w:history="1">
        <w:r w:rsidR="00706ACF" w:rsidRPr="003A402B">
          <w:rPr>
            <w:rStyle w:val="Hyperlink"/>
            <w:noProof/>
          </w:rPr>
          <w:t>Affordability challenges have productivity, health and social inclusion implications</w:t>
        </w:r>
        <w:r w:rsidR="00706ACF">
          <w:rPr>
            <w:noProof/>
            <w:webHidden/>
          </w:rPr>
          <w:tab/>
        </w:r>
        <w:r w:rsidR="00706ACF">
          <w:rPr>
            <w:noProof/>
            <w:webHidden/>
          </w:rPr>
          <w:fldChar w:fldCharType="begin"/>
        </w:r>
        <w:r w:rsidR="00706ACF">
          <w:rPr>
            <w:noProof/>
            <w:webHidden/>
          </w:rPr>
          <w:instrText xml:space="preserve"> PAGEREF _Toc166355545 \h </w:instrText>
        </w:r>
        <w:r w:rsidR="00706ACF">
          <w:rPr>
            <w:noProof/>
            <w:webHidden/>
          </w:rPr>
        </w:r>
        <w:r w:rsidR="00706ACF">
          <w:rPr>
            <w:noProof/>
            <w:webHidden/>
          </w:rPr>
          <w:fldChar w:fldCharType="separate"/>
        </w:r>
        <w:r w:rsidR="00F62828">
          <w:rPr>
            <w:noProof/>
            <w:webHidden/>
          </w:rPr>
          <w:t>139</w:t>
        </w:r>
        <w:r w:rsidR="00706ACF">
          <w:rPr>
            <w:noProof/>
            <w:webHidden/>
          </w:rPr>
          <w:fldChar w:fldCharType="end"/>
        </w:r>
      </w:hyperlink>
    </w:p>
    <w:p w14:paraId="31710BBD" w14:textId="1566FC0C" w:rsidR="00706ACF" w:rsidRDefault="000417B6">
      <w:pPr>
        <w:pStyle w:val="TOC1"/>
        <w:rPr>
          <w:rFonts w:asciiTheme="minorHAnsi" w:eastAsiaTheme="minorEastAsia" w:hAnsiTheme="minorHAnsi" w:cstheme="minorBidi"/>
          <w:b w:val="0"/>
          <w:noProof/>
          <w:kern w:val="2"/>
          <w:sz w:val="22"/>
          <w:szCs w:val="22"/>
          <w14:ligatures w14:val="standardContextual"/>
        </w:rPr>
      </w:pPr>
      <w:hyperlink w:anchor="_Toc166355546" w:history="1">
        <w:r w:rsidR="00706ACF" w:rsidRPr="003A402B">
          <w:rPr>
            <w:rStyle w:val="Hyperlink"/>
            <w:noProof/>
          </w:rPr>
          <w:t>Barriers to the construction of new homes need to be addressed</w:t>
        </w:r>
        <w:r w:rsidR="00706ACF">
          <w:rPr>
            <w:noProof/>
            <w:webHidden/>
          </w:rPr>
          <w:tab/>
        </w:r>
        <w:r w:rsidR="00706ACF">
          <w:rPr>
            <w:noProof/>
            <w:webHidden/>
          </w:rPr>
          <w:fldChar w:fldCharType="begin"/>
        </w:r>
        <w:r w:rsidR="00706ACF">
          <w:rPr>
            <w:noProof/>
            <w:webHidden/>
          </w:rPr>
          <w:instrText xml:space="preserve"> PAGEREF _Toc166355546 \h </w:instrText>
        </w:r>
        <w:r w:rsidR="00706ACF">
          <w:rPr>
            <w:noProof/>
            <w:webHidden/>
          </w:rPr>
        </w:r>
        <w:r w:rsidR="00706ACF">
          <w:rPr>
            <w:noProof/>
            <w:webHidden/>
          </w:rPr>
          <w:fldChar w:fldCharType="separate"/>
        </w:r>
        <w:r w:rsidR="00F62828">
          <w:rPr>
            <w:noProof/>
            <w:webHidden/>
          </w:rPr>
          <w:t>140</w:t>
        </w:r>
        <w:r w:rsidR="00706ACF">
          <w:rPr>
            <w:noProof/>
            <w:webHidden/>
          </w:rPr>
          <w:fldChar w:fldCharType="end"/>
        </w:r>
      </w:hyperlink>
    </w:p>
    <w:p w14:paraId="58DC2355" w14:textId="72ED62FC"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7" w:history="1">
        <w:r w:rsidR="00706ACF" w:rsidRPr="003A402B">
          <w:rPr>
            <w:rStyle w:val="Hyperlink"/>
            <w:noProof/>
          </w:rPr>
          <w:t>Faster planning and zoning approval processes can help unlock supply</w:t>
        </w:r>
        <w:r w:rsidR="00706ACF">
          <w:rPr>
            <w:noProof/>
            <w:webHidden/>
          </w:rPr>
          <w:tab/>
        </w:r>
        <w:r w:rsidR="00706ACF">
          <w:rPr>
            <w:noProof/>
            <w:webHidden/>
          </w:rPr>
          <w:fldChar w:fldCharType="begin"/>
        </w:r>
        <w:r w:rsidR="00706ACF">
          <w:rPr>
            <w:noProof/>
            <w:webHidden/>
          </w:rPr>
          <w:instrText xml:space="preserve"> PAGEREF _Toc166355547 \h </w:instrText>
        </w:r>
        <w:r w:rsidR="00706ACF">
          <w:rPr>
            <w:noProof/>
            <w:webHidden/>
          </w:rPr>
        </w:r>
        <w:r w:rsidR="00706ACF">
          <w:rPr>
            <w:noProof/>
            <w:webHidden/>
          </w:rPr>
          <w:fldChar w:fldCharType="separate"/>
        </w:r>
        <w:r w:rsidR="00F62828">
          <w:rPr>
            <w:noProof/>
            <w:webHidden/>
          </w:rPr>
          <w:t>142</w:t>
        </w:r>
        <w:r w:rsidR="00706ACF">
          <w:rPr>
            <w:noProof/>
            <w:webHidden/>
          </w:rPr>
          <w:fldChar w:fldCharType="end"/>
        </w:r>
      </w:hyperlink>
    </w:p>
    <w:p w14:paraId="10444D46" w14:textId="209EC80E" w:rsidR="00706ACF" w:rsidRDefault="000417B6" w:rsidP="00706ACF">
      <w:pPr>
        <w:pStyle w:val="TOC2"/>
        <w:ind w:left="0" w:firstLine="0"/>
        <w:rPr>
          <w:rFonts w:asciiTheme="minorHAnsi" w:eastAsiaTheme="minorEastAsia" w:hAnsiTheme="minorHAnsi" w:cstheme="minorBidi"/>
          <w:noProof/>
          <w:kern w:val="2"/>
          <w:sz w:val="22"/>
          <w:szCs w:val="22"/>
          <w14:ligatures w14:val="standardContextual"/>
        </w:rPr>
      </w:pPr>
      <w:hyperlink w:anchor="_Toc166355548" w:history="1">
        <w:r w:rsidR="00706ACF" w:rsidRPr="003A402B">
          <w:rPr>
            <w:rStyle w:val="Hyperlink"/>
            <w:noProof/>
          </w:rPr>
          <w:t>Planning and zoning processes should focus on ensuring housing is delivered where it is needed</w:t>
        </w:r>
        <w:r w:rsidR="00706ACF">
          <w:rPr>
            <w:noProof/>
            <w:webHidden/>
          </w:rPr>
          <w:tab/>
        </w:r>
        <w:r w:rsidR="00706ACF">
          <w:rPr>
            <w:noProof/>
            <w:webHidden/>
          </w:rPr>
          <w:tab/>
        </w:r>
        <w:r w:rsidR="00706ACF">
          <w:rPr>
            <w:noProof/>
            <w:webHidden/>
          </w:rPr>
          <w:fldChar w:fldCharType="begin"/>
        </w:r>
        <w:r w:rsidR="00706ACF">
          <w:rPr>
            <w:noProof/>
            <w:webHidden/>
          </w:rPr>
          <w:instrText xml:space="preserve"> PAGEREF _Toc166355548 \h </w:instrText>
        </w:r>
        <w:r w:rsidR="00706ACF">
          <w:rPr>
            <w:noProof/>
            <w:webHidden/>
          </w:rPr>
        </w:r>
        <w:r w:rsidR="00706ACF">
          <w:rPr>
            <w:noProof/>
            <w:webHidden/>
          </w:rPr>
          <w:fldChar w:fldCharType="separate"/>
        </w:r>
        <w:r w:rsidR="00F62828">
          <w:rPr>
            <w:noProof/>
            <w:webHidden/>
          </w:rPr>
          <w:t>142</w:t>
        </w:r>
        <w:r w:rsidR="00706ACF">
          <w:rPr>
            <w:noProof/>
            <w:webHidden/>
          </w:rPr>
          <w:fldChar w:fldCharType="end"/>
        </w:r>
      </w:hyperlink>
    </w:p>
    <w:p w14:paraId="27551E4B" w14:textId="31FD9463"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49" w:history="1">
        <w:r w:rsidR="00706ACF" w:rsidRPr="003A402B">
          <w:rPr>
            <w:rStyle w:val="Hyperlink"/>
            <w:noProof/>
          </w:rPr>
          <w:t>Action to make construction cheaper will also help more homes be built faster</w:t>
        </w:r>
        <w:r w:rsidR="00706ACF">
          <w:rPr>
            <w:noProof/>
            <w:webHidden/>
          </w:rPr>
          <w:tab/>
        </w:r>
        <w:r w:rsidR="00706ACF">
          <w:rPr>
            <w:noProof/>
            <w:webHidden/>
          </w:rPr>
          <w:fldChar w:fldCharType="begin"/>
        </w:r>
        <w:r w:rsidR="00706ACF">
          <w:rPr>
            <w:noProof/>
            <w:webHidden/>
          </w:rPr>
          <w:instrText xml:space="preserve"> PAGEREF _Toc166355549 \h </w:instrText>
        </w:r>
        <w:r w:rsidR="00706ACF">
          <w:rPr>
            <w:noProof/>
            <w:webHidden/>
          </w:rPr>
        </w:r>
        <w:r w:rsidR="00706ACF">
          <w:rPr>
            <w:noProof/>
            <w:webHidden/>
          </w:rPr>
          <w:fldChar w:fldCharType="separate"/>
        </w:r>
        <w:r w:rsidR="00F62828">
          <w:rPr>
            <w:noProof/>
            <w:webHidden/>
          </w:rPr>
          <w:t>144</w:t>
        </w:r>
        <w:r w:rsidR="00706ACF">
          <w:rPr>
            <w:noProof/>
            <w:webHidden/>
          </w:rPr>
          <w:fldChar w:fldCharType="end"/>
        </w:r>
      </w:hyperlink>
    </w:p>
    <w:p w14:paraId="0777EF01" w14:textId="72D95446" w:rsidR="00706ACF" w:rsidRDefault="000417B6">
      <w:pPr>
        <w:pStyle w:val="TOC1"/>
        <w:rPr>
          <w:rFonts w:asciiTheme="minorHAnsi" w:eastAsiaTheme="minorEastAsia" w:hAnsiTheme="minorHAnsi" w:cstheme="minorBidi"/>
          <w:b w:val="0"/>
          <w:noProof/>
          <w:kern w:val="2"/>
          <w:sz w:val="22"/>
          <w:szCs w:val="22"/>
          <w14:ligatures w14:val="standardContextual"/>
        </w:rPr>
      </w:pPr>
      <w:hyperlink w:anchor="_Toc166355550" w:history="1">
        <w:r w:rsidR="00706ACF" w:rsidRPr="003A402B">
          <w:rPr>
            <w:rStyle w:val="Hyperlink"/>
            <w:noProof/>
          </w:rPr>
          <w:t>The Government’s plan to meet Australia’s housing challenge</w:t>
        </w:r>
        <w:r w:rsidR="00706ACF">
          <w:rPr>
            <w:noProof/>
            <w:webHidden/>
          </w:rPr>
          <w:tab/>
        </w:r>
        <w:r w:rsidR="00706ACF">
          <w:rPr>
            <w:noProof/>
            <w:webHidden/>
          </w:rPr>
          <w:fldChar w:fldCharType="begin"/>
        </w:r>
        <w:r w:rsidR="00706ACF">
          <w:rPr>
            <w:noProof/>
            <w:webHidden/>
          </w:rPr>
          <w:instrText xml:space="preserve"> PAGEREF _Toc166355550 \h </w:instrText>
        </w:r>
        <w:r w:rsidR="00706ACF">
          <w:rPr>
            <w:noProof/>
            <w:webHidden/>
          </w:rPr>
        </w:r>
        <w:r w:rsidR="00706ACF">
          <w:rPr>
            <w:noProof/>
            <w:webHidden/>
          </w:rPr>
          <w:fldChar w:fldCharType="separate"/>
        </w:r>
        <w:r w:rsidR="00F62828">
          <w:rPr>
            <w:noProof/>
            <w:webHidden/>
          </w:rPr>
          <w:t>149</w:t>
        </w:r>
        <w:r w:rsidR="00706ACF">
          <w:rPr>
            <w:noProof/>
            <w:webHidden/>
          </w:rPr>
          <w:fldChar w:fldCharType="end"/>
        </w:r>
      </w:hyperlink>
    </w:p>
    <w:p w14:paraId="1F189EFB" w14:textId="36E043D8"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51" w:history="1">
        <w:r w:rsidR="00706ACF" w:rsidRPr="003A402B">
          <w:rPr>
            <w:rStyle w:val="Hyperlink"/>
            <w:noProof/>
          </w:rPr>
          <w:t>Kickstarting construction of more homes</w:t>
        </w:r>
        <w:r w:rsidR="00706ACF">
          <w:rPr>
            <w:noProof/>
            <w:webHidden/>
          </w:rPr>
          <w:tab/>
        </w:r>
        <w:r w:rsidR="00706ACF">
          <w:rPr>
            <w:noProof/>
            <w:webHidden/>
          </w:rPr>
          <w:fldChar w:fldCharType="begin"/>
        </w:r>
        <w:r w:rsidR="00706ACF">
          <w:rPr>
            <w:noProof/>
            <w:webHidden/>
          </w:rPr>
          <w:instrText xml:space="preserve"> PAGEREF _Toc166355551 \h </w:instrText>
        </w:r>
        <w:r w:rsidR="00706ACF">
          <w:rPr>
            <w:noProof/>
            <w:webHidden/>
          </w:rPr>
        </w:r>
        <w:r w:rsidR="00706ACF">
          <w:rPr>
            <w:noProof/>
            <w:webHidden/>
          </w:rPr>
          <w:fldChar w:fldCharType="separate"/>
        </w:r>
        <w:r w:rsidR="00F62828">
          <w:rPr>
            <w:noProof/>
            <w:webHidden/>
          </w:rPr>
          <w:t>150</w:t>
        </w:r>
        <w:r w:rsidR="00706ACF">
          <w:rPr>
            <w:noProof/>
            <w:webHidden/>
          </w:rPr>
          <w:fldChar w:fldCharType="end"/>
        </w:r>
      </w:hyperlink>
    </w:p>
    <w:p w14:paraId="0E97BDB5" w14:textId="53A9CF28"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52" w:history="1">
        <w:r w:rsidR="00706ACF" w:rsidRPr="003A402B">
          <w:rPr>
            <w:rStyle w:val="Hyperlink"/>
            <w:noProof/>
          </w:rPr>
          <w:t>Deliver the biggest investment in social and affordable housing in a decade</w:t>
        </w:r>
        <w:r w:rsidR="00706ACF">
          <w:rPr>
            <w:noProof/>
            <w:webHidden/>
          </w:rPr>
          <w:tab/>
        </w:r>
        <w:r w:rsidR="00706ACF">
          <w:rPr>
            <w:noProof/>
            <w:webHidden/>
          </w:rPr>
          <w:fldChar w:fldCharType="begin"/>
        </w:r>
        <w:r w:rsidR="00706ACF">
          <w:rPr>
            <w:noProof/>
            <w:webHidden/>
          </w:rPr>
          <w:instrText xml:space="preserve"> PAGEREF _Toc166355552 \h </w:instrText>
        </w:r>
        <w:r w:rsidR="00706ACF">
          <w:rPr>
            <w:noProof/>
            <w:webHidden/>
          </w:rPr>
        </w:r>
        <w:r w:rsidR="00706ACF">
          <w:rPr>
            <w:noProof/>
            <w:webHidden/>
          </w:rPr>
          <w:fldChar w:fldCharType="separate"/>
        </w:r>
        <w:r w:rsidR="00F62828">
          <w:rPr>
            <w:noProof/>
            <w:webHidden/>
          </w:rPr>
          <w:t>151</w:t>
        </w:r>
        <w:r w:rsidR="00706ACF">
          <w:rPr>
            <w:noProof/>
            <w:webHidden/>
          </w:rPr>
          <w:fldChar w:fldCharType="end"/>
        </w:r>
      </w:hyperlink>
    </w:p>
    <w:p w14:paraId="6E5576E8" w14:textId="3E99D11F"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53" w:history="1">
        <w:r w:rsidR="00706ACF" w:rsidRPr="003A402B">
          <w:rPr>
            <w:rStyle w:val="Hyperlink"/>
            <w:noProof/>
          </w:rPr>
          <w:t>Provide more support to renters</w:t>
        </w:r>
        <w:r w:rsidR="00706ACF">
          <w:rPr>
            <w:noProof/>
            <w:webHidden/>
          </w:rPr>
          <w:tab/>
        </w:r>
        <w:r w:rsidR="00706ACF">
          <w:rPr>
            <w:noProof/>
            <w:webHidden/>
          </w:rPr>
          <w:fldChar w:fldCharType="begin"/>
        </w:r>
        <w:r w:rsidR="00706ACF">
          <w:rPr>
            <w:noProof/>
            <w:webHidden/>
          </w:rPr>
          <w:instrText xml:space="preserve"> PAGEREF _Toc166355553 \h </w:instrText>
        </w:r>
        <w:r w:rsidR="00706ACF">
          <w:rPr>
            <w:noProof/>
            <w:webHidden/>
          </w:rPr>
        </w:r>
        <w:r w:rsidR="00706ACF">
          <w:rPr>
            <w:noProof/>
            <w:webHidden/>
          </w:rPr>
          <w:fldChar w:fldCharType="separate"/>
        </w:r>
        <w:r w:rsidR="00F62828">
          <w:rPr>
            <w:noProof/>
            <w:webHidden/>
          </w:rPr>
          <w:t>153</w:t>
        </w:r>
        <w:r w:rsidR="00706ACF">
          <w:rPr>
            <w:noProof/>
            <w:webHidden/>
          </w:rPr>
          <w:fldChar w:fldCharType="end"/>
        </w:r>
      </w:hyperlink>
    </w:p>
    <w:p w14:paraId="5FBF9E49" w14:textId="2C7DA875"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54" w:history="1">
        <w:r w:rsidR="00706ACF" w:rsidRPr="003A402B">
          <w:rPr>
            <w:rStyle w:val="Hyperlink"/>
            <w:noProof/>
          </w:rPr>
          <w:t>Help Australians buy their own homes</w:t>
        </w:r>
        <w:r w:rsidR="00706ACF">
          <w:rPr>
            <w:noProof/>
            <w:webHidden/>
          </w:rPr>
          <w:tab/>
        </w:r>
        <w:r w:rsidR="00706ACF">
          <w:rPr>
            <w:noProof/>
            <w:webHidden/>
          </w:rPr>
          <w:fldChar w:fldCharType="begin"/>
        </w:r>
        <w:r w:rsidR="00706ACF">
          <w:rPr>
            <w:noProof/>
            <w:webHidden/>
          </w:rPr>
          <w:instrText xml:space="preserve"> PAGEREF _Toc166355554 \h </w:instrText>
        </w:r>
        <w:r w:rsidR="00706ACF">
          <w:rPr>
            <w:noProof/>
            <w:webHidden/>
          </w:rPr>
        </w:r>
        <w:r w:rsidR="00706ACF">
          <w:rPr>
            <w:noProof/>
            <w:webHidden/>
          </w:rPr>
          <w:fldChar w:fldCharType="separate"/>
        </w:r>
        <w:r w:rsidR="00F62828">
          <w:rPr>
            <w:noProof/>
            <w:webHidden/>
          </w:rPr>
          <w:t>154</w:t>
        </w:r>
        <w:r w:rsidR="00706ACF">
          <w:rPr>
            <w:noProof/>
            <w:webHidden/>
          </w:rPr>
          <w:fldChar w:fldCharType="end"/>
        </w:r>
      </w:hyperlink>
    </w:p>
    <w:p w14:paraId="55284809" w14:textId="01B9F6A8" w:rsidR="00706ACF" w:rsidRDefault="000417B6">
      <w:pPr>
        <w:pStyle w:val="TOC2"/>
        <w:rPr>
          <w:rFonts w:asciiTheme="minorHAnsi" w:eastAsiaTheme="minorEastAsia" w:hAnsiTheme="minorHAnsi" w:cstheme="minorBidi"/>
          <w:noProof/>
          <w:kern w:val="2"/>
          <w:sz w:val="22"/>
          <w:szCs w:val="22"/>
          <w14:ligatures w14:val="standardContextual"/>
        </w:rPr>
      </w:pPr>
      <w:hyperlink w:anchor="_Toc166355555" w:history="1">
        <w:r w:rsidR="00706ACF" w:rsidRPr="003A402B">
          <w:rPr>
            <w:rStyle w:val="Hyperlink"/>
            <w:noProof/>
          </w:rPr>
          <w:t>Double dedicated homelessness funding and provide shelter for people in crisis</w:t>
        </w:r>
        <w:r w:rsidR="00706ACF">
          <w:rPr>
            <w:noProof/>
            <w:webHidden/>
          </w:rPr>
          <w:tab/>
        </w:r>
        <w:r w:rsidR="00706ACF">
          <w:rPr>
            <w:noProof/>
            <w:webHidden/>
          </w:rPr>
          <w:fldChar w:fldCharType="begin"/>
        </w:r>
        <w:r w:rsidR="00706ACF">
          <w:rPr>
            <w:noProof/>
            <w:webHidden/>
          </w:rPr>
          <w:instrText xml:space="preserve"> PAGEREF _Toc166355555 \h </w:instrText>
        </w:r>
        <w:r w:rsidR="00706ACF">
          <w:rPr>
            <w:noProof/>
            <w:webHidden/>
          </w:rPr>
        </w:r>
        <w:r w:rsidR="00706ACF">
          <w:rPr>
            <w:noProof/>
            <w:webHidden/>
          </w:rPr>
          <w:fldChar w:fldCharType="separate"/>
        </w:r>
        <w:r w:rsidR="00F62828">
          <w:rPr>
            <w:noProof/>
            <w:webHidden/>
          </w:rPr>
          <w:t>155</w:t>
        </w:r>
        <w:r w:rsidR="00706ACF">
          <w:rPr>
            <w:noProof/>
            <w:webHidden/>
          </w:rPr>
          <w:fldChar w:fldCharType="end"/>
        </w:r>
      </w:hyperlink>
    </w:p>
    <w:p w14:paraId="0560623B" w14:textId="4580E163" w:rsidR="00706ACF" w:rsidRDefault="000417B6">
      <w:pPr>
        <w:pStyle w:val="TOC1"/>
        <w:rPr>
          <w:rFonts w:asciiTheme="minorHAnsi" w:eastAsiaTheme="minorEastAsia" w:hAnsiTheme="minorHAnsi" w:cstheme="minorBidi"/>
          <w:b w:val="0"/>
          <w:noProof/>
          <w:kern w:val="2"/>
          <w:sz w:val="22"/>
          <w:szCs w:val="22"/>
          <w14:ligatures w14:val="standardContextual"/>
        </w:rPr>
      </w:pPr>
      <w:hyperlink w:anchor="_Toc166355556" w:history="1">
        <w:r w:rsidR="00706ACF" w:rsidRPr="003A402B">
          <w:rPr>
            <w:rStyle w:val="Hyperlink"/>
            <w:noProof/>
          </w:rPr>
          <w:t>Australian Government housing measures since May 2022</w:t>
        </w:r>
        <w:r w:rsidR="00706ACF">
          <w:rPr>
            <w:noProof/>
            <w:webHidden/>
          </w:rPr>
          <w:tab/>
        </w:r>
        <w:r w:rsidR="00706ACF">
          <w:rPr>
            <w:noProof/>
            <w:webHidden/>
          </w:rPr>
          <w:fldChar w:fldCharType="begin"/>
        </w:r>
        <w:r w:rsidR="00706ACF">
          <w:rPr>
            <w:noProof/>
            <w:webHidden/>
          </w:rPr>
          <w:instrText xml:space="preserve"> PAGEREF _Toc166355556 \h </w:instrText>
        </w:r>
        <w:r w:rsidR="00706ACF">
          <w:rPr>
            <w:noProof/>
            <w:webHidden/>
          </w:rPr>
        </w:r>
        <w:r w:rsidR="00706ACF">
          <w:rPr>
            <w:noProof/>
            <w:webHidden/>
          </w:rPr>
          <w:fldChar w:fldCharType="separate"/>
        </w:r>
        <w:r w:rsidR="00F62828">
          <w:rPr>
            <w:noProof/>
            <w:webHidden/>
          </w:rPr>
          <w:t>156</w:t>
        </w:r>
        <w:r w:rsidR="00706ACF">
          <w:rPr>
            <w:noProof/>
            <w:webHidden/>
          </w:rPr>
          <w:fldChar w:fldCharType="end"/>
        </w:r>
      </w:hyperlink>
    </w:p>
    <w:p w14:paraId="2940E8EC" w14:textId="5DA5268E" w:rsidR="00625AA4" w:rsidRPr="00B35D17" w:rsidRDefault="00276306" w:rsidP="00625AA4">
      <w:pPr>
        <w:pStyle w:val="TOC1"/>
        <w:rPr>
          <w:rFonts w:cstheme="minorHAnsi"/>
          <w:b w:val="0"/>
          <w:noProof/>
          <w:lang w:val="en-US"/>
        </w:rPr>
      </w:pPr>
      <w:r>
        <w:rPr>
          <w:rFonts w:cstheme="minorHAnsi"/>
          <w:b w:val="0"/>
          <w:noProof/>
          <w:lang w:val="en-US"/>
        </w:rPr>
        <w:fldChar w:fldCharType="end"/>
      </w:r>
    </w:p>
    <w:p w14:paraId="70AAB8C0" w14:textId="77777777" w:rsidR="003245B7" w:rsidRDefault="003245B7" w:rsidP="006F2F13">
      <w:pPr>
        <w:sectPr w:rsidR="003245B7" w:rsidSect="009B36E5">
          <w:headerReference w:type="first" r:id="rId16"/>
          <w:footerReference w:type="first" r:id="rId17"/>
          <w:pgSz w:w="11906" w:h="16838" w:code="9"/>
          <w:pgMar w:top="2835" w:right="2098" w:bottom="2466" w:left="2098" w:header="1814" w:footer="1814" w:gutter="0"/>
          <w:cols w:space="708"/>
          <w:titlePg/>
          <w:docGrid w:linePitch="360"/>
        </w:sectPr>
      </w:pPr>
    </w:p>
    <w:p w14:paraId="0A400564" w14:textId="18ECE284" w:rsidR="00625AA4" w:rsidRPr="009C0EA0" w:rsidRDefault="00625AA4" w:rsidP="00BA1839">
      <w:pPr>
        <w:pStyle w:val="Heading1"/>
      </w:pPr>
      <w:bookmarkStart w:id="0" w:name="_Toc166254076"/>
      <w:bookmarkStart w:id="1" w:name="_Toc166355536"/>
      <w:r w:rsidRPr="009C0EA0">
        <w:lastRenderedPageBreak/>
        <w:t xml:space="preserve">Statement 4: </w:t>
      </w:r>
      <w:r w:rsidR="00C63404" w:rsidRPr="009C0EA0">
        <w:t>Meeting Australia</w:t>
      </w:r>
      <w:r w:rsidR="0004287B">
        <w:t>’</w:t>
      </w:r>
      <w:r w:rsidR="00C63404" w:rsidRPr="009C0EA0">
        <w:t xml:space="preserve">s </w:t>
      </w:r>
      <w:r w:rsidR="000411C5" w:rsidRPr="009C0EA0">
        <w:t>Housing</w:t>
      </w:r>
      <w:r w:rsidR="00C63404" w:rsidRPr="009C0EA0">
        <w:t xml:space="preserve"> Challenge</w:t>
      </w:r>
      <w:bookmarkEnd w:id="0"/>
      <w:bookmarkEnd w:id="1"/>
    </w:p>
    <w:p w14:paraId="21DCE053" w14:textId="31257A8D" w:rsidR="00625AA4" w:rsidRPr="008D67C2" w:rsidRDefault="00A625AC" w:rsidP="00BA1839">
      <w:pPr>
        <w:pStyle w:val="Heading2"/>
      </w:pPr>
      <w:bookmarkStart w:id="2" w:name="_Toc166159053"/>
      <w:bookmarkStart w:id="3" w:name="_Toc166253957"/>
      <w:bookmarkStart w:id="4" w:name="_Toc166254077"/>
      <w:bookmarkStart w:id="5" w:name="_Toc166355537"/>
      <w:bookmarkStart w:id="6" w:name="_Toc117057000"/>
      <w:bookmarkStart w:id="7" w:name="_Toc117059944"/>
      <w:bookmarkStart w:id="8" w:name="_Toc110848265"/>
      <w:bookmarkStart w:id="9" w:name="_Toc114154968"/>
      <w:r w:rsidRPr="009C0EA0">
        <w:t xml:space="preserve">Australia has underinvested in housing </w:t>
      </w:r>
      <w:r w:rsidR="00FD6229" w:rsidRPr="009C0EA0">
        <w:t>for too long</w:t>
      </w:r>
      <w:bookmarkEnd w:id="2"/>
      <w:bookmarkEnd w:id="3"/>
      <w:bookmarkEnd w:id="4"/>
      <w:bookmarkEnd w:id="5"/>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DA6C9B" w:rsidRPr="008D67C2" w14:paraId="457599AF" w14:textId="77777777">
        <w:trPr>
          <w:cantSplit/>
        </w:trPr>
        <w:tc>
          <w:tcPr>
            <w:tcW w:w="5000" w:type="pct"/>
            <w:shd w:val="clear" w:color="auto" w:fill="E6F2FF"/>
          </w:tcPr>
          <w:p w14:paraId="2A02A854" w14:textId="348C7299" w:rsidR="00DA6C9B" w:rsidRPr="008D67C2" w:rsidRDefault="00DA6C9B">
            <w:pPr>
              <w:pStyle w:val="BoxHeading"/>
            </w:pPr>
            <w:bookmarkStart w:id="10" w:name="_Toc166159054"/>
            <w:bookmarkStart w:id="11" w:name="_Toc166253958"/>
            <w:r w:rsidRPr="008D67C2">
              <w:t>Box 4.1. Government</w:t>
            </w:r>
            <w:r w:rsidR="0004287B">
              <w:t>’</w:t>
            </w:r>
            <w:r w:rsidRPr="008D67C2">
              <w:t>s plan to correct Australia</w:t>
            </w:r>
            <w:r w:rsidR="0004287B">
              <w:t>’</w:t>
            </w:r>
            <w:r w:rsidRPr="008D67C2">
              <w:t>s housing underinvestment</w:t>
            </w:r>
          </w:p>
          <w:p w14:paraId="43005D3B" w14:textId="34749C44" w:rsidR="00DA6C9B" w:rsidRPr="009C0EA0" w:rsidRDefault="00DA6C9B" w:rsidP="00E44D46">
            <w:pPr>
              <w:pStyle w:val="BoxText"/>
              <w:rPr>
                <w:b/>
              </w:rPr>
            </w:pPr>
            <w:r w:rsidRPr="009C0EA0">
              <w:t xml:space="preserve">The Government has committed to $32 billion in new </w:t>
            </w:r>
            <w:r w:rsidR="008C27C5">
              <w:t>commitments</w:t>
            </w:r>
            <w:r w:rsidR="008C27C5" w:rsidRPr="009C0EA0">
              <w:t xml:space="preserve"> </w:t>
            </w:r>
            <w:r w:rsidRPr="009C0EA0">
              <w:t>including $6.2 billion in this Budget</w:t>
            </w:r>
            <w:r w:rsidR="004C7B3B" w:rsidRPr="009C0EA0">
              <w:t xml:space="preserve">, to address historic underinvestment </w:t>
            </w:r>
            <w:r w:rsidR="00B524D5" w:rsidRPr="009C0EA0">
              <w:t>i</w:t>
            </w:r>
            <w:r w:rsidR="004C7B3B" w:rsidRPr="009C0EA0">
              <w:t>n the Australian housing system</w:t>
            </w:r>
            <w:r w:rsidRPr="009C0EA0">
              <w:t>.</w:t>
            </w:r>
          </w:p>
          <w:p w14:paraId="504E43FA" w14:textId="457AC066" w:rsidR="00DA6C9B" w:rsidRPr="009C0EA0" w:rsidRDefault="00DA6C9B" w:rsidP="00E44D46">
            <w:pPr>
              <w:pStyle w:val="BoxText"/>
              <w:rPr>
                <w:b/>
              </w:rPr>
            </w:pPr>
            <w:r w:rsidRPr="009C0EA0">
              <w:t xml:space="preserve"> Actions under the Government</w:t>
            </w:r>
            <w:r w:rsidR="0004287B">
              <w:rPr>
                <w:b/>
              </w:rPr>
              <w:t>’</w:t>
            </w:r>
            <w:r w:rsidRPr="009C0EA0">
              <w:t>s plan include:</w:t>
            </w:r>
          </w:p>
          <w:p w14:paraId="6592B059" w14:textId="4F2A891B" w:rsidR="00DA6C9B" w:rsidRPr="008D67C2" w:rsidRDefault="00DA6C9B" w:rsidP="00E44D46">
            <w:pPr>
              <w:pStyle w:val="BoxBullet"/>
            </w:pPr>
            <w:r w:rsidRPr="009C0EA0">
              <w:t>A target for 1.2 million new, well</w:t>
            </w:r>
            <w:r w:rsidR="0004287B">
              <w:noBreakHyphen/>
            </w:r>
            <w:r w:rsidRPr="009C0EA0">
              <w:t>located homes backed by funding for the states to clear the bottlenecks and red tape preventing new homes from being built.</w:t>
            </w:r>
          </w:p>
          <w:p w14:paraId="47844110" w14:textId="41275824" w:rsidR="00DA6C9B" w:rsidRPr="009C0EA0" w:rsidRDefault="00DA6C9B" w:rsidP="00E44D46">
            <w:pPr>
              <w:pStyle w:val="BoxBullet"/>
            </w:pPr>
            <w:r w:rsidRPr="009C0EA0">
              <w:t>Funding 40,000 new social and affordable homes.</w:t>
            </w:r>
          </w:p>
          <w:p w14:paraId="37C0F0E2" w14:textId="734F3814" w:rsidR="00DA6C9B" w:rsidRPr="009C0EA0" w:rsidRDefault="00DA6C9B" w:rsidP="00E44D46">
            <w:pPr>
              <w:pStyle w:val="BoxBullet"/>
            </w:pPr>
            <w:r w:rsidRPr="009C0EA0">
              <w:t>Increasing support to renters by 40 per cent.</w:t>
            </w:r>
          </w:p>
          <w:p w14:paraId="7FE5E16B" w14:textId="3AF867CC" w:rsidR="00DA6C9B" w:rsidRPr="008D67C2" w:rsidRDefault="00DA6C9B" w:rsidP="00E44D46">
            <w:pPr>
              <w:pStyle w:val="BoxBullet"/>
            </w:pPr>
            <w:r w:rsidRPr="009C0EA0">
              <w:t>Helping more Australians into home ownership.</w:t>
            </w:r>
          </w:p>
          <w:p w14:paraId="3105C57A" w14:textId="5AA925C7" w:rsidR="00DA6C9B" w:rsidRPr="008D67C2" w:rsidRDefault="00DA6C9B" w:rsidP="00E44D46">
            <w:pPr>
              <w:pStyle w:val="BoxBullet"/>
            </w:pPr>
            <w:r w:rsidRPr="009C0EA0">
              <w:t>Requiring universities to build more student accommodation</w:t>
            </w:r>
            <w:r w:rsidR="0004287B">
              <w:t xml:space="preserve">. </w:t>
            </w:r>
          </w:p>
        </w:tc>
      </w:tr>
    </w:tbl>
    <w:p w14:paraId="263EB6F7" w14:textId="73A774E9" w:rsidR="00527704" w:rsidRPr="009C0EA0" w:rsidRDefault="00527704" w:rsidP="006D7657">
      <w:pPr>
        <w:pStyle w:val="Heading3"/>
      </w:pPr>
      <w:bookmarkStart w:id="12" w:name="_Toc166355538"/>
      <w:r w:rsidRPr="009C0EA0">
        <w:t>Australia has a housing shortage – we have too few homes for those who need them</w:t>
      </w:r>
      <w:bookmarkEnd w:id="10"/>
      <w:bookmarkEnd w:id="11"/>
      <w:bookmarkEnd w:id="12"/>
    </w:p>
    <w:p w14:paraId="5E13CBD3" w14:textId="1096C5B8" w:rsidR="00662928" w:rsidRPr="009C0EA0" w:rsidRDefault="009C1FA8" w:rsidP="00AE234F">
      <w:r w:rsidRPr="009C0EA0">
        <w:t>Australia</w:t>
      </w:r>
      <w:r w:rsidR="0004287B">
        <w:t>’</w:t>
      </w:r>
      <w:r w:rsidR="00F91CF5" w:rsidRPr="009C0EA0">
        <w:t xml:space="preserve">s housing system has been </w:t>
      </w:r>
      <w:r w:rsidR="00470512" w:rsidRPr="009C0EA0">
        <w:t>un</w:t>
      </w:r>
      <w:r w:rsidR="00F91CF5" w:rsidRPr="009C0EA0">
        <w:t xml:space="preserve">able to build </w:t>
      </w:r>
      <w:r w:rsidRPr="009C0EA0">
        <w:t xml:space="preserve">enough </w:t>
      </w:r>
      <w:r w:rsidR="00DB00BD" w:rsidRPr="009C0EA0">
        <w:t xml:space="preserve">new </w:t>
      </w:r>
      <w:r w:rsidRPr="009C0EA0">
        <w:t xml:space="preserve">housing stock to </w:t>
      </w:r>
      <w:r w:rsidR="005C74FE" w:rsidRPr="009C0EA0">
        <w:t>keep up with</w:t>
      </w:r>
      <w:r w:rsidRPr="009C0EA0">
        <w:t xml:space="preserve"> the needs of </w:t>
      </w:r>
      <w:r w:rsidR="004C7912" w:rsidRPr="009C0EA0">
        <w:t xml:space="preserve">our </w:t>
      </w:r>
      <w:r w:rsidRPr="009C0EA0">
        <w:t>population</w:t>
      </w:r>
      <w:r w:rsidR="00267C87" w:rsidRPr="009C0EA0">
        <w:t xml:space="preserve">. This </w:t>
      </w:r>
      <w:r w:rsidR="00360980" w:rsidRPr="009C0EA0">
        <w:t>has caused a</w:t>
      </w:r>
      <w:r w:rsidR="00013732" w:rsidRPr="009C0EA0">
        <w:t xml:space="preserve"> growing supply </w:t>
      </w:r>
      <w:r w:rsidR="00362F49" w:rsidRPr="009C0EA0">
        <w:t>deficit</w:t>
      </w:r>
      <w:r w:rsidR="009C599E" w:rsidRPr="009C0EA0">
        <w:t xml:space="preserve">, </w:t>
      </w:r>
      <w:r w:rsidR="00714369" w:rsidRPr="009C0EA0">
        <w:t xml:space="preserve">resulting in worsening affordability for </w:t>
      </w:r>
      <w:r w:rsidR="00F54C88" w:rsidRPr="009C0EA0">
        <w:t xml:space="preserve">both </w:t>
      </w:r>
      <w:r w:rsidR="00714369" w:rsidRPr="009C0EA0">
        <w:t xml:space="preserve">renters and </w:t>
      </w:r>
      <w:r w:rsidR="00F54C88" w:rsidRPr="009C0EA0">
        <w:t>first</w:t>
      </w:r>
      <w:r w:rsidR="0004287B">
        <w:noBreakHyphen/>
      </w:r>
      <w:r w:rsidR="00F54C88" w:rsidRPr="009C0EA0">
        <w:t xml:space="preserve">home buyers. Concerted action and national leadership </w:t>
      </w:r>
      <w:r w:rsidR="008836DA" w:rsidRPr="009C0EA0">
        <w:t>are</w:t>
      </w:r>
      <w:r w:rsidR="00F54C88" w:rsidRPr="009C0EA0">
        <w:t xml:space="preserve"> needed</w:t>
      </w:r>
      <w:r w:rsidR="00714369" w:rsidRPr="009C0EA0">
        <w:t xml:space="preserve"> </w:t>
      </w:r>
      <w:r w:rsidR="008E7438" w:rsidRPr="009C0EA0">
        <w:t>to</w:t>
      </w:r>
      <w:r w:rsidR="00F54C88" w:rsidRPr="009C0EA0">
        <w:t xml:space="preserve"> increase investment in housing and improve supply</w:t>
      </w:r>
      <w:r w:rsidR="00F515A8" w:rsidRPr="009C0EA0">
        <w:t>.</w:t>
      </w:r>
      <w:r w:rsidR="009E19C0" w:rsidRPr="009C0EA0">
        <w:t xml:space="preserve"> </w:t>
      </w:r>
      <w:r w:rsidR="00740EE9" w:rsidRPr="009C0EA0">
        <w:t xml:space="preserve">Additional supply is </w:t>
      </w:r>
      <w:r w:rsidR="008C1DCC" w:rsidRPr="009C0EA0">
        <w:t xml:space="preserve">necessary </w:t>
      </w:r>
      <w:r w:rsidR="00740EE9" w:rsidRPr="009C0EA0">
        <w:t xml:space="preserve">to accommodate </w:t>
      </w:r>
      <w:r w:rsidR="00787BAA" w:rsidRPr="009C0EA0">
        <w:t>our</w:t>
      </w:r>
      <w:r w:rsidR="00740EE9" w:rsidRPr="009C0EA0">
        <w:t xml:space="preserve"> population</w:t>
      </w:r>
      <w:r w:rsidR="003509B3" w:rsidRPr="009C0EA0">
        <w:t xml:space="preserve">. </w:t>
      </w:r>
      <w:r w:rsidR="00907942" w:rsidRPr="009C0EA0">
        <w:t xml:space="preserve">However, lags between increased demand for housing and additional supply of dwellings can </w:t>
      </w:r>
      <w:r w:rsidR="00C8195F" w:rsidRPr="009C0EA0">
        <w:t xml:space="preserve">create acute pressures for households. This can include </w:t>
      </w:r>
      <w:r w:rsidR="00184107" w:rsidRPr="009C0EA0">
        <w:t xml:space="preserve">a tighter rental market and upward pressure on rents. </w:t>
      </w:r>
    </w:p>
    <w:p w14:paraId="5DCB3673" w14:textId="428EA65E" w:rsidR="0000369C" w:rsidRDefault="00E11169" w:rsidP="00AE234F">
      <w:r w:rsidRPr="009C0EA0">
        <w:t xml:space="preserve">Between </w:t>
      </w:r>
      <w:r w:rsidR="00181393" w:rsidRPr="009C0EA0">
        <w:t>19</w:t>
      </w:r>
      <w:r w:rsidR="0086418D" w:rsidRPr="009C0EA0">
        <w:t>93</w:t>
      </w:r>
      <w:r w:rsidR="00540FCD" w:rsidRPr="009C0EA0">
        <w:t xml:space="preserve"> </w:t>
      </w:r>
      <w:r w:rsidR="006C7C93" w:rsidRPr="009C0EA0">
        <w:t>and</w:t>
      </w:r>
      <w:r w:rsidR="00540FCD" w:rsidRPr="009C0EA0">
        <w:t xml:space="preserve"> 2011, </w:t>
      </w:r>
      <w:r w:rsidR="005923E5" w:rsidRPr="009C0EA0">
        <w:t xml:space="preserve">steady </w:t>
      </w:r>
      <w:r w:rsidR="003534C7" w:rsidRPr="009C0EA0">
        <w:t>rates of</w:t>
      </w:r>
      <w:r w:rsidR="0025205A" w:rsidRPr="009C0EA0">
        <w:t xml:space="preserve"> </w:t>
      </w:r>
      <w:r w:rsidR="007A5DBF" w:rsidRPr="009C0EA0">
        <w:t xml:space="preserve">housing </w:t>
      </w:r>
      <w:r w:rsidR="006060A8" w:rsidRPr="009C0EA0">
        <w:t xml:space="preserve">construction </w:t>
      </w:r>
      <w:r w:rsidR="00FA2D1B" w:rsidRPr="009C0EA0">
        <w:t xml:space="preserve">were able to meet the needs of a growing population which increased by </w:t>
      </w:r>
      <w:r w:rsidR="0067621B" w:rsidRPr="009C0EA0">
        <w:t>27</w:t>
      </w:r>
      <w:r w:rsidR="0079584A" w:rsidRPr="009C0EA0">
        <w:t> per cent</w:t>
      </w:r>
      <w:r w:rsidR="00FA2D1B" w:rsidRPr="009C0EA0">
        <w:t xml:space="preserve"> over the same period</w:t>
      </w:r>
      <w:r w:rsidR="00E719F1" w:rsidRPr="009C0EA0">
        <w:t>.</w:t>
      </w:r>
      <w:r w:rsidR="003748A6" w:rsidRPr="009C0EA0">
        <w:t xml:space="preserve"> </w:t>
      </w:r>
      <w:r w:rsidR="00422673" w:rsidRPr="009C0EA0">
        <w:t xml:space="preserve">From </w:t>
      </w:r>
      <w:r w:rsidR="005F0999" w:rsidRPr="009C0EA0">
        <w:t>201</w:t>
      </w:r>
      <w:r w:rsidR="0051041C" w:rsidRPr="009C0EA0">
        <w:t>4</w:t>
      </w:r>
      <w:r w:rsidR="005F0999" w:rsidRPr="009C0EA0">
        <w:t xml:space="preserve"> to 2018</w:t>
      </w:r>
      <w:r w:rsidR="00464750" w:rsidRPr="009C0EA0">
        <w:t> </w:t>
      </w:r>
      <w:r w:rsidR="00F276CE" w:rsidRPr="009C0EA0">
        <w:t>strong growth in</w:t>
      </w:r>
      <w:r w:rsidR="002475CF" w:rsidRPr="009C0EA0">
        <w:t xml:space="preserve"> medium</w:t>
      </w:r>
      <w:r w:rsidR="0004287B">
        <w:noBreakHyphen/>
      </w:r>
      <w:r w:rsidR="002475CF" w:rsidRPr="009C0EA0">
        <w:t>high density dwellings contribut</w:t>
      </w:r>
      <w:r w:rsidR="008876F7" w:rsidRPr="009C0EA0">
        <w:t>ed</w:t>
      </w:r>
      <w:r w:rsidR="00C31629" w:rsidRPr="009C0EA0">
        <w:t xml:space="preserve"> significantly to supply</w:t>
      </w:r>
      <w:r w:rsidR="005A2A99" w:rsidRPr="009C0EA0">
        <w:t xml:space="preserve">, with </w:t>
      </w:r>
      <w:r w:rsidR="00731903" w:rsidRPr="009C0EA0">
        <w:t xml:space="preserve">low interest </w:t>
      </w:r>
      <w:r w:rsidR="00FC6D81" w:rsidRPr="009C0EA0">
        <w:t xml:space="preserve">rates </w:t>
      </w:r>
      <w:r w:rsidR="00731903" w:rsidRPr="009C0EA0">
        <w:t xml:space="preserve">encouraging </w:t>
      </w:r>
      <w:r w:rsidR="00C3350D" w:rsidRPr="009C0EA0">
        <w:t xml:space="preserve">a </w:t>
      </w:r>
      <w:r w:rsidR="00731903" w:rsidRPr="009C0EA0">
        <w:t>significant pick up in invest</w:t>
      </w:r>
      <w:r w:rsidR="006802FE" w:rsidRPr="009C0EA0">
        <w:t>or activity</w:t>
      </w:r>
      <w:r w:rsidR="00C31629" w:rsidRPr="009C0EA0">
        <w:t xml:space="preserve"> </w:t>
      </w:r>
      <w:r w:rsidR="004046C6" w:rsidRPr="009C0EA0">
        <w:t>(Chart</w:t>
      </w:r>
      <w:r w:rsidR="00BF06B7" w:rsidRPr="009C0EA0">
        <w:t> </w:t>
      </w:r>
      <w:r w:rsidR="004046C6" w:rsidRPr="009C0EA0">
        <w:t>4.</w:t>
      </w:r>
      <w:r w:rsidR="00C1089E" w:rsidRPr="009C0EA0">
        <w:t>1</w:t>
      </w:r>
      <w:r w:rsidR="004046C6" w:rsidRPr="009C0EA0">
        <w:t>).</w:t>
      </w:r>
      <w:r w:rsidR="002475CF" w:rsidRPr="009C0EA0">
        <w:t xml:space="preserve"> Supporting the housing market to respond more flexibly to changes</w:t>
      </w:r>
      <w:r w:rsidR="00020B9A" w:rsidRPr="009C0EA0">
        <w:t xml:space="preserve"> </w:t>
      </w:r>
      <w:r w:rsidR="00AF6FD5" w:rsidRPr="009C0EA0">
        <w:t>in</w:t>
      </w:r>
      <w:r w:rsidR="00020B9A" w:rsidRPr="009C0EA0">
        <w:t xml:space="preserve"> </w:t>
      </w:r>
      <w:r w:rsidR="002475CF" w:rsidRPr="009C0EA0">
        <w:t xml:space="preserve">demand </w:t>
      </w:r>
      <w:r w:rsidR="008B0AEB" w:rsidRPr="009C0EA0">
        <w:t>– including well</w:t>
      </w:r>
      <w:r w:rsidR="0004287B">
        <w:noBreakHyphen/>
      </w:r>
      <w:r w:rsidR="008B0AEB" w:rsidRPr="009C0EA0">
        <w:t>located medium</w:t>
      </w:r>
      <w:r w:rsidR="0004287B">
        <w:noBreakHyphen/>
      </w:r>
      <w:r w:rsidR="008B0AEB" w:rsidRPr="009C0EA0">
        <w:t>high density housing</w:t>
      </w:r>
      <w:r w:rsidR="00247AED" w:rsidRPr="009C0EA0">
        <w:t xml:space="preserve"> – </w:t>
      </w:r>
      <w:r w:rsidR="00392687" w:rsidRPr="009C0EA0">
        <w:t>will help</w:t>
      </w:r>
      <w:r w:rsidR="002475CF" w:rsidRPr="009C0EA0">
        <w:t xml:space="preserve"> </w:t>
      </w:r>
      <w:r w:rsidR="008B0AEB" w:rsidRPr="009C0EA0">
        <w:t>address Australia</w:t>
      </w:r>
      <w:r w:rsidR="0004287B">
        <w:t>’</w:t>
      </w:r>
      <w:r w:rsidR="008B0AEB" w:rsidRPr="009C0EA0">
        <w:t xml:space="preserve">s housing supply shortage and meet the needs </w:t>
      </w:r>
      <w:r w:rsidR="00787BAA" w:rsidRPr="009C0EA0">
        <w:t xml:space="preserve">of </w:t>
      </w:r>
      <w:r w:rsidR="008B0AEB" w:rsidRPr="009C0EA0">
        <w:t>current and future generations.</w:t>
      </w:r>
      <w:r w:rsidR="002475CF" w:rsidRPr="00B35D17">
        <w:t xml:space="preserve"> </w:t>
      </w:r>
    </w:p>
    <w:p w14:paraId="05D4C73B" w14:textId="5A3876E5" w:rsidR="00085B47" w:rsidRDefault="00085B47" w:rsidP="00085B47">
      <w:pPr>
        <w:pStyle w:val="ChartHeading"/>
      </w:pPr>
      <w:r w:rsidRPr="009C0EA0">
        <w:lastRenderedPageBreak/>
        <w:t>Chart 4.1: New private dwelling completions, by type</w:t>
      </w:r>
    </w:p>
    <w:p w14:paraId="595AA3BF" w14:textId="09022637" w:rsidR="00085B47" w:rsidRPr="0032797C" w:rsidRDefault="000417B6" w:rsidP="004F462B">
      <w:pPr>
        <w:pStyle w:val="ChartandTableFootnote"/>
      </w:pPr>
      <w:r>
        <w:pict w14:anchorId="53D7F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stacked bar chart shows new private dwelling completions between 1992-93 and 2022-23 for houses and medium-high density dwellings. In 1992-93 there were approximately 112,300 housing completions, and 32,900 medium-high density dwelling completions. In 2022-23 there were approximately 109,300 house completions and 59,900 medium-high density dwelling completions. " style="width:369.15pt;height:199.35pt">
            <v:imagedata r:id="rId18" o:title=""/>
          </v:shape>
        </w:pict>
      </w:r>
      <w:r w:rsidR="00085B47" w:rsidRPr="0032797C">
        <w:t xml:space="preserve">Source: </w:t>
      </w:r>
      <w:r w:rsidR="00085B47">
        <w:tab/>
      </w:r>
      <w:r w:rsidR="00085B47" w:rsidRPr="0032797C">
        <w:t xml:space="preserve">ABS Building Activity </w:t>
      </w:r>
    </w:p>
    <w:p w14:paraId="35495550" w14:textId="0E1B8B45" w:rsidR="00085B47" w:rsidRDefault="00085B47" w:rsidP="00085B47">
      <w:pPr>
        <w:pStyle w:val="ChartandTableFootnote"/>
      </w:pPr>
      <w:r w:rsidRPr="0032797C">
        <w:t xml:space="preserve">Note: </w:t>
      </w:r>
      <w:r>
        <w:tab/>
      </w:r>
      <w:r w:rsidRPr="0032797C">
        <w:t xml:space="preserve">Data </w:t>
      </w:r>
      <w:r w:rsidR="006D41C2">
        <w:t>are</w:t>
      </w:r>
      <w:r w:rsidRPr="0032797C">
        <w:t xml:space="preserve"> original.</w:t>
      </w:r>
    </w:p>
    <w:p w14:paraId="72D2F52A" w14:textId="77777777" w:rsidR="00085B47" w:rsidRPr="00085B47" w:rsidRDefault="00085B47" w:rsidP="0025758A">
      <w:pPr>
        <w:pStyle w:val="ChartLine"/>
      </w:pPr>
    </w:p>
    <w:p w14:paraId="60652334" w14:textId="77777777" w:rsidR="00085B47" w:rsidRDefault="00085B47">
      <w:pPr>
        <w:spacing w:before="0" w:after="160" w:line="259" w:lineRule="auto"/>
        <w:rPr>
          <w:rFonts w:ascii="Arial Bold" w:hAnsi="Arial Bold"/>
          <w:b/>
          <w:sz w:val="22"/>
          <w:lang w:val="en-GB"/>
        </w:rPr>
      </w:pPr>
      <w:bookmarkStart w:id="13" w:name="_Toc166159055"/>
      <w:r>
        <w:rPr>
          <w:lang w:val="en-GB"/>
        </w:rPr>
        <w:br w:type="page"/>
      </w:r>
    </w:p>
    <w:p w14:paraId="2C69832A" w14:textId="612C0E43" w:rsidR="00C51079" w:rsidRPr="009C0EA0" w:rsidRDefault="00326944" w:rsidP="007B3BDE">
      <w:pPr>
        <w:pStyle w:val="Heading3"/>
        <w:rPr>
          <w:lang w:val="en-GB"/>
        </w:rPr>
      </w:pPr>
      <w:bookmarkStart w:id="14" w:name="_Toc166253959"/>
      <w:bookmarkStart w:id="15" w:name="_Toc166355539"/>
      <w:r w:rsidRPr="009C0EA0">
        <w:rPr>
          <w:lang w:val="en-GB"/>
        </w:rPr>
        <w:lastRenderedPageBreak/>
        <w:t>Australia</w:t>
      </w:r>
      <w:r w:rsidR="0004287B">
        <w:rPr>
          <w:lang w:val="en-GB"/>
        </w:rPr>
        <w:t>’</w:t>
      </w:r>
      <w:r w:rsidRPr="009C0EA0">
        <w:rPr>
          <w:lang w:val="en-GB"/>
        </w:rPr>
        <w:t xml:space="preserve">s level of housing </w:t>
      </w:r>
      <w:r w:rsidRPr="009C0EA0">
        <w:t>supply</w:t>
      </w:r>
      <w:r w:rsidRPr="009C0EA0">
        <w:rPr>
          <w:lang w:val="en-GB"/>
        </w:rPr>
        <w:t xml:space="preserve"> is low by </w:t>
      </w:r>
      <w:r w:rsidRPr="009C0EA0">
        <w:t>international</w:t>
      </w:r>
      <w:r w:rsidRPr="009C0EA0">
        <w:rPr>
          <w:lang w:val="en-GB"/>
        </w:rPr>
        <w:t xml:space="preserve"> standards</w:t>
      </w:r>
      <w:bookmarkEnd w:id="13"/>
      <w:bookmarkEnd w:id="14"/>
      <w:bookmarkEnd w:id="15"/>
    </w:p>
    <w:p w14:paraId="067CC102" w14:textId="201D5ADD" w:rsidR="00354BE3" w:rsidRPr="009C0EA0" w:rsidRDefault="00BE2B9D" w:rsidP="008A7912">
      <w:pPr>
        <w:rPr>
          <w:lang w:val="en-GB"/>
        </w:rPr>
      </w:pPr>
      <w:r w:rsidRPr="009C0EA0">
        <w:rPr>
          <w:lang w:val="en-GB"/>
        </w:rPr>
        <w:t xml:space="preserve">Chart </w:t>
      </w:r>
      <w:r w:rsidR="00E16A9A" w:rsidRPr="009C0EA0">
        <w:rPr>
          <w:lang w:val="en-GB"/>
        </w:rPr>
        <w:t>4.</w:t>
      </w:r>
      <w:r w:rsidR="00472169" w:rsidRPr="009C0EA0">
        <w:rPr>
          <w:lang w:val="en-GB"/>
        </w:rPr>
        <w:t>2</w:t>
      </w:r>
      <w:r w:rsidRPr="009C0EA0">
        <w:rPr>
          <w:lang w:val="en-GB"/>
        </w:rPr>
        <w:t xml:space="preserve"> </w:t>
      </w:r>
      <w:r w:rsidR="0082508A" w:rsidRPr="009C0EA0">
        <w:rPr>
          <w:lang w:val="en-GB"/>
        </w:rPr>
        <w:t>shows</w:t>
      </w:r>
      <w:r w:rsidR="009E5E54" w:rsidRPr="009C0EA0">
        <w:rPr>
          <w:lang w:val="en-GB"/>
        </w:rPr>
        <w:t xml:space="preserve"> Australia</w:t>
      </w:r>
      <w:r w:rsidR="0004287B">
        <w:rPr>
          <w:lang w:val="en-GB"/>
        </w:rPr>
        <w:t>’</w:t>
      </w:r>
      <w:r w:rsidR="009E5E54" w:rsidRPr="009C0EA0">
        <w:rPr>
          <w:lang w:val="en-GB"/>
        </w:rPr>
        <w:t xml:space="preserve">s </w:t>
      </w:r>
      <w:r w:rsidR="00F13969" w:rsidRPr="009C0EA0">
        <w:rPr>
          <w:lang w:val="en-GB"/>
        </w:rPr>
        <w:t>housing</w:t>
      </w:r>
      <w:r w:rsidR="00244F6E" w:rsidRPr="009C0EA0">
        <w:rPr>
          <w:lang w:val="en-GB"/>
        </w:rPr>
        <w:t xml:space="preserve"> supply </w:t>
      </w:r>
      <w:r w:rsidR="00782747" w:rsidRPr="009C0EA0">
        <w:rPr>
          <w:lang w:val="en-GB"/>
        </w:rPr>
        <w:t>relative to other</w:t>
      </w:r>
      <w:r w:rsidR="00F13969" w:rsidRPr="009C0EA0">
        <w:rPr>
          <w:lang w:val="en-GB"/>
        </w:rPr>
        <w:t xml:space="preserve"> OECD countries</w:t>
      </w:r>
      <w:r w:rsidR="002E02D2" w:rsidRPr="009C0EA0">
        <w:rPr>
          <w:lang w:val="en-GB"/>
        </w:rPr>
        <w:t xml:space="preserve">. </w:t>
      </w:r>
      <w:r w:rsidR="00354BE3" w:rsidRPr="009C0EA0">
        <w:rPr>
          <w:lang w:val="en-GB"/>
        </w:rPr>
        <w:t xml:space="preserve">While differences across OECD countries reflect a range of factors including differences in age structure, population growth, cultural norms, </w:t>
      </w:r>
      <w:r w:rsidR="002C68AD" w:rsidRPr="009C0EA0">
        <w:rPr>
          <w:lang w:val="en-GB"/>
        </w:rPr>
        <w:t>and the size and quality of the housing stock,</w:t>
      </w:r>
      <w:r w:rsidR="00354BE3" w:rsidRPr="009C0EA0">
        <w:rPr>
          <w:lang w:val="en-GB"/>
        </w:rPr>
        <w:t xml:space="preserve"> Australia has fewer dwellings per 1,000 people than the OECD average.</w:t>
      </w:r>
    </w:p>
    <w:p w14:paraId="02891C7C" w14:textId="515B159D" w:rsidR="00182E95" w:rsidRPr="009C0EA0" w:rsidRDefault="00182E95" w:rsidP="008A7912">
      <w:pPr>
        <w:rPr>
          <w:lang w:val="en-GB"/>
        </w:rPr>
      </w:pPr>
      <w:r w:rsidRPr="009C0EA0">
        <w:rPr>
          <w:lang w:val="en-GB"/>
        </w:rPr>
        <w:t>According to the OECD, Australia</w:t>
      </w:r>
      <w:r w:rsidR="0004287B">
        <w:rPr>
          <w:lang w:val="en-GB"/>
        </w:rPr>
        <w:t>’</w:t>
      </w:r>
      <w:r w:rsidRPr="009C0EA0">
        <w:rPr>
          <w:lang w:val="en-GB"/>
        </w:rPr>
        <w:t xml:space="preserve">s level of housing supply was </w:t>
      </w:r>
      <w:r w:rsidR="00E17144" w:rsidRPr="009C0EA0">
        <w:rPr>
          <w:lang w:val="en-GB"/>
        </w:rPr>
        <w:t xml:space="preserve">at </w:t>
      </w:r>
      <w:r w:rsidR="002127E4" w:rsidRPr="009C0EA0">
        <w:rPr>
          <w:lang w:val="en-GB"/>
        </w:rPr>
        <w:t>403</w:t>
      </w:r>
      <w:r w:rsidR="00E17144" w:rsidRPr="009C0EA0">
        <w:rPr>
          <w:lang w:val="en-GB"/>
        </w:rPr>
        <w:t xml:space="preserve"> per 1</w:t>
      </w:r>
      <w:r w:rsidR="002127E4" w:rsidRPr="009C0EA0">
        <w:rPr>
          <w:lang w:val="en-GB"/>
        </w:rPr>
        <w:t>,</w:t>
      </w:r>
      <w:r w:rsidR="00E17144" w:rsidRPr="009C0EA0">
        <w:rPr>
          <w:lang w:val="en-GB"/>
        </w:rPr>
        <w:t>000</w:t>
      </w:r>
      <w:r w:rsidR="00724645" w:rsidRPr="009C0EA0">
        <w:rPr>
          <w:lang w:val="en-GB"/>
        </w:rPr>
        <w:t> </w:t>
      </w:r>
      <w:r w:rsidR="00E17144" w:rsidRPr="009C0EA0">
        <w:rPr>
          <w:lang w:val="en-GB"/>
        </w:rPr>
        <w:t>people in</w:t>
      </w:r>
      <w:r w:rsidR="00724645" w:rsidRPr="009C0EA0">
        <w:rPr>
          <w:lang w:val="en-GB"/>
        </w:rPr>
        <w:t> </w:t>
      </w:r>
      <w:r w:rsidR="00E17144" w:rsidRPr="009C0EA0">
        <w:rPr>
          <w:lang w:val="en-GB"/>
        </w:rPr>
        <w:t>2011</w:t>
      </w:r>
      <w:r w:rsidR="00A64D22" w:rsidRPr="009C0EA0">
        <w:rPr>
          <w:lang w:val="en-GB"/>
        </w:rPr>
        <w:t xml:space="preserve">. This </w:t>
      </w:r>
      <w:r w:rsidR="00E17144" w:rsidRPr="009C0EA0">
        <w:rPr>
          <w:lang w:val="en-GB"/>
        </w:rPr>
        <w:t>increas</w:t>
      </w:r>
      <w:r w:rsidR="00A64D22" w:rsidRPr="009C0EA0">
        <w:rPr>
          <w:lang w:val="en-GB"/>
        </w:rPr>
        <w:t xml:space="preserve">ed </w:t>
      </w:r>
      <w:r w:rsidR="00E17144" w:rsidRPr="009C0EA0">
        <w:rPr>
          <w:lang w:val="en-GB"/>
        </w:rPr>
        <w:t xml:space="preserve">to </w:t>
      </w:r>
      <w:r w:rsidR="000C7C9E" w:rsidRPr="009C0EA0">
        <w:rPr>
          <w:lang w:val="en-GB"/>
        </w:rPr>
        <w:t>420</w:t>
      </w:r>
      <w:r w:rsidR="00E17144" w:rsidRPr="009C0EA0">
        <w:rPr>
          <w:lang w:val="en-GB"/>
        </w:rPr>
        <w:t xml:space="preserve"> per 1</w:t>
      </w:r>
      <w:r w:rsidR="000C7C9E" w:rsidRPr="009C0EA0">
        <w:rPr>
          <w:lang w:val="en-GB"/>
        </w:rPr>
        <w:t>,</w:t>
      </w:r>
      <w:r w:rsidR="00E17144" w:rsidRPr="009C0EA0">
        <w:rPr>
          <w:lang w:val="en-GB"/>
        </w:rPr>
        <w:t>000 people in 2022</w:t>
      </w:r>
      <w:r w:rsidR="00954C8F" w:rsidRPr="009C0EA0">
        <w:rPr>
          <w:lang w:val="en-GB"/>
        </w:rPr>
        <w:t xml:space="preserve">. </w:t>
      </w:r>
      <w:r w:rsidR="000F7F99" w:rsidRPr="009C0EA0">
        <w:rPr>
          <w:lang w:val="en-GB"/>
        </w:rPr>
        <w:t>However, this</w:t>
      </w:r>
      <w:r w:rsidR="00954C8F" w:rsidRPr="009C0EA0">
        <w:rPr>
          <w:lang w:val="en-GB"/>
        </w:rPr>
        <w:t xml:space="preserve"> incre</w:t>
      </w:r>
      <w:r w:rsidR="00EB0583" w:rsidRPr="009C0EA0">
        <w:rPr>
          <w:lang w:val="en-GB"/>
        </w:rPr>
        <w:t>ase</w:t>
      </w:r>
      <w:r w:rsidR="0000450E" w:rsidRPr="009C0EA0">
        <w:rPr>
          <w:lang w:val="en-GB"/>
        </w:rPr>
        <w:t xml:space="preserve"> </w:t>
      </w:r>
      <w:r w:rsidR="00EB0583" w:rsidRPr="009C0EA0">
        <w:rPr>
          <w:lang w:val="en-GB"/>
        </w:rPr>
        <w:t xml:space="preserve">in </w:t>
      </w:r>
      <w:r w:rsidR="000F7F99" w:rsidRPr="009C0EA0">
        <w:rPr>
          <w:lang w:val="en-GB"/>
        </w:rPr>
        <w:t>supply was insufficient to</w:t>
      </w:r>
      <w:r w:rsidR="00334E91" w:rsidRPr="009C0EA0">
        <w:rPr>
          <w:lang w:val="en-GB"/>
        </w:rPr>
        <w:t xml:space="preserve"> keep pace with </w:t>
      </w:r>
      <w:r w:rsidR="008009B1" w:rsidRPr="009C0EA0">
        <w:rPr>
          <w:lang w:val="en-GB"/>
        </w:rPr>
        <w:t>international peers,</w:t>
      </w:r>
      <w:r w:rsidR="0000450E" w:rsidRPr="009C0EA0">
        <w:rPr>
          <w:lang w:val="en-GB"/>
        </w:rPr>
        <w:t xml:space="preserve"> falling from </w:t>
      </w:r>
      <w:r w:rsidRPr="009C0EA0">
        <w:rPr>
          <w:lang w:val="en-GB"/>
        </w:rPr>
        <w:t>around 92</w:t>
      </w:r>
      <w:r w:rsidR="0079584A" w:rsidRPr="009C0EA0">
        <w:rPr>
          <w:lang w:val="en-GB"/>
        </w:rPr>
        <w:t> per cent</w:t>
      </w:r>
      <w:r w:rsidRPr="009C0EA0">
        <w:rPr>
          <w:lang w:val="en-GB"/>
        </w:rPr>
        <w:t xml:space="preserve"> of the OECD average in 2011</w:t>
      </w:r>
      <w:r w:rsidR="0000450E" w:rsidRPr="009C0EA0">
        <w:rPr>
          <w:lang w:val="en-GB"/>
        </w:rPr>
        <w:t xml:space="preserve"> to </w:t>
      </w:r>
      <w:r w:rsidRPr="009C0EA0">
        <w:rPr>
          <w:lang w:val="en-GB"/>
        </w:rPr>
        <w:t>90</w:t>
      </w:r>
      <w:r w:rsidR="0079584A" w:rsidRPr="009C0EA0">
        <w:rPr>
          <w:lang w:val="en-GB"/>
        </w:rPr>
        <w:t> per cent</w:t>
      </w:r>
      <w:r w:rsidRPr="009C0EA0">
        <w:rPr>
          <w:lang w:val="en-GB"/>
        </w:rPr>
        <w:t xml:space="preserve"> of the OECD average by 2022.</w:t>
      </w:r>
    </w:p>
    <w:p w14:paraId="74F97E90" w14:textId="755A27A2" w:rsidR="00FE5C3C" w:rsidRPr="009C0EA0" w:rsidRDefault="00A716CD" w:rsidP="008A7912">
      <w:pPr>
        <w:rPr>
          <w:lang w:val="en-GB"/>
        </w:rPr>
      </w:pPr>
      <w:r w:rsidRPr="009C0EA0">
        <w:rPr>
          <w:lang w:val="en-GB"/>
        </w:rPr>
        <w:t>Australia lags</w:t>
      </w:r>
      <w:r w:rsidR="00B732B6" w:rsidRPr="009C0EA0">
        <w:rPr>
          <w:lang w:val="en-GB"/>
        </w:rPr>
        <w:t xml:space="preserve"> behind </w:t>
      </w:r>
      <w:r w:rsidR="00EA432B" w:rsidRPr="009C0EA0">
        <w:rPr>
          <w:lang w:val="en-GB"/>
        </w:rPr>
        <w:t xml:space="preserve">other countries like </w:t>
      </w:r>
      <w:r w:rsidR="00B732B6" w:rsidRPr="009C0EA0">
        <w:rPr>
          <w:lang w:val="en-GB"/>
        </w:rPr>
        <w:t>Canada, the US and the UK (England) in terms</w:t>
      </w:r>
      <w:r w:rsidR="00C36BD1" w:rsidRPr="009C0EA0">
        <w:rPr>
          <w:lang w:val="en-GB"/>
        </w:rPr>
        <w:t xml:space="preserve"> of dwellings per 1,000 people</w:t>
      </w:r>
      <w:r w:rsidR="0035311F" w:rsidRPr="009C0EA0">
        <w:rPr>
          <w:lang w:val="en-GB"/>
        </w:rPr>
        <w:t xml:space="preserve">. </w:t>
      </w:r>
    </w:p>
    <w:p w14:paraId="26447F13" w14:textId="2F2320DA" w:rsidR="00CA1624" w:rsidRPr="009150E6" w:rsidRDefault="00D11E9B" w:rsidP="00073CFB">
      <w:pPr>
        <w:pStyle w:val="ChartHeading"/>
      </w:pPr>
      <w:r w:rsidRPr="009C0EA0">
        <w:t xml:space="preserve">Chart </w:t>
      </w:r>
      <w:r w:rsidR="00E16A9A" w:rsidRPr="009C0EA0">
        <w:t>4</w:t>
      </w:r>
      <w:r w:rsidRPr="009C0EA0">
        <w:t>.</w:t>
      </w:r>
      <w:r w:rsidR="00C1306A" w:rsidRPr="009C0EA0">
        <w:t>2</w:t>
      </w:r>
      <w:r w:rsidRPr="009C0EA0">
        <w:t>: Dwellings per 1,000 people, Australia and OECD average</w:t>
      </w:r>
    </w:p>
    <w:p w14:paraId="05F75E36" w14:textId="077982CA" w:rsidR="00D1058E" w:rsidRPr="009150E6" w:rsidRDefault="000417B6" w:rsidP="003B4673">
      <w:pPr>
        <w:pStyle w:val="ChartandTableFootnote"/>
        <w:rPr>
          <w:color w:val="auto"/>
        </w:rPr>
      </w:pPr>
      <w:r>
        <w:pict w14:anchorId="0A234E24">
          <v:shape id="_x0000_i1026" type="#_x0000_t75" alt="This bar chart compares dwellings per 1000 people for OECD countries in 2011 and 2022. Australia for 2011 and 2022 is shaded in red and the OECD average is shaded in blue for 2011 and 2022. In 2011, Australia had 403 dwellings per 1,000 people and in 2022, Australia had 420 dwellings per 1,000 people. In 2011, the OECD average was 438 dwellings per 1,000 people and in 2022, the OECD average was 468 dwellings per 1,000 people. Australia lags behind other countries like Canada, the US and the UK (England) in terms of dwellings per 1,000 people." style="width:384.2pt;height:204.2pt">
            <v:imagedata r:id="rId19" o:title=""/>
          </v:shape>
        </w:pict>
      </w:r>
      <w:r w:rsidR="00D1058E" w:rsidRPr="009150E6">
        <w:rPr>
          <w:color w:val="auto"/>
        </w:rPr>
        <w:t xml:space="preserve">Source: </w:t>
      </w:r>
      <w:r w:rsidR="00303F1B" w:rsidRPr="009150E6">
        <w:rPr>
          <w:color w:val="auto"/>
        </w:rPr>
        <w:tab/>
      </w:r>
      <w:r w:rsidR="00D1058E" w:rsidRPr="009150E6">
        <w:rPr>
          <w:color w:val="auto"/>
        </w:rPr>
        <w:t>OECD</w:t>
      </w:r>
      <w:r w:rsidR="00230B57" w:rsidRPr="009150E6">
        <w:rPr>
          <w:color w:val="auto"/>
        </w:rPr>
        <w:t>, Treasury</w:t>
      </w:r>
    </w:p>
    <w:p w14:paraId="6D89237B" w14:textId="242CB447" w:rsidR="00CD1E8E" w:rsidRPr="009150E6" w:rsidRDefault="00CD1E8E" w:rsidP="00303F1B">
      <w:pPr>
        <w:pStyle w:val="ChartandTableFootnote"/>
        <w:rPr>
          <w:color w:val="auto"/>
          <w:lang w:val="en-GB"/>
        </w:rPr>
      </w:pPr>
      <w:r w:rsidRPr="009150E6">
        <w:rPr>
          <w:color w:val="auto"/>
          <w:lang w:val="en-GB"/>
        </w:rPr>
        <w:t>Note:</w:t>
      </w:r>
      <w:r w:rsidR="00C67C9B" w:rsidRPr="009150E6">
        <w:rPr>
          <w:color w:val="auto"/>
          <w:lang w:val="en-GB"/>
        </w:rPr>
        <w:t xml:space="preserve"> </w:t>
      </w:r>
      <w:r w:rsidR="00303F1B" w:rsidRPr="009150E6">
        <w:rPr>
          <w:color w:val="auto"/>
          <w:lang w:val="en-GB"/>
        </w:rPr>
        <w:tab/>
      </w:r>
      <w:r w:rsidR="001D0AD9" w:rsidRPr="009150E6">
        <w:rPr>
          <w:color w:val="auto"/>
          <w:lang w:val="en-GB"/>
        </w:rPr>
        <w:t>Greece</w:t>
      </w:r>
      <w:r w:rsidR="003F2BC9" w:rsidRPr="009150E6">
        <w:rPr>
          <w:color w:val="auto"/>
          <w:lang w:val="en-GB"/>
        </w:rPr>
        <w:t>,</w:t>
      </w:r>
      <w:r w:rsidR="00617780" w:rsidRPr="009150E6">
        <w:rPr>
          <w:color w:val="auto"/>
          <w:lang w:val="en-GB"/>
        </w:rPr>
        <w:t xml:space="preserve"> </w:t>
      </w:r>
      <w:r w:rsidR="00D459DE" w:rsidRPr="009150E6">
        <w:rPr>
          <w:color w:val="auto"/>
        </w:rPr>
        <w:t>Israel</w:t>
      </w:r>
      <w:r w:rsidR="003F2BC9" w:rsidRPr="009150E6">
        <w:rPr>
          <w:color w:val="auto"/>
          <w:lang w:val="en-GB"/>
        </w:rPr>
        <w:t>, Mexico, Sweden</w:t>
      </w:r>
      <w:r w:rsidR="00617780" w:rsidRPr="009150E6">
        <w:rPr>
          <w:color w:val="auto"/>
          <w:lang w:val="en-GB"/>
        </w:rPr>
        <w:t xml:space="preserve"> and </w:t>
      </w:r>
      <w:r w:rsidR="00DA51F5" w:rsidRPr="009150E6">
        <w:rPr>
          <w:color w:val="auto"/>
          <w:lang w:val="en-GB"/>
        </w:rPr>
        <w:t xml:space="preserve">the Republic of </w:t>
      </w:r>
      <w:r w:rsidR="00C67C9B" w:rsidRPr="009150E6">
        <w:rPr>
          <w:color w:val="auto"/>
          <w:lang w:val="en-GB"/>
        </w:rPr>
        <w:t xml:space="preserve">Korea </w:t>
      </w:r>
      <w:r w:rsidR="00A17BF3" w:rsidRPr="009150E6">
        <w:rPr>
          <w:color w:val="auto"/>
          <w:lang w:val="en-GB"/>
        </w:rPr>
        <w:t>(OECD members)</w:t>
      </w:r>
      <w:r w:rsidR="00C67C9B" w:rsidRPr="009150E6">
        <w:rPr>
          <w:color w:val="auto"/>
          <w:lang w:val="en-GB"/>
        </w:rPr>
        <w:t xml:space="preserve"> </w:t>
      </w:r>
      <w:r w:rsidR="00D459DE" w:rsidRPr="009150E6">
        <w:rPr>
          <w:color w:val="auto"/>
          <w:lang w:val="en-GB"/>
        </w:rPr>
        <w:t>are</w:t>
      </w:r>
      <w:r w:rsidR="00C67C9B" w:rsidRPr="009150E6">
        <w:rPr>
          <w:color w:val="auto"/>
          <w:lang w:val="en-GB"/>
        </w:rPr>
        <w:t xml:space="preserve"> not included in this analysis due to missing data points</w:t>
      </w:r>
      <w:r w:rsidR="00357EE8" w:rsidRPr="009150E6">
        <w:rPr>
          <w:color w:val="auto"/>
          <w:lang w:val="en-GB"/>
        </w:rPr>
        <w:t>.</w:t>
      </w:r>
      <w:r w:rsidR="0046093B" w:rsidRPr="009150E6">
        <w:rPr>
          <w:color w:val="auto"/>
          <w:lang w:val="en-GB"/>
        </w:rPr>
        <w:t xml:space="preserve"> 2011 data is either from 2011 or nearest available year and 2022 data is either from 2022 or latest available year.</w:t>
      </w:r>
    </w:p>
    <w:p w14:paraId="67F222BD" w14:textId="77777777" w:rsidR="00303F1B" w:rsidRPr="009150E6" w:rsidRDefault="00303F1B" w:rsidP="0025758A">
      <w:pPr>
        <w:pStyle w:val="ChartLine"/>
        <w:rPr>
          <w:lang w:val="en-GB"/>
        </w:rPr>
      </w:pPr>
    </w:p>
    <w:p w14:paraId="02039E1F" w14:textId="62BE0718" w:rsidR="00E834EF" w:rsidRPr="009C0EA0" w:rsidRDefault="00AC5956" w:rsidP="007B3BDE">
      <w:pPr>
        <w:pStyle w:val="Heading3"/>
        <w:rPr>
          <w:lang w:val="en-GB"/>
        </w:rPr>
      </w:pPr>
      <w:bookmarkStart w:id="16" w:name="_Toc166159056"/>
      <w:bookmarkStart w:id="17" w:name="_Toc166253960"/>
      <w:bookmarkStart w:id="18" w:name="_Toc166355540"/>
      <w:r w:rsidRPr="009C0EA0">
        <w:rPr>
          <w:lang w:val="en-GB"/>
        </w:rPr>
        <w:t xml:space="preserve">A lack of supply is </w:t>
      </w:r>
      <w:r w:rsidR="00E834EF" w:rsidRPr="009C0EA0">
        <w:rPr>
          <w:lang w:val="en-GB"/>
        </w:rPr>
        <w:t xml:space="preserve">making it </w:t>
      </w:r>
      <w:r w:rsidR="00127307" w:rsidRPr="009C0EA0">
        <w:rPr>
          <w:lang w:val="en-GB"/>
        </w:rPr>
        <w:t xml:space="preserve">harder for </w:t>
      </w:r>
      <w:r w:rsidR="00127307" w:rsidRPr="009C0EA0">
        <w:t>people</w:t>
      </w:r>
      <w:r w:rsidR="00127307" w:rsidRPr="009C0EA0">
        <w:rPr>
          <w:lang w:val="en-GB"/>
        </w:rPr>
        <w:t xml:space="preserve"> </w:t>
      </w:r>
      <w:r w:rsidR="00E834EF" w:rsidRPr="009C0EA0">
        <w:rPr>
          <w:lang w:val="en-GB"/>
        </w:rPr>
        <w:t>to buy or rent</w:t>
      </w:r>
      <w:bookmarkEnd w:id="16"/>
      <w:bookmarkEnd w:id="17"/>
      <w:bookmarkEnd w:id="18"/>
      <w:r w:rsidR="00E834EF" w:rsidRPr="009C0EA0">
        <w:rPr>
          <w:lang w:val="en-GB"/>
        </w:rPr>
        <w:t xml:space="preserve"> </w:t>
      </w:r>
    </w:p>
    <w:p w14:paraId="7D1CDE0A" w14:textId="14C849A5" w:rsidR="007B1C7F" w:rsidRPr="009C0EA0" w:rsidRDefault="00A43803" w:rsidP="007B3BDE">
      <w:r w:rsidRPr="009C0EA0">
        <w:t>A shortage</w:t>
      </w:r>
      <w:r w:rsidR="007B1C7F" w:rsidRPr="009C0EA0">
        <w:t xml:space="preserve"> of housing stock </w:t>
      </w:r>
      <w:r w:rsidRPr="009C0EA0">
        <w:t>is</w:t>
      </w:r>
      <w:r w:rsidR="007B1C7F" w:rsidRPr="009C0EA0">
        <w:t xml:space="preserve"> making it difficult to find a property to buy or rent.</w:t>
      </w:r>
      <w:r w:rsidR="00127307" w:rsidRPr="009C0EA0">
        <w:t xml:space="preserve"> The number of homes being offered for sale has fallen since 2015 (Chart</w:t>
      </w:r>
      <w:r w:rsidR="00E16A9A" w:rsidRPr="009C0EA0">
        <w:t> 4.</w:t>
      </w:r>
      <w:r w:rsidR="00FC346A" w:rsidRPr="009C0EA0">
        <w:t>3</w:t>
      </w:r>
      <w:r w:rsidR="00127307" w:rsidRPr="009C0EA0">
        <w:t xml:space="preserve">), while the number of homes for rent has been falling since </w:t>
      </w:r>
      <w:r w:rsidR="00C96F31" w:rsidRPr="009C0EA0">
        <w:t>early 2020</w:t>
      </w:r>
      <w:r w:rsidR="00AF6431" w:rsidRPr="009C0EA0">
        <w:t> </w:t>
      </w:r>
      <w:r w:rsidR="007B1C7F" w:rsidRPr="009C0EA0">
        <w:t xml:space="preserve">(Chart </w:t>
      </w:r>
      <w:r w:rsidR="00E16A9A" w:rsidRPr="009C0EA0">
        <w:t>4.</w:t>
      </w:r>
      <w:r w:rsidR="00FC346A" w:rsidRPr="009C0EA0">
        <w:t>4</w:t>
      </w:r>
      <w:r w:rsidR="007B1C7F" w:rsidRPr="009C0EA0">
        <w:t>)</w:t>
      </w:r>
      <w:r w:rsidR="00127307" w:rsidRPr="009C0EA0">
        <w:t>.</w:t>
      </w:r>
    </w:p>
    <w:tbl>
      <w:tblPr>
        <w:tblStyle w:val="TableGrid"/>
        <w:tblW w:w="7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858"/>
      </w:tblGrid>
      <w:tr w:rsidR="002F7ED6" w:rsidRPr="001F67EA" w14:paraId="219CA39A" w14:textId="77777777" w:rsidTr="006E3B99">
        <w:tc>
          <w:tcPr>
            <w:tcW w:w="3846" w:type="dxa"/>
          </w:tcPr>
          <w:p w14:paraId="4628ABE2" w14:textId="4A722BD1" w:rsidR="002F7ED6" w:rsidRPr="009C0EA0" w:rsidRDefault="002F7ED6" w:rsidP="000D186B">
            <w:pPr>
              <w:pStyle w:val="ChartHeading"/>
            </w:pPr>
            <w:r w:rsidRPr="009C0EA0">
              <w:lastRenderedPageBreak/>
              <w:t>Chart 4.</w:t>
            </w:r>
            <w:r w:rsidR="00FC346A" w:rsidRPr="009C0EA0">
              <w:t>3</w:t>
            </w:r>
            <w:r w:rsidRPr="009C0EA0">
              <w:t xml:space="preserve">: </w:t>
            </w:r>
            <w:r w:rsidR="00AF326C" w:rsidRPr="009C0EA0">
              <w:t>T</w:t>
            </w:r>
            <w:r w:rsidR="004C0912" w:rsidRPr="009C0EA0">
              <w:t xml:space="preserve">otal </w:t>
            </w:r>
            <w:r w:rsidR="008246A6" w:rsidRPr="009C0EA0">
              <w:t xml:space="preserve">national </w:t>
            </w:r>
            <w:r w:rsidR="00743407" w:rsidRPr="009C0EA0">
              <w:t xml:space="preserve">established </w:t>
            </w:r>
            <w:r w:rsidR="00A7020F">
              <w:t xml:space="preserve">property </w:t>
            </w:r>
            <w:r w:rsidR="00743407" w:rsidRPr="009C0EA0">
              <w:t xml:space="preserve">market listings </w:t>
            </w:r>
          </w:p>
          <w:p w14:paraId="079499DF" w14:textId="24DE63D6" w:rsidR="002F7ED6" w:rsidRPr="001F67EA" w:rsidRDefault="000417B6" w:rsidP="00A60E5A">
            <w:pPr>
              <w:pStyle w:val="ChartGraphic"/>
              <w:rPr>
                <w:highlight w:val="red"/>
              </w:rPr>
            </w:pPr>
            <w:r>
              <w:rPr>
                <w:noProof/>
              </w:rPr>
              <w:pict w14:anchorId="185F8E2F">
                <v:shape id="_x0000_i1027" type="#_x0000_t75" alt="This line chart shows a 3-month rolling average of national established property market listings and the 5-year rolling average of national established property market listings. The 3-month rolling average line remained stable at an average of around 205,000 from late 2011 to early 2015, before rising to 240,000 by late 2015. The 3-month rolling average line fell to 200,000 in early 2018, before briefly rising to 230,000 in late 2018. The 3-month rolling average line fell sharply to be around 140,00 by April 2024. The 5-year rolling average grew from around 150,000 in late 2011 to reach around 220,000 in late 2019, before falling to around 170,000 by November 2023. " style="width:183.2pt;height:181.6pt">
                  <v:imagedata r:id="rId20" o:title=""/>
                </v:shape>
              </w:pict>
            </w:r>
          </w:p>
        </w:tc>
        <w:tc>
          <w:tcPr>
            <w:tcW w:w="3869" w:type="dxa"/>
          </w:tcPr>
          <w:p w14:paraId="57D078AA" w14:textId="15C391C6" w:rsidR="002F7ED6" w:rsidRPr="009C0EA0" w:rsidRDefault="002F7ED6" w:rsidP="000D186B">
            <w:pPr>
              <w:pStyle w:val="ChartHeading"/>
            </w:pPr>
            <w:r w:rsidRPr="009C0EA0">
              <w:t>Chart 4.</w:t>
            </w:r>
            <w:r w:rsidR="00FC346A" w:rsidRPr="009C0EA0">
              <w:t>4</w:t>
            </w:r>
            <w:r w:rsidRPr="009C0EA0">
              <w:t xml:space="preserve">: </w:t>
            </w:r>
            <w:r w:rsidR="00AF326C" w:rsidRPr="009C0EA0">
              <w:t>T</w:t>
            </w:r>
            <w:r w:rsidR="004C0912" w:rsidRPr="009C0EA0">
              <w:t>otal</w:t>
            </w:r>
            <w:r w:rsidR="008171C3" w:rsidRPr="009C0EA0">
              <w:t xml:space="preserve"> </w:t>
            </w:r>
            <w:r w:rsidR="008246A6" w:rsidRPr="009C0EA0">
              <w:t xml:space="preserve">national </w:t>
            </w:r>
            <w:r w:rsidR="008171C3" w:rsidRPr="009C0EA0">
              <w:t xml:space="preserve">rental </w:t>
            </w:r>
            <w:r w:rsidR="004C0912" w:rsidRPr="009C0EA0">
              <w:t>market listings</w:t>
            </w:r>
          </w:p>
          <w:p w14:paraId="6ADFAA7E" w14:textId="6025E5B9" w:rsidR="002F7ED6" w:rsidRPr="009C0EA0" w:rsidRDefault="000417B6" w:rsidP="0000131A">
            <w:pPr>
              <w:pStyle w:val="ChartGraphic"/>
            </w:pPr>
            <w:r>
              <w:rPr>
                <w:noProof/>
              </w:rPr>
              <w:pict w14:anchorId="1C4A0EC9">
                <v:shape id="_x0000_i1028" type="#_x0000_t75" alt="This line chart shows a 3-month rolling average of national rental market listings and 5-year rolling average of national rental market listings. The 3-month rolling average line grew from around 90,000 in late 2011 to around 170,000 in mid-2015. The 3-month rolling average line fell sharply from mid-2020 to be around 95,000 by November 2023. The 5-year rolling average grew from around 65,000 in late 2011 to reach around 165,000 in mid-2020, before falling to be around 140,000 by November 2023." style="width:183.2pt;height:181.6pt">
                  <v:imagedata r:id="rId21" o:title=""/>
                </v:shape>
              </w:pict>
            </w:r>
          </w:p>
        </w:tc>
      </w:tr>
      <w:tr w:rsidR="002F7ED6" w:rsidRPr="009150E6" w14:paraId="26C288E1" w14:textId="77777777" w:rsidTr="006E3B99">
        <w:trPr>
          <w:trHeight w:val="715"/>
        </w:trPr>
        <w:tc>
          <w:tcPr>
            <w:tcW w:w="3846" w:type="dxa"/>
          </w:tcPr>
          <w:p w14:paraId="09750241" w14:textId="5C0897D0" w:rsidR="002F7ED6" w:rsidRPr="009150E6" w:rsidRDefault="002F7ED6" w:rsidP="00426F29">
            <w:pPr>
              <w:pStyle w:val="ChartandTableFootnote"/>
              <w:rPr>
                <w:color w:val="auto"/>
              </w:rPr>
            </w:pPr>
            <w:r w:rsidRPr="009150E6">
              <w:rPr>
                <w:color w:val="auto"/>
              </w:rPr>
              <w:t xml:space="preserve">Source: </w:t>
            </w:r>
            <w:r w:rsidRPr="009150E6">
              <w:rPr>
                <w:color w:val="auto"/>
              </w:rPr>
              <w:tab/>
            </w:r>
            <w:r w:rsidR="00F215B6" w:rsidRPr="009150E6">
              <w:rPr>
                <w:color w:val="auto"/>
              </w:rPr>
              <w:t>CoreLogic</w:t>
            </w:r>
            <w:r w:rsidR="00F215B6" w:rsidRPr="009150E6">
              <w:rPr>
                <w:rStyle w:val="FootnoteReference"/>
                <w:color w:val="auto"/>
              </w:rPr>
              <w:footnoteReference w:id="2"/>
            </w:r>
            <w:r w:rsidR="00F215B6" w:rsidRPr="009150E6">
              <w:rPr>
                <w:color w:val="auto"/>
              </w:rPr>
              <w:t>, Treasury</w:t>
            </w:r>
          </w:p>
          <w:p w14:paraId="14FC9B88" w14:textId="5082E296" w:rsidR="002F7ED6" w:rsidRPr="00C94F91" w:rsidRDefault="002F7ED6" w:rsidP="004E01C1">
            <w:pPr>
              <w:pStyle w:val="ChartandTableFootnote"/>
              <w:rPr>
                <w:color w:val="auto"/>
              </w:rPr>
            </w:pPr>
            <w:r w:rsidRPr="009150E6">
              <w:rPr>
                <w:color w:val="auto"/>
              </w:rPr>
              <w:t xml:space="preserve">Note: </w:t>
            </w:r>
            <w:r w:rsidR="00200A11" w:rsidRPr="009150E6">
              <w:rPr>
                <w:color w:val="auto"/>
              </w:rPr>
              <w:tab/>
            </w:r>
            <w:r w:rsidR="005D2F7C" w:rsidRPr="005D2F7C">
              <w:rPr>
                <w:color w:val="auto"/>
              </w:rPr>
              <w:t>Listings are the total monthly volume of properties available. Listings line is a 3</w:t>
            </w:r>
            <w:r w:rsidR="0004287B">
              <w:rPr>
                <w:color w:val="auto"/>
              </w:rPr>
              <w:noBreakHyphen/>
            </w:r>
            <w:r w:rsidR="005D2F7C" w:rsidRPr="005D2F7C">
              <w:rPr>
                <w:color w:val="auto"/>
              </w:rPr>
              <w:t>month rolling average. Average line is a 5</w:t>
            </w:r>
            <w:r w:rsidR="0004287B">
              <w:rPr>
                <w:color w:val="auto"/>
              </w:rPr>
              <w:noBreakHyphen/>
            </w:r>
            <w:r w:rsidR="005D2F7C" w:rsidRPr="005D2F7C">
              <w:rPr>
                <w:color w:val="auto"/>
              </w:rPr>
              <w:t>year rolling average.</w:t>
            </w:r>
          </w:p>
        </w:tc>
        <w:tc>
          <w:tcPr>
            <w:tcW w:w="3869" w:type="dxa"/>
          </w:tcPr>
          <w:p w14:paraId="25330EC4" w14:textId="29A4094E" w:rsidR="00030113" w:rsidRPr="009150E6" w:rsidRDefault="00030113" w:rsidP="00030113">
            <w:pPr>
              <w:pStyle w:val="ChartandTableFootnote"/>
              <w:rPr>
                <w:color w:val="auto"/>
              </w:rPr>
            </w:pPr>
            <w:r w:rsidRPr="009150E6">
              <w:rPr>
                <w:color w:val="auto"/>
              </w:rPr>
              <w:t xml:space="preserve">Source: </w:t>
            </w:r>
            <w:r w:rsidRPr="009150E6">
              <w:rPr>
                <w:color w:val="auto"/>
              </w:rPr>
              <w:tab/>
              <w:t>CoreLogic, Treasury</w:t>
            </w:r>
          </w:p>
          <w:p w14:paraId="7B8B36CE" w14:textId="79B1E062" w:rsidR="002F7ED6" w:rsidRPr="009150E6" w:rsidRDefault="00030113" w:rsidP="00200A11">
            <w:pPr>
              <w:pStyle w:val="ChartandTableFootnote"/>
              <w:rPr>
                <w:color w:val="auto"/>
              </w:rPr>
            </w:pPr>
            <w:r w:rsidRPr="009150E6">
              <w:rPr>
                <w:color w:val="auto"/>
              </w:rPr>
              <w:t xml:space="preserve">Note: </w:t>
            </w:r>
            <w:r w:rsidR="00200A11" w:rsidRPr="009150E6">
              <w:rPr>
                <w:color w:val="auto"/>
              </w:rPr>
              <w:tab/>
            </w:r>
            <w:r w:rsidR="00C563C7" w:rsidRPr="00C563C7">
              <w:rPr>
                <w:color w:val="auto"/>
              </w:rPr>
              <w:t>Listings are the total monthly volume of rental properties available. Listings line is a 3</w:t>
            </w:r>
            <w:r w:rsidR="0004287B">
              <w:rPr>
                <w:color w:val="auto"/>
              </w:rPr>
              <w:noBreakHyphen/>
            </w:r>
            <w:r w:rsidR="00C563C7" w:rsidRPr="00C563C7">
              <w:rPr>
                <w:color w:val="auto"/>
              </w:rPr>
              <w:t>month rolling average. Average line is a 5</w:t>
            </w:r>
            <w:r w:rsidR="0004287B">
              <w:rPr>
                <w:color w:val="auto"/>
              </w:rPr>
              <w:noBreakHyphen/>
            </w:r>
            <w:r w:rsidR="00C563C7" w:rsidRPr="00C563C7">
              <w:rPr>
                <w:color w:val="auto"/>
              </w:rPr>
              <w:t>year rolling average</w:t>
            </w:r>
            <w:r w:rsidR="00C563C7">
              <w:rPr>
                <w:color w:val="auto"/>
              </w:rPr>
              <w:t>.</w:t>
            </w:r>
          </w:p>
        </w:tc>
      </w:tr>
    </w:tbl>
    <w:p w14:paraId="6B856C45" w14:textId="77777777" w:rsidR="00200A11" w:rsidRPr="009150E6" w:rsidRDefault="00200A11" w:rsidP="0025758A">
      <w:pPr>
        <w:pStyle w:val="ChartLine"/>
      </w:pPr>
    </w:p>
    <w:p w14:paraId="7D3E73FF" w14:textId="57AF7D9F" w:rsidR="00A95B49" w:rsidRPr="00B35D17" w:rsidRDefault="00E16A9A" w:rsidP="00667078">
      <w:r w:rsidRPr="009C0EA0">
        <w:t xml:space="preserve">The rental vacancy rate </w:t>
      </w:r>
      <w:r w:rsidR="006E2813" w:rsidRPr="009C0EA0">
        <w:t>is</w:t>
      </w:r>
      <w:r w:rsidRPr="009C0EA0">
        <w:t xml:space="preserve"> well below the rate considered to reflect a balanced rental market of around 3</w:t>
      </w:r>
      <w:r w:rsidR="0079584A" w:rsidRPr="009C0EA0">
        <w:t> per cent</w:t>
      </w:r>
      <w:r w:rsidR="000A4DE4" w:rsidRPr="009C0EA0">
        <w:t xml:space="preserve"> (Chart 4</w:t>
      </w:r>
      <w:r w:rsidR="007E0F85" w:rsidRPr="009C0EA0">
        <w:t>.</w:t>
      </w:r>
      <w:r w:rsidR="009972FC" w:rsidRPr="009C0EA0">
        <w:t>5</w:t>
      </w:r>
      <w:r w:rsidR="000A4DE4" w:rsidRPr="009C0EA0">
        <w:t>)</w:t>
      </w:r>
      <w:r w:rsidRPr="009C0EA0">
        <w:t>. In some parts of the country, including some capital cities, it is as low as 0.5</w:t>
      </w:r>
      <w:r w:rsidR="0079584A" w:rsidRPr="009C0EA0">
        <w:t> per</w:t>
      </w:r>
      <w:r w:rsidR="000C615A" w:rsidRPr="009C0EA0">
        <w:t xml:space="preserve"> cent.</w:t>
      </w:r>
      <w:r w:rsidR="000C615A" w:rsidRPr="009C0EA0">
        <w:rPr>
          <w:rStyle w:val="FootnoteReference"/>
        </w:rPr>
        <w:footnoteReference w:id="3"/>
      </w:r>
    </w:p>
    <w:p w14:paraId="180CCA33" w14:textId="45E92E05" w:rsidR="004C3F09" w:rsidRPr="0032797C" w:rsidRDefault="0012224E" w:rsidP="004C3F09">
      <w:pPr>
        <w:pStyle w:val="ChartHeading"/>
      </w:pPr>
      <w:r w:rsidRPr="009C0EA0">
        <w:lastRenderedPageBreak/>
        <w:t>Chart 4.5: National dwelling rental vacancy rate</w:t>
      </w:r>
    </w:p>
    <w:p w14:paraId="12D48B16" w14:textId="2C458989" w:rsidR="0012224E" w:rsidRPr="0032797C" w:rsidRDefault="000417B6" w:rsidP="008E708C">
      <w:pPr>
        <w:pStyle w:val="ChartGraphic"/>
      </w:pPr>
      <w:r>
        <w:rPr>
          <w:noProof/>
        </w:rPr>
        <w:pict w14:anchorId="546B1D07">
          <v:shape id="_x0000_i1029" type="#_x0000_t75" alt="This line chart shows a 3-month rolling average of the national dwelling rental vacancy rate and the decade long-run average of the national dwelling rental vacancy rate. The 3-month rolling average series grew from around 3.0 per cent in late 2011 to 4.4 per cent in June 2015, before falling sharply to around 2.4 per cent by August 2019. The 3-month rolling average series rebounded to 3.9 per cent in June 2020, before falling sharply to be around 1.4 per cent in November 2023. The long-run average is 3.0 per cent. " style="width:369.15pt;height:188.05pt">
            <v:imagedata r:id="rId22" o:title=""/>
          </v:shape>
        </w:pict>
      </w:r>
    </w:p>
    <w:p w14:paraId="7EE88B0D" w14:textId="13DFF001" w:rsidR="0012224E" w:rsidRPr="0032797C" w:rsidRDefault="0012224E" w:rsidP="00426F29">
      <w:pPr>
        <w:pStyle w:val="ChartandTableFootnote"/>
      </w:pPr>
      <w:r w:rsidRPr="0032797C">
        <w:t xml:space="preserve">Source: </w:t>
      </w:r>
      <w:r w:rsidR="00200A11">
        <w:tab/>
      </w:r>
      <w:r w:rsidRPr="0032797C">
        <w:t>CoreLogic</w:t>
      </w:r>
      <w:r w:rsidR="00EE458A">
        <w:t xml:space="preserve">, </w:t>
      </w:r>
      <w:r w:rsidRPr="0032797C">
        <w:t>Treasury</w:t>
      </w:r>
    </w:p>
    <w:p w14:paraId="3A2B7D8A" w14:textId="0CD5FF43" w:rsidR="0012224E" w:rsidRDefault="0012224E" w:rsidP="00200A11">
      <w:pPr>
        <w:pStyle w:val="ChartandTableFootnote"/>
      </w:pPr>
      <w:r w:rsidRPr="0032797C">
        <w:t xml:space="preserve">Note: </w:t>
      </w:r>
      <w:r w:rsidR="00200A11">
        <w:tab/>
      </w:r>
      <w:r w:rsidRPr="0032797C">
        <w:t>3</w:t>
      </w:r>
      <w:r w:rsidR="0004287B">
        <w:noBreakHyphen/>
      </w:r>
      <w:r w:rsidRPr="0032797C">
        <w:t>month rolling average.</w:t>
      </w:r>
    </w:p>
    <w:p w14:paraId="0EFA6AAB" w14:textId="77777777" w:rsidR="00200A11" w:rsidRPr="00200A11" w:rsidRDefault="00200A11" w:rsidP="0025758A">
      <w:pPr>
        <w:pStyle w:val="ChartLine"/>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6A6213" w:rsidRPr="00B35D17" w14:paraId="639B7D61" w14:textId="77777777" w:rsidTr="007913DD">
        <w:trPr>
          <w:cantSplit/>
        </w:trPr>
        <w:tc>
          <w:tcPr>
            <w:tcW w:w="5000" w:type="pct"/>
            <w:shd w:val="clear" w:color="auto" w:fill="E6F2FF"/>
          </w:tcPr>
          <w:p w14:paraId="4E0EA60B" w14:textId="51343EE4" w:rsidR="006A6213" w:rsidRPr="009C0EA0" w:rsidRDefault="00BF4B98">
            <w:pPr>
              <w:pStyle w:val="BoxHeading"/>
            </w:pPr>
            <w:r w:rsidRPr="009C0EA0">
              <w:lastRenderedPageBreak/>
              <w:t>Box 4.</w:t>
            </w:r>
            <w:r w:rsidR="007A510C" w:rsidRPr="009C0EA0">
              <w:t>2</w:t>
            </w:r>
            <w:r w:rsidRPr="009C0EA0">
              <w:t xml:space="preserve">. </w:t>
            </w:r>
            <w:r w:rsidR="006A6213" w:rsidRPr="009C0EA0">
              <w:t>Government actions to increase market housing supply</w:t>
            </w:r>
          </w:p>
          <w:p w14:paraId="59D69D77" w14:textId="25ADD920" w:rsidR="00C15F19" w:rsidRPr="009C0EA0" w:rsidRDefault="00C15F19" w:rsidP="00C15F19">
            <w:pPr>
              <w:pStyle w:val="BoxText"/>
            </w:pPr>
            <w:r w:rsidRPr="009C0EA0">
              <w:t>More homes need to be built in the places that households need them, including close to places of work and education for families, workers and students This requires careful planning and better collaboration with non</w:t>
            </w:r>
            <w:r w:rsidR="0004287B">
              <w:noBreakHyphen/>
            </w:r>
            <w:r w:rsidRPr="009C0EA0">
              <w:t xml:space="preserve">government partners to </w:t>
            </w:r>
            <w:r w:rsidR="00DE52A0" w:rsidRPr="009C0EA0">
              <w:t>meet</w:t>
            </w:r>
            <w:r w:rsidRPr="009C0EA0">
              <w:t xml:space="preserve"> the changing needs of our communities. </w:t>
            </w:r>
          </w:p>
          <w:p w14:paraId="3B4093AC" w14:textId="2844F911" w:rsidR="00C15F19" w:rsidRDefault="00C15F19" w:rsidP="00C15F19">
            <w:pPr>
              <w:pStyle w:val="BoxText"/>
            </w:pPr>
            <w:r w:rsidRPr="009C0EA0">
              <w:t>A</w:t>
            </w:r>
            <w:r w:rsidR="00DE52A0" w:rsidRPr="009C0EA0">
              <w:t>ustralia</w:t>
            </w:r>
            <w:r w:rsidR="0004287B">
              <w:t>’</w:t>
            </w:r>
            <w:r w:rsidR="00DE52A0" w:rsidRPr="009C0EA0">
              <w:t xml:space="preserve">s growing international education sector requires adequate </w:t>
            </w:r>
            <w:r w:rsidR="008077C8" w:rsidRPr="009C0EA0">
              <w:t>supply of purpose</w:t>
            </w:r>
            <w:r w:rsidR="0004287B">
              <w:noBreakHyphen/>
            </w:r>
            <w:r w:rsidR="008077C8" w:rsidRPr="009C0EA0">
              <w:t xml:space="preserve">built student accommodation to ensure </w:t>
            </w:r>
            <w:r w:rsidR="00546FD7" w:rsidRPr="009C0EA0">
              <w:t>its ongoing sustainability</w:t>
            </w:r>
            <w:r w:rsidRPr="009C0EA0">
              <w:t xml:space="preserve">. </w:t>
            </w:r>
            <w:r w:rsidR="00546FD7" w:rsidRPr="009C0EA0">
              <w:t>To deliver more accommodation for student</w:t>
            </w:r>
            <w:r w:rsidR="00C816AD" w:rsidRPr="009C0EA0">
              <w:t>s</w:t>
            </w:r>
            <w:r w:rsidR="00546FD7" w:rsidRPr="009C0EA0">
              <w:t xml:space="preserve"> and to reduce pressure on the private rental market, the Government will work with the higher education sector to develop regulations that will require universities to increase their supply of student accommodation</w:t>
            </w:r>
            <w:r w:rsidR="00356DAF" w:rsidRPr="009C0EA0">
              <w:t>.</w:t>
            </w:r>
          </w:p>
          <w:p w14:paraId="0EEFA8EE" w14:textId="4A43CB9B" w:rsidR="00FB024C" w:rsidRPr="009C0EA0" w:rsidRDefault="00F063BE" w:rsidP="00C15F19">
            <w:pPr>
              <w:pStyle w:val="BoxText"/>
              <w:rPr>
                <w:b/>
                <w:bCs/>
              </w:rPr>
            </w:pPr>
            <w:r w:rsidRPr="009C0EA0">
              <w:t xml:space="preserve"> </w:t>
            </w:r>
            <w:r w:rsidR="007635DF" w:rsidRPr="009C0EA0">
              <w:t>T</w:t>
            </w:r>
            <w:r w:rsidR="00FB024C" w:rsidRPr="009C0EA0">
              <w:t xml:space="preserve">he Government is </w:t>
            </w:r>
            <w:r w:rsidR="007635DF" w:rsidRPr="009C0EA0">
              <w:t xml:space="preserve">also </w:t>
            </w:r>
            <w:r w:rsidR="00FB024C" w:rsidRPr="009C0EA0">
              <w:t>developing the National Housing and Homelessness Plan (the Plan).</w:t>
            </w:r>
            <w:r w:rsidR="00FB024C" w:rsidRPr="009C0EA0">
              <w:rPr>
                <w:b/>
                <w:bCs/>
              </w:rPr>
              <w:t xml:space="preserve"> </w:t>
            </w:r>
            <w:r w:rsidR="00FB024C" w:rsidRPr="009C0EA0">
              <w:t>The Plan will be a 10</w:t>
            </w:r>
            <w:r w:rsidR="0004287B">
              <w:noBreakHyphen/>
            </w:r>
            <w:r w:rsidR="00FB024C" w:rsidRPr="009C0EA0">
              <w:t>year strategy and outline how all levels of government can work together with the private and the community sector to deliver the short</w:t>
            </w:r>
            <w:r w:rsidR="0004287B">
              <w:noBreakHyphen/>
            </w:r>
            <w:r w:rsidR="00FB024C" w:rsidRPr="009C0EA0">
              <w:t>, medium</w:t>
            </w:r>
            <w:r w:rsidR="0004287B">
              <w:noBreakHyphen/>
            </w:r>
            <w:r w:rsidR="00FB024C" w:rsidRPr="009C0EA0">
              <w:t xml:space="preserve"> and long</w:t>
            </w:r>
            <w:r w:rsidR="0004287B">
              <w:noBreakHyphen/>
            </w:r>
            <w:r w:rsidR="00FB024C" w:rsidRPr="009C0EA0">
              <w:t>term actions needed.</w:t>
            </w:r>
          </w:p>
          <w:p w14:paraId="1B306C9C" w14:textId="268514D1" w:rsidR="00FB024C" w:rsidRPr="009C0EA0" w:rsidRDefault="00FB024C" w:rsidP="004C3F09">
            <w:pPr>
              <w:pStyle w:val="BoxText"/>
            </w:pPr>
            <w:r w:rsidRPr="009C0EA0">
              <w:t>The Plan will build on the Accord, where the Government is working with states and territories, local governments, industry and investors to deliver 1.2</w:t>
            </w:r>
            <w:r w:rsidR="00536DAD" w:rsidRPr="009C0EA0">
              <w:t> million</w:t>
            </w:r>
            <w:r w:rsidRPr="009C0EA0">
              <w:t xml:space="preserve"> new, well</w:t>
            </w:r>
            <w:r w:rsidR="0004287B">
              <w:noBreakHyphen/>
            </w:r>
            <w:r w:rsidRPr="009C0EA0">
              <w:t>located dwellings in the five years from 1</w:t>
            </w:r>
            <w:r w:rsidR="00536DAD" w:rsidRPr="009C0EA0">
              <w:t> </w:t>
            </w:r>
            <w:r w:rsidRPr="009C0EA0">
              <w:t>July</w:t>
            </w:r>
            <w:r w:rsidR="00536DAD" w:rsidRPr="009C0EA0">
              <w:t> </w:t>
            </w:r>
            <w:r w:rsidRPr="009C0EA0">
              <w:t xml:space="preserve">2024. </w:t>
            </w:r>
          </w:p>
          <w:p w14:paraId="2BC34E5A" w14:textId="2B6B9297" w:rsidR="00FB024C" w:rsidRPr="00B35D17" w:rsidRDefault="00FB024C" w:rsidP="004C3F09">
            <w:pPr>
              <w:pStyle w:val="BoxText"/>
            </w:pPr>
            <w:r w:rsidRPr="009C0EA0">
              <w:t>New homes are needed in every state and territory – not just in the major population centres that attract most of the population growth.</w:t>
            </w:r>
            <w:r w:rsidRPr="00B35D17">
              <w:t xml:space="preserve"> </w:t>
            </w:r>
            <w:r w:rsidRPr="009C0EA0">
              <w:t>That is why the Government is offering $3 billon in incentive payments through the New Homes Bonus to be shared amongst all states and territories to reach their share of the 1.2</w:t>
            </w:r>
            <w:r w:rsidR="00536DAD" w:rsidRPr="009C0EA0">
              <w:t> million</w:t>
            </w:r>
            <w:r w:rsidRPr="009C0EA0">
              <w:t xml:space="preserve"> target.</w:t>
            </w:r>
          </w:p>
          <w:p w14:paraId="2304C90B" w14:textId="17DC373F" w:rsidR="00890BB7" w:rsidRPr="00B35D17" w:rsidRDefault="00FB024C" w:rsidP="004C3F09">
            <w:pPr>
              <w:pStyle w:val="BoxText"/>
            </w:pPr>
            <w:r w:rsidRPr="009C0EA0">
              <w:t>The Government will provide state, territory and local governments with payments to fund the enabling infrastructure (water and sewage connections, roads and footpaths) needed to develop new homes</w:t>
            </w:r>
            <w:r w:rsidR="004F1215" w:rsidRPr="009C0EA0">
              <w:t xml:space="preserve"> through the $1.5</w:t>
            </w:r>
            <w:r w:rsidR="00536DAD" w:rsidRPr="009C0EA0">
              <w:t> billion</w:t>
            </w:r>
            <w:r w:rsidR="004F1215" w:rsidRPr="009C0EA0">
              <w:t xml:space="preserve"> Housing Support Program</w:t>
            </w:r>
            <w:r w:rsidRPr="009C0EA0">
              <w:t>.</w:t>
            </w:r>
            <w:r w:rsidR="00C86D76" w:rsidRPr="009C0EA0">
              <w:t xml:space="preserve"> </w:t>
            </w:r>
          </w:p>
        </w:tc>
      </w:tr>
    </w:tbl>
    <w:p w14:paraId="5370EE7D" w14:textId="77777777" w:rsidR="00417CEE" w:rsidRDefault="00417CEE">
      <w:pPr>
        <w:spacing w:before="0" w:after="160" w:line="259" w:lineRule="auto"/>
        <w:rPr>
          <w:rFonts w:ascii="Arial Bold" w:hAnsi="Arial Bold"/>
          <w:b/>
          <w:sz w:val="22"/>
          <w:lang w:val="en-GB"/>
        </w:rPr>
      </w:pPr>
      <w:bookmarkStart w:id="19" w:name="_Toc166159057"/>
      <w:r>
        <w:rPr>
          <w:lang w:val="en-GB"/>
        </w:rPr>
        <w:br w:type="page"/>
      </w:r>
    </w:p>
    <w:p w14:paraId="4A6AA3EE" w14:textId="47006E5E" w:rsidR="00527704" w:rsidRPr="009C0EA0" w:rsidRDefault="00AA75B4" w:rsidP="0041793C">
      <w:pPr>
        <w:pStyle w:val="Heading3"/>
      </w:pPr>
      <w:bookmarkStart w:id="20" w:name="_Toc166355541"/>
      <w:r w:rsidRPr="009C0EA0">
        <w:rPr>
          <w:lang w:val="en-GB"/>
        </w:rPr>
        <w:lastRenderedPageBreak/>
        <w:t xml:space="preserve">Investment by </w:t>
      </w:r>
      <w:bookmarkStart w:id="21" w:name="_Toc166253961"/>
      <w:r w:rsidRPr="009C0EA0">
        <w:rPr>
          <w:lang w:val="en-GB"/>
        </w:rPr>
        <w:t>g</w:t>
      </w:r>
      <w:r w:rsidR="00527704" w:rsidRPr="009C0EA0">
        <w:rPr>
          <w:lang w:val="en-GB"/>
        </w:rPr>
        <w:t>overnment</w:t>
      </w:r>
      <w:r w:rsidRPr="009C0EA0">
        <w:rPr>
          <w:lang w:val="en-GB"/>
        </w:rPr>
        <w:t xml:space="preserve">s in social housing </w:t>
      </w:r>
      <w:r w:rsidR="00527704" w:rsidRPr="009C0EA0">
        <w:rPr>
          <w:lang w:val="en-GB"/>
        </w:rPr>
        <w:t>has declin</w:t>
      </w:r>
      <w:bookmarkEnd w:id="19"/>
      <w:bookmarkEnd w:id="21"/>
      <w:r w:rsidRPr="009C0EA0">
        <w:rPr>
          <w:lang w:val="en-GB"/>
        </w:rPr>
        <w:t>ed over decades</w:t>
      </w:r>
      <w:bookmarkEnd w:id="20"/>
      <w:r w:rsidR="00527704" w:rsidRPr="009C0EA0">
        <w:rPr>
          <w:lang w:val="en-GB"/>
        </w:rPr>
        <w:t xml:space="preserve"> </w:t>
      </w:r>
    </w:p>
    <w:p w14:paraId="0B2C91FC" w14:textId="6ABDC6B9" w:rsidR="00331097" w:rsidRPr="009C0EA0" w:rsidRDefault="00F7775E" w:rsidP="0041793C">
      <w:r w:rsidRPr="009C0EA0">
        <w:t xml:space="preserve">In addition to low </w:t>
      </w:r>
      <w:r w:rsidR="00F73505" w:rsidRPr="009C0EA0">
        <w:t xml:space="preserve">levels </w:t>
      </w:r>
      <w:r w:rsidRPr="009C0EA0">
        <w:t xml:space="preserve">of aggregate housing stock, rates of construction of social housing </w:t>
      </w:r>
      <w:r w:rsidR="00873F63" w:rsidRPr="009C0EA0">
        <w:t>(which includes both public housing and community housing)</w:t>
      </w:r>
      <w:r w:rsidRPr="009C0EA0">
        <w:t xml:space="preserve"> have </w:t>
      </w:r>
      <w:r w:rsidR="00446C16" w:rsidRPr="009C0EA0">
        <w:t>also</w:t>
      </w:r>
      <w:r w:rsidRPr="009C0EA0">
        <w:t xml:space="preserve"> fallen </w:t>
      </w:r>
      <w:r w:rsidR="00667169" w:rsidRPr="009C0EA0">
        <w:t>steadily</w:t>
      </w:r>
      <w:r w:rsidR="00157A00" w:rsidRPr="009C0EA0">
        <w:t xml:space="preserve">. </w:t>
      </w:r>
      <w:r w:rsidR="006E6066" w:rsidRPr="009C0EA0">
        <w:t>Public housing</w:t>
      </w:r>
      <w:r w:rsidR="004A1CE3" w:rsidRPr="009C0EA0">
        <w:t xml:space="preserve"> is defined </w:t>
      </w:r>
      <w:r w:rsidR="00B043F4" w:rsidRPr="009C0EA0">
        <w:t xml:space="preserve">by </w:t>
      </w:r>
      <w:r w:rsidR="00D80605" w:rsidRPr="009C0EA0">
        <w:t>the</w:t>
      </w:r>
      <w:r w:rsidR="00B043F4" w:rsidRPr="009C0EA0">
        <w:t xml:space="preserve"> A</w:t>
      </w:r>
      <w:r w:rsidR="00D96E34" w:rsidRPr="009C0EA0">
        <w:t>ustralian Institute of Health and Welfare</w:t>
      </w:r>
      <w:r w:rsidR="004A1CE3" w:rsidRPr="009C0EA0">
        <w:t xml:space="preserve"> </w:t>
      </w:r>
      <w:r w:rsidR="007F6EC4" w:rsidRPr="009C0EA0">
        <w:t>(AIHW)</w:t>
      </w:r>
      <w:r w:rsidR="004A1CE3" w:rsidRPr="009C0EA0">
        <w:t xml:space="preserve"> as </w:t>
      </w:r>
      <w:r w:rsidR="00210AD9" w:rsidRPr="009C0EA0">
        <w:t>rental housing that state and territory governments provide and manage</w:t>
      </w:r>
      <w:r w:rsidR="0090585E" w:rsidRPr="009C0EA0">
        <w:t>,</w:t>
      </w:r>
      <w:r w:rsidR="00210AD9" w:rsidRPr="009C0EA0">
        <w:t xml:space="preserve"> and is </w:t>
      </w:r>
      <w:r w:rsidR="00270D72" w:rsidRPr="009C0EA0">
        <w:t>a subset of social housing</w:t>
      </w:r>
      <w:r w:rsidR="0036500E" w:rsidRPr="009C0EA0">
        <w:t>. Social housing</w:t>
      </w:r>
      <w:r w:rsidR="00E943AA" w:rsidRPr="009C0EA0">
        <w:t xml:space="preserve"> is</w:t>
      </w:r>
      <w:r w:rsidR="00AE78B7" w:rsidRPr="009C0EA0">
        <w:t xml:space="preserve"> rental housing </w:t>
      </w:r>
      <w:r w:rsidR="009460AB" w:rsidRPr="009C0EA0">
        <w:t>fully</w:t>
      </w:r>
      <w:r w:rsidR="00AE78B7" w:rsidRPr="009C0EA0">
        <w:t xml:space="preserve"> or partly funded by government</w:t>
      </w:r>
      <w:r w:rsidR="00E563ED" w:rsidRPr="009C0EA0">
        <w:t>, owned or managed by community organisations or governments</w:t>
      </w:r>
      <w:r w:rsidR="00B04846" w:rsidRPr="009C0EA0">
        <w:t>, and</w:t>
      </w:r>
      <w:r w:rsidR="00007F24" w:rsidRPr="009C0EA0">
        <w:t xml:space="preserve"> includes public housing, state owned</w:t>
      </w:r>
      <w:r w:rsidR="00FE01AE" w:rsidRPr="009C0EA0">
        <w:t xml:space="preserve"> </w:t>
      </w:r>
      <w:r w:rsidR="00B1302A" w:rsidRPr="009C0EA0">
        <w:t>and managed Indigenous housing</w:t>
      </w:r>
      <w:r w:rsidR="007E6239" w:rsidRPr="009C0EA0">
        <w:t>,</w:t>
      </w:r>
      <w:r w:rsidR="00B1302A" w:rsidRPr="009C0EA0">
        <w:t xml:space="preserve"> community housing and Indigenous community housing.</w:t>
      </w:r>
      <w:r w:rsidR="0021151C" w:rsidRPr="009C0EA0">
        <w:rPr>
          <w:rStyle w:val="FootnoteReference"/>
        </w:rPr>
        <w:footnoteReference w:id="4"/>
      </w:r>
      <w:r w:rsidR="00FE01AE" w:rsidRPr="009C0EA0">
        <w:t xml:space="preserve"> </w:t>
      </w:r>
      <w:r w:rsidR="00E76AD5" w:rsidRPr="009C0EA0">
        <w:t>Public housing completions</w:t>
      </w:r>
      <w:r w:rsidR="00ED5281" w:rsidRPr="009C0EA0">
        <w:t xml:space="preserve"> </w:t>
      </w:r>
      <w:r w:rsidR="00F93D4D" w:rsidRPr="009C0EA0">
        <w:t xml:space="preserve">(Chart </w:t>
      </w:r>
      <w:r w:rsidR="00391AA8" w:rsidRPr="009C0EA0">
        <w:t>4.</w:t>
      </w:r>
      <w:r w:rsidR="001F27D8" w:rsidRPr="009C0EA0">
        <w:t>6</w:t>
      </w:r>
      <w:r w:rsidR="00F93D4D" w:rsidRPr="009C0EA0">
        <w:t>)</w:t>
      </w:r>
      <w:r w:rsidR="0004546A" w:rsidRPr="009C0EA0">
        <w:t xml:space="preserve"> and the share of </w:t>
      </w:r>
      <w:r w:rsidR="00CA35BE" w:rsidRPr="009C0EA0">
        <w:t xml:space="preserve">social </w:t>
      </w:r>
      <w:r w:rsidR="0004546A" w:rsidRPr="009C0EA0">
        <w:t>housing stock as a proportion of the total stock has declined</w:t>
      </w:r>
      <w:r w:rsidR="00016DCB" w:rsidRPr="009C0EA0">
        <w:t xml:space="preserve"> for the last three decades</w:t>
      </w:r>
      <w:r w:rsidR="0004546A" w:rsidRPr="009C0EA0">
        <w:t xml:space="preserve"> (Chart </w:t>
      </w:r>
      <w:r w:rsidR="00391AA8" w:rsidRPr="009C0EA0">
        <w:t>4.</w:t>
      </w:r>
      <w:r w:rsidR="001F27D8" w:rsidRPr="009C0EA0">
        <w:t>7</w:t>
      </w:r>
      <w:r w:rsidR="0004546A" w:rsidRPr="009C0EA0">
        <w:t>)</w:t>
      </w:r>
      <w:r w:rsidRPr="009C0EA0">
        <w:t xml:space="preserve">. </w:t>
      </w:r>
      <w:r w:rsidR="003F69D3" w:rsidRPr="009C0EA0">
        <w:t xml:space="preserve">Research </w:t>
      </w:r>
      <w:r w:rsidR="0068281C" w:rsidRPr="009C0EA0">
        <w:t>notes</w:t>
      </w:r>
      <w:r w:rsidR="00527704" w:rsidRPr="009C0EA0">
        <w:t xml:space="preserve"> that since 1996, the level of social housing construction has not been enough to keep pace with sales and demolitions</w:t>
      </w:r>
      <w:r w:rsidR="00065C72" w:rsidRPr="009C0EA0">
        <w:t xml:space="preserve"> of existing social housing stock</w:t>
      </w:r>
      <w:r w:rsidR="00527704" w:rsidRPr="009C0EA0">
        <w:t>.</w:t>
      </w:r>
      <w:r w:rsidR="00527704" w:rsidRPr="009C0EA0">
        <w:rPr>
          <w:rStyle w:val="FootnoteReference"/>
        </w:rPr>
        <w:footnoteReference w:id="5"/>
      </w:r>
      <w:r w:rsidR="00273870" w:rsidRPr="009C0EA0">
        <w:t xml:space="preserve"> </w:t>
      </w:r>
    </w:p>
    <w:p w14:paraId="1E36100C" w14:textId="051A2FEE" w:rsidR="003B56A6" w:rsidRPr="009C0EA0" w:rsidRDefault="006F27E7" w:rsidP="00A90C90">
      <w:r w:rsidRPr="009C0EA0">
        <w:t xml:space="preserve">Since </w:t>
      </w:r>
      <w:r w:rsidR="002B301E" w:rsidRPr="009C0EA0">
        <w:t>1958</w:t>
      </w:r>
      <w:r w:rsidRPr="009C0EA0">
        <w:t xml:space="preserve">, the </w:t>
      </w:r>
      <w:r w:rsidR="00451943" w:rsidRPr="009C0EA0">
        <w:t>Australian Government</w:t>
      </w:r>
      <w:r w:rsidRPr="009C0EA0">
        <w:t xml:space="preserve"> has provided</w:t>
      </w:r>
      <w:r w:rsidR="003E661D" w:rsidRPr="009C0EA0">
        <w:t xml:space="preserve"> </w:t>
      </w:r>
      <w:r w:rsidR="00C43A1A" w:rsidRPr="009C0EA0">
        <w:t>rent assistance</w:t>
      </w:r>
      <w:r w:rsidR="003E661D" w:rsidRPr="009C0EA0">
        <w:t xml:space="preserve"> which helps people </w:t>
      </w:r>
      <w:r w:rsidR="00C43A1A" w:rsidRPr="009C0EA0">
        <w:t>on income support payments with the cost of</w:t>
      </w:r>
      <w:r w:rsidR="006C7EA5" w:rsidRPr="009C0EA0">
        <w:t xml:space="preserve"> rental housing</w:t>
      </w:r>
      <w:r w:rsidR="000A669A" w:rsidRPr="009C0EA0">
        <w:t>.</w:t>
      </w:r>
      <w:r w:rsidR="00F110EC" w:rsidRPr="009C0EA0">
        <w:t xml:space="preserve"> </w:t>
      </w:r>
      <w:r w:rsidR="00A110FB" w:rsidRPr="009C0EA0">
        <w:t>As a</w:t>
      </w:r>
      <w:r w:rsidR="002723E4" w:rsidRPr="009C0EA0">
        <w:t xml:space="preserve">n </w:t>
      </w:r>
      <w:r w:rsidR="00A110FB" w:rsidRPr="009C0EA0">
        <w:t xml:space="preserve">income supplement, </w:t>
      </w:r>
      <w:r w:rsidR="00136040" w:rsidRPr="009C0EA0">
        <w:t xml:space="preserve">Commonwealth Rent Assistance is able </w:t>
      </w:r>
      <w:r w:rsidR="005902E9" w:rsidRPr="009C0EA0">
        <w:t>to respond to recipients</w:t>
      </w:r>
      <w:r w:rsidR="0004287B">
        <w:t>’</w:t>
      </w:r>
      <w:r w:rsidR="005902E9" w:rsidRPr="009C0EA0">
        <w:t xml:space="preserve"> needs in a timel</w:t>
      </w:r>
      <w:r w:rsidR="006D2672" w:rsidRPr="009C0EA0">
        <w:t xml:space="preserve">y way, can </w:t>
      </w:r>
      <w:r w:rsidR="00111E8C" w:rsidRPr="009C0EA0">
        <w:t>adapt</w:t>
      </w:r>
      <w:r w:rsidR="006D2672" w:rsidRPr="009C0EA0">
        <w:t xml:space="preserve"> as</w:t>
      </w:r>
      <w:r w:rsidR="00111E8C" w:rsidRPr="009C0EA0">
        <w:t xml:space="preserve"> their</w:t>
      </w:r>
      <w:r w:rsidR="006D2672" w:rsidRPr="009C0EA0">
        <w:t xml:space="preserve"> needs change over time</w:t>
      </w:r>
      <w:r w:rsidR="00C63FD6" w:rsidRPr="009C0EA0">
        <w:t xml:space="preserve">, </w:t>
      </w:r>
      <w:r w:rsidR="006D2672" w:rsidRPr="009C0EA0">
        <w:t>supports housing choice</w:t>
      </w:r>
      <w:r w:rsidR="00C63FD6" w:rsidRPr="009C0EA0">
        <w:t>, and can</w:t>
      </w:r>
      <w:r w:rsidR="00E608BF" w:rsidRPr="009C0EA0">
        <w:t xml:space="preserve"> help</w:t>
      </w:r>
      <w:r w:rsidR="00C63FD6" w:rsidRPr="009C0EA0">
        <w:t xml:space="preserve"> </w:t>
      </w:r>
      <w:r w:rsidR="00E21E04" w:rsidRPr="009C0EA0">
        <w:t xml:space="preserve">meet the cost of </w:t>
      </w:r>
      <w:r w:rsidR="00143145" w:rsidRPr="009C0EA0">
        <w:t>increase</w:t>
      </w:r>
      <w:r w:rsidR="00BA3A7B" w:rsidRPr="009C0EA0">
        <w:t>s in rent.</w:t>
      </w:r>
      <w:r w:rsidR="00057FEF" w:rsidRPr="009C0EA0">
        <w:rPr>
          <w:rStyle w:val="FootnoteReference"/>
        </w:rPr>
        <w:footnoteReference w:id="6"/>
      </w:r>
      <w:r w:rsidR="006F6C03" w:rsidRPr="009C0EA0">
        <w:t xml:space="preserve"> </w:t>
      </w:r>
      <w:r w:rsidR="00710D13" w:rsidRPr="009C0EA0">
        <w:t xml:space="preserve">The National Housing Supply and Affordability Council </w:t>
      </w:r>
      <w:r w:rsidR="00C526C5" w:rsidRPr="009C0EA0">
        <w:t>suggests that renter households</w:t>
      </w:r>
      <w:r w:rsidR="00B241D4" w:rsidRPr="009C0EA0">
        <w:t xml:space="preserve"> receiving C</w:t>
      </w:r>
      <w:r w:rsidR="00C568B1" w:rsidRPr="009C0EA0">
        <w:t xml:space="preserve">ommonwealth </w:t>
      </w:r>
      <w:r w:rsidR="00B241D4" w:rsidRPr="009C0EA0">
        <w:t>R</w:t>
      </w:r>
      <w:r w:rsidR="00C568B1" w:rsidRPr="009C0EA0">
        <w:t xml:space="preserve">ent </w:t>
      </w:r>
      <w:r w:rsidR="00B241D4" w:rsidRPr="009C0EA0">
        <w:t>A</w:t>
      </w:r>
      <w:r w:rsidR="00C568B1" w:rsidRPr="009C0EA0">
        <w:t>ssistance</w:t>
      </w:r>
      <w:r w:rsidR="00B241D4" w:rsidRPr="009C0EA0">
        <w:t xml:space="preserve"> have seen improved affordability in recent years</w:t>
      </w:r>
      <w:r w:rsidR="00C526C5" w:rsidRPr="009C0EA0">
        <w:t>.</w:t>
      </w:r>
      <w:r w:rsidR="00914D71" w:rsidRPr="009C0EA0">
        <w:rPr>
          <w:rStyle w:val="FootnoteReference"/>
        </w:rPr>
        <w:footnoteReference w:id="7"/>
      </w:r>
      <w:r w:rsidR="00C526C5" w:rsidRPr="009C0EA0">
        <w:t xml:space="preserve"> </w:t>
      </w:r>
      <w:r w:rsidR="0072329D" w:rsidRPr="009C0EA0">
        <w:t>In</w:t>
      </w:r>
      <w:r w:rsidR="00536DAD" w:rsidRPr="009C0EA0">
        <w:t> March </w:t>
      </w:r>
      <w:r w:rsidR="00701763" w:rsidRPr="009C0EA0">
        <w:t>202</w:t>
      </w:r>
      <w:r w:rsidR="005779BE" w:rsidRPr="009C0EA0">
        <w:t>4</w:t>
      </w:r>
      <w:r w:rsidR="0072329D" w:rsidRPr="009C0EA0">
        <w:t xml:space="preserve">, </w:t>
      </w:r>
      <w:r w:rsidR="004F27E7" w:rsidRPr="009C0EA0">
        <w:t>C</w:t>
      </w:r>
      <w:r w:rsidR="00D733DD" w:rsidRPr="009C0EA0">
        <w:t xml:space="preserve">ommonwealth </w:t>
      </w:r>
      <w:r w:rsidR="004F27E7" w:rsidRPr="009C0EA0">
        <w:t>R</w:t>
      </w:r>
      <w:r w:rsidR="00D733DD" w:rsidRPr="009C0EA0">
        <w:t>ent Assistance</w:t>
      </w:r>
      <w:r w:rsidR="004F27E7" w:rsidRPr="009C0EA0">
        <w:t xml:space="preserve"> helped reduce</w:t>
      </w:r>
      <w:r w:rsidR="00EE25D9" w:rsidRPr="009C0EA0">
        <w:t xml:space="preserve"> </w:t>
      </w:r>
      <w:r w:rsidR="002126F5" w:rsidRPr="009C0EA0">
        <w:t xml:space="preserve">the percentage of </w:t>
      </w:r>
      <w:r w:rsidR="00EE25D9" w:rsidRPr="009C0EA0">
        <w:t xml:space="preserve">recipient households experiencing rental stress </w:t>
      </w:r>
      <w:r w:rsidR="00373219" w:rsidRPr="009C0EA0">
        <w:t xml:space="preserve">by </w:t>
      </w:r>
      <w:r w:rsidR="00A93BB3" w:rsidRPr="009C0EA0">
        <w:t>around</w:t>
      </w:r>
      <w:r w:rsidR="00373219" w:rsidRPr="009C0EA0">
        <w:t xml:space="preserve"> </w:t>
      </w:r>
      <w:r w:rsidR="006D4617" w:rsidRPr="009C0EA0">
        <w:t>3</w:t>
      </w:r>
      <w:r w:rsidR="009A225D" w:rsidRPr="009C0EA0">
        <w:t>1</w:t>
      </w:r>
      <w:r w:rsidR="00AF6431" w:rsidRPr="009C0EA0">
        <w:t> </w:t>
      </w:r>
      <w:r w:rsidR="00373219" w:rsidRPr="009C0EA0">
        <w:t>per</w:t>
      </w:r>
      <w:r w:rsidR="00545813" w:rsidRPr="009C0EA0">
        <w:t>centage points</w:t>
      </w:r>
      <w:r w:rsidR="005B2C38" w:rsidRPr="009C0EA0">
        <w:t>.</w:t>
      </w:r>
      <w:r w:rsidR="00A01C8E" w:rsidRPr="009C0EA0">
        <w:rPr>
          <w:rStyle w:val="FootnoteReference"/>
        </w:rPr>
        <w:footnoteReference w:id="8"/>
      </w:r>
      <w:r w:rsidR="005B2C38" w:rsidRPr="009C0EA0">
        <w:t xml:space="preserve"> </w:t>
      </w:r>
    </w:p>
    <w:tbl>
      <w:tblPr>
        <w:tblW w:w="5000" w:type="pct"/>
        <w:tblLayout w:type="fixed"/>
        <w:tblLook w:val="0000" w:firstRow="0" w:lastRow="0" w:firstColumn="0" w:lastColumn="0" w:noHBand="0" w:noVBand="0"/>
      </w:tblPr>
      <w:tblGrid>
        <w:gridCol w:w="3855"/>
        <w:gridCol w:w="3855"/>
      </w:tblGrid>
      <w:tr w:rsidR="00510044" w:rsidRPr="001F67EA" w14:paraId="0805650C" w14:textId="77777777" w:rsidTr="00E63BCC">
        <w:trPr>
          <w:cantSplit/>
        </w:trPr>
        <w:tc>
          <w:tcPr>
            <w:tcW w:w="3912" w:type="dxa"/>
            <w:shd w:val="clear" w:color="auto" w:fill="auto"/>
          </w:tcPr>
          <w:p w14:paraId="1773FCA2" w14:textId="49E08FFB" w:rsidR="00510044" w:rsidRPr="001F67EA" w:rsidRDefault="00510044" w:rsidP="007B3BDE">
            <w:pPr>
              <w:pStyle w:val="ChartHeading"/>
              <w:rPr>
                <w:highlight w:val="darkYellow"/>
              </w:rPr>
            </w:pPr>
            <w:r w:rsidRPr="009C0EA0">
              <w:lastRenderedPageBreak/>
              <w:t>Chart 4.6: Public housing completions</w:t>
            </w:r>
          </w:p>
        </w:tc>
        <w:tc>
          <w:tcPr>
            <w:tcW w:w="3911" w:type="dxa"/>
            <w:shd w:val="clear" w:color="auto" w:fill="auto"/>
          </w:tcPr>
          <w:p w14:paraId="57AFA2CD" w14:textId="46DA9059" w:rsidR="00510044" w:rsidRPr="009C0EA0" w:rsidRDefault="00510044" w:rsidP="007B3BDE">
            <w:pPr>
              <w:pStyle w:val="ChartHeading"/>
            </w:pPr>
            <w:r w:rsidRPr="009C0EA0">
              <w:t>Chart 4.7: Social housing stock as a share of housing stock</w:t>
            </w:r>
          </w:p>
        </w:tc>
      </w:tr>
      <w:tr w:rsidR="00753D8C" w:rsidRPr="00C94F91" w14:paraId="3F0ED894" w14:textId="77777777" w:rsidTr="00E63BCC">
        <w:trPr>
          <w:cantSplit/>
          <w:trHeight w:val="3372"/>
        </w:trPr>
        <w:tc>
          <w:tcPr>
            <w:tcW w:w="3912" w:type="dxa"/>
            <w:shd w:val="clear" w:color="auto" w:fill="auto"/>
          </w:tcPr>
          <w:p w14:paraId="0A645139" w14:textId="640F2D7B" w:rsidR="00510044" w:rsidRPr="00C94F91" w:rsidRDefault="000417B6" w:rsidP="00417CEE">
            <w:pPr>
              <w:pStyle w:val="ChartGraphic"/>
            </w:pPr>
            <w:r>
              <w:pict w14:anchorId="06722557">
                <v:shape id="_x0000_i1030" type="#_x0000_t75" alt="This is a line chart that shows public housing completions from 1957 to 2023. Public housing completions has been trending downwards over the time horizon captured in this chart, although there was a noticeable peak around 2010-2011. Post 2011, public housing completions dropped to levels seen before the 2010-2011 peak." style="width:165.5pt;height:164.95pt">
                  <v:imagedata r:id="rId23" o:title=""/>
                </v:shape>
              </w:pict>
            </w:r>
          </w:p>
        </w:tc>
        <w:tc>
          <w:tcPr>
            <w:tcW w:w="3911" w:type="dxa"/>
            <w:shd w:val="clear" w:color="auto" w:fill="auto"/>
          </w:tcPr>
          <w:p w14:paraId="458CA125" w14:textId="3E1FF1B2" w:rsidR="00510044" w:rsidRPr="008D67C2" w:rsidRDefault="00510044" w:rsidP="009E7763">
            <w:pPr>
              <w:pStyle w:val="ChartGraphic"/>
            </w:pPr>
            <w:r w:rsidRPr="009150E6">
              <w:t xml:space="preserve"> </w:t>
            </w:r>
            <w:r w:rsidR="000417B6">
              <w:pict w14:anchorId="1BF26BD8">
                <v:shape id="_x0000_i1031" type="#_x0000_t75" alt="This is a stacked bar chart and shows social housing stock as a proportion of housing stock. This chart captures public housing (in blue) and community housing (in red). Social housing stock as a share of total housing stock was increasing from 1981 to 1991. From 1991 onwards, social housing stock as a proportion has been declining. 1991 was the peak in this chart." style="width:170.85pt;height:169.25pt">
                  <v:imagedata r:id="rId24" o:title=""/>
                </v:shape>
              </w:pict>
            </w:r>
          </w:p>
        </w:tc>
      </w:tr>
      <w:tr w:rsidR="00417CEE" w:rsidRPr="009150E6" w14:paraId="6A596F3D" w14:textId="77777777" w:rsidTr="00E63BCC">
        <w:trPr>
          <w:cantSplit/>
          <w:trHeight w:val="1361"/>
        </w:trPr>
        <w:tc>
          <w:tcPr>
            <w:tcW w:w="3912" w:type="dxa"/>
            <w:shd w:val="clear" w:color="auto" w:fill="auto"/>
          </w:tcPr>
          <w:p w14:paraId="37426272" w14:textId="7DE1593A" w:rsidR="00417CEE" w:rsidRPr="00C94F91" w:rsidRDefault="00417CEE" w:rsidP="00417CEE">
            <w:pPr>
              <w:pStyle w:val="ChartandTableFootnote"/>
              <w:rPr>
                <w:color w:val="auto"/>
              </w:rPr>
            </w:pPr>
            <w:r w:rsidRPr="009150E6">
              <w:rPr>
                <w:color w:val="auto"/>
              </w:rPr>
              <w:t>Source:</w:t>
            </w:r>
            <w:r w:rsidRPr="009150E6">
              <w:rPr>
                <w:color w:val="auto"/>
              </w:rPr>
              <w:tab/>
              <w:t xml:space="preserve"> ABS Building Activity, Treasury</w:t>
            </w:r>
          </w:p>
        </w:tc>
        <w:tc>
          <w:tcPr>
            <w:tcW w:w="3911" w:type="dxa"/>
            <w:shd w:val="clear" w:color="auto" w:fill="auto"/>
          </w:tcPr>
          <w:p w14:paraId="5E1A4492" w14:textId="77777777" w:rsidR="00417CEE" w:rsidRPr="009150E6" w:rsidRDefault="00417CEE" w:rsidP="00417CEE">
            <w:pPr>
              <w:pStyle w:val="ChartandTableFootnote"/>
              <w:rPr>
                <w:color w:val="auto"/>
              </w:rPr>
            </w:pPr>
            <w:r w:rsidRPr="009150E6">
              <w:rPr>
                <w:color w:val="auto"/>
              </w:rPr>
              <w:t xml:space="preserve">Source: </w:t>
            </w:r>
            <w:r w:rsidRPr="009150E6">
              <w:rPr>
                <w:color w:val="auto"/>
              </w:rPr>
              <w:tab/>
              <w:t xml:space="preserve">National Housing Supply and Affordability Council analysis of ABS Census data, Treasury </w:t>
            </w:r>
          </w:p>
          <w:p w14:paraId="08C78C2E" w14:textId="14B2F22D" w:rsidR="00417CEE" w:rsidRPr="009150E6" w:rsidRDefault="00417CEE" w:rsidP="00417CEE">
            <w:pPr>
              <w:pStyle w:val="ChartandTableFootnote"/>
              <w:rPr>
                <w:color w:val="auto"/>
              </w:rPr>
            </w:pPr>
            <w:r w:rsidRPr="009150E6">
              <w:rPr>
                <w:color w:val="auto"/>
              </w:rPr>
              <w:t xml:space="preserve">Notes: </w:t>
            </w:r>
            <w:r w:rsidRPr="009150E6">
              <w:rPr>
                <w:color w:val="auto"/>
              </w:rPr>
              <w:tab/>
              <w:t>Social housing as a share of occupied private dwellings (excludes visitor</w:t>
            </w:r>
            <w:r w:rsidR="0004287B">
              <w:rPr>
                <w:color w:val="auto"/>
              </w:rPr>
              <w:noBreakHyphen/>
            </w:r>
            <w:r w:rsidRPr="009150E6">
              <w:rPr>
                <w:color w:val="auto"/>
              </w:rPr>
              <w:t>only and other non</w:t>
            </w:r>
            <w:r w:rsidR="0004287B">
              <w:rPr>
                <w:color w:val="auto"/>
              </w:rPr>
              <w:noBreakHyphen/>
            </w:r>
            <w:r w:rsidRPr="009150E6">
              <w:rPr>
                <w:color w:val="auto"/>
              </w:rPr>
              <w:t>classifiable households from 2006 onwards).</w:t>
            </w:r>
          </w:p>
        </w:tc>
      </w:tr>
    </w:tbl>
    <w:p w14:paraId="064F996F" w14:textId="323F3EAF" w:rsidR="009F5AA5" w:rsidRPr="009150E6" w:rsidRDefault="009F5AA5" w:rsidP="0025758A">
      <w:pPr>
        <w:pStyle w:val="ChartLine"/>
      </w:pPr>
      <w:bookmarkStart w:id="22" w:name="_Toc166159058"/>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9063D" w:rsidRPr="009150E6" w14:paraId="59768806" w14:textId="77777777" w:rsidTr="007913DD">
        <w:trPr>
          <w:cantSplit/>
        </w:trPr>
        <w:tc>
          <w:tcPr>
            <w:tcW w:w="5000" w:type="pct"/>
            <w:shd w:val="clear" w:color="auto" w:fill="E6F2FF"/>
          </w:tcPr>
          <w:p w14:paraId="45A42B23" w14:textId="78558D5D" w:rsidR="0039063D" w:rsidRPr="009C0EA0" w:rsidRDefault="0039063D" w:rsidP="0039063D">
            <w:pPr>
              <w:pStyle w:val="BoxHeading"/>
            </w:pPr>
            <w:r w:rsidRPr="009C0EA0">
              <w:lastRenderedPageBreak/>
              <w:t>Box 4.</w:t>
            </w:r>
            <w:r w:rsidR="003E4CF2" w:rsidRPr="009C0EA0">
              <w:t>3</w:t>
            </w:r>
            <w:r w:rsidRPr="009C0EA0">
              <w:t xml:space="preserve"> Government actions to increase social and affordable housing</w:t>
            </w:r>
          </w:p>
          <w:p w14:paraId="4617AF9D" w14:textId="2D8C3EE4" w:rsidR="0039063D" w:rsidRPr="009C0EA0" w:rsidRDefault="0039063D" w:rsidP="0039063D">
            <w:pPr>
              <w:pStyle w:val="BoxText"/>
            </w:pPr>
            <w:r w:rsidRPr="009C0EA0">
              <w:t>The Government is tackling housing stress for lower income households, with investments expected to support around 55,000 new social and affordable homes,</w:t>
            </w:r>
            <w:r w:rsidRPr="009150E6">
              <w:t xml:space="preserve"> </w:t>
            </w:r>
            <w:r w:rsidRPr="009C0EA0">
              <w:t>increasing the stock of social and affordable housing by over 12</w:t>
            </w:r>
            <w:r w:rsidR="0079584A" w:rsidRPr="009C0EA0">
              <w:t> per cent</w:t>
            </w:r>
            <w:r w:rsidRPr="009C0EA0">
              <w:t>.</w:t>
            </w:r>
            <w:r w:rsidRPr="009150E6">
              <w:t xml:space="preserve"> </w:t>
            </w:r>
            <w:r w:rsidRPr="009C0EA0">
              <w:t>This will be achieved through:</w:t>
            </w:r>
          </w:p>
          <w:p w14:paraId="15B8E1F8" w14:textId="751FC508" w:rsidR="0039063D" w:rsidRPr="009C0EA0" w:rsidRDefault="0039063D" w:rsidP="0039063D">
            <w:pPr>
              <w:pStyle w:val="BoxBullet"/>
            </w:pPr>
            <w:r w:rsidRPr="009C0EA0">
              <w:t>The $10</w:t>
            </w:r>
            <w:r w:rsidR="00536DAD" w:rsidRPr="009C0EA0">
              <w:t> billion</w:t>
            </w:r>
            <w:r w:rsidRPr="009C0EA0">
              <w:t xml:space="preserve"> Housing Australia Future Fund (HAFF), which seeks to deliver 30,000 new social and affordable homes over its first five years, including homes for women and children impacted by family and domestic violence.</w:t>
            </w:r>
          </w:p>
          <w:p w14:paraId="70C1A8F4" w14:textId="50590AE8" w:rsidR="0039063D" w:rsidRPr="009C0EA0" w:rsidRDefault="0039063D" w:rsidP="0039063D">
            <w:pPr>
              <w:pStyle w:val="BoxBullet"/>
            </w:pPr>
            <w:r w:rsidRPr="009C0EA0">
              <w:t xml:space="preserve">The National Housing Accord, under which the </w:t>
            </w:r>
            <w:r w:rsidR="00E65707" w:rsidRPr="009C0EA0">
              <w:t>Australian Government</w:t>
            </w:r>
            <w:r w:rsidRPr="009C0EA0">
              <w:t xml:space="preserve"> will deliver 10,000 affordable homes, to be matched by states and territories. </w:t>
            </w:r>
          </w:p>
          <w:p w14:paraId="2021601B" w14:textId="4C01AB75" w:rsidR="008B563A" w:rsidRPr="009150E6" w:rsidRDefault="008B563A" w:rsidP="008B563A">
            <w:pPr>
              <w:pStyle w:val="BoxBullet"/>
            </w:pPr>
            <w:r w:rsidRPr="009C0EA0">
              <w:t>Additional concessional financing for community housing providers and other charities to support the HAFF and Accord of $1.9 billion.</w:t>
            </w:r>
          </w:p>
          <w:p w14:paraId="507B8BE1" w14:textId="6F5C8906" w:rsidR="0039063D" w:rsidRPr="009150E6" w:rsidRDefault="0039063D" w:rsidP="0039063D">
            <w:pPr>
              <w:pStyle w:val="BoxBullet"/>
            </w:pPr>
            <w:r w:rsidRPr="009C0EA0">
              <w:t>The $2</w:t>
            </w:r>
            <w:r w:rsidR="00536DAD" w:rsidRPr="009C0EA0">
              <w:t> billion</w:t>
            </w:r>
            <w:r w:rsidRPr="009C0EA0">
              <w:t xml:space="preserve"> Social Housing Accelerator </w:t>
            </w:r>
            <w:r w:rsidR="008B563A" w:rsidRPr="009C0EA0">
              <w:t>Payment</w:t>
            </w:r>
            <w:r w:rsidRPr="009C0EA0">
              <w:t xml:space="preserve">, which will fund 4,000 new and refurbished social homes. </w:t>
            </w:r>
          </w:p>
          <w:p w14:paraId="024F3721" w14:textId="0EFB0E12" w:rsidR="0039063D" w:rsidRPr="009C0EA0" w:rsidRDefault="0039063D" w:rsidP="0039063D">
            <w:pPr>
              <w:pStyle w:val="BoxBullet"/>
            </w:pPr>
            <w:r w:rsidRPr="009C0EA0">
              <w:t>Expanding the Affordable Housing Bond Aggregator by increasing Housing Australia</w:t>
            </w:r>
            <w:r w:rsidR="0004287B">
              <w:t>’</w:t>
            </w:r>
            <w:r w:rsidRPr="009C0EA0">
              <w:t>s liability cap to $10</w:t>
            </w:r>
            <w:r w:rsidR="00536DAD" w:rsidRPr="009C0EA0">
              <w:t> billion</w:t>
            </w:r>
            <w:r w:rsidRPr="009C0EA0">
              <w:t xml:space="preserve"> from $5.5</w:t>
            </w:r>
            <w:r w:rsidR="00536DAD" w:rsidRPr="009C0EA0">
              <w:t> billion</w:t>
            </w:r>
            <w:r w:rsidRPr="009C0EA0">
              <w:t>.</w:t>
            </w:r>
          </w:p>
          <w:p w14:paraId="51AEDD81" w14:textId="2FA3BB6F" w:rsidR="001A06C1" w:rsidRPr="009150E6" w:rsidRDefault="0039063D" w:rsidP="008B563A">
            <w:pPr>
              <w:pStyle w:val="BoxBullet"/>
            </w:pPr>
            <w:r w:rsidRPr="009C0EA0">
              <w:t>Providing an additional $1</w:t>
            </w:r>
            <w:r w:rsidR="00536DAD" w:rsidRPr="009C0EA0">
              <w:t> billion</w:t>
            </w:r>
            <w:r w:rsidRPr="009C0EA0">
              <w:t xml:space="preserve"> to the National Housing Infrastructure Facility, targeted toward crisis and transitional accommodation for women and children fleeing domestic violence, and youth.</w:t>
            </w:r>
            <w:r w:rsidR="00CA4308" w:rsidRPr="009C0EA0">
              <w:t xml:space="preserve"> </w:t>
            </w:r>
          </w:p>
          <w:p w14:paraId="0F9930E0" w14:textId="4AB88F09" w:rsidR="00BE661C" w:rsidRPr="009C0EA0" w:rsidRDefault="00BE661C" w:rsidP="00504994">
            <w:r w:rsidRPr="009C0EA0">
              <w:t>Chart 4.8 shows how these measures, coupled with Housing Australia</w:t>
            </w:r>
            <w:r w:rsidR="0004287B">
              <w:t>’</w:t>
            </w:r>
            <w:r w:rsidRPr="009C0EA0">
              <w:t xml:space="preserve">s existing programs, will affect the level of social and affordable housing. </w:t>
            </w:r>
          </w:p>
          <w:p w14:paraId="3C426056" w14:textId="45113BB9" w:rsidR="0039063D" w:rsidRPr="009150E6" w:rsidRDefault="00A325F2" w:rsidP="00A325F2">
            <w:pPr>
              <w:pStyle w:val="Box-continuedon"/>
            </w:pPr>
            <w:r>
              <w:t>continued on next page</w:t>
            </w:r>
          </w:p>
        </w:tc>
      </w:tr>
    </w:tbl>
    <w:p w14:paraId="6F4D2DCB" w14:textId="77777777" w:rsidR="00811107" w:rsidRDefault="00811107">
      <w:pPr>
        <w:spacing w:before="0" w:after="160" w:line="259" w:lineRule="auto"/>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811107" w14:paraId="7818C351" w14:textId="77777777" w:rsidTr="007913DD">
        <w:trPr>
          <w:cantSplit/>
        </w:trPr>
        <w:tc>
          <w:tcPr>
            <w:tcW w:w="5000" w:type="pct"/>
            <w:shd w:val="clear" w:color="auto" w:fill="E6F2FF"/>
          </w:tcPr>
          <w:p w14:paraId="55854572" w14:textId="46FEF0CF" w:rsidR="00811107" w:rsidRDefault="00811107" w:rsidP="00811107">
            <w:pPr>
              <w:pStyle w:val="BoxHeading"/>
            </w:pPr>
            <w:r w:rsidRPr="009C0EA0">
              <w:lastRenderedPageBreak/>
              <w:t>Box 4.3 Government actions to increase social and affordable housing</w:t>
            </w:r>
            <w:r>
              <w:t xml:space="preserve"> </w:t>
            </w:r>
            <w:r w:rsidR="001B5472">
              <w:t>(continued)</w:t>
            </w:r>
          </w:p>
          <w:p w14:paraId="3FFF54D0" w14:textId="77777777" w:rsidR="001B5472" w:rsidRPr="009150E6" w:rsidRDefault="001B5472" w:rsidP="001B5472">
            <w:pPr>
              <w:rPr>
                <w:rFonts w:asciiTheme="majorHAnsi" w:hAnsiTheme="majorHAnsi" w:cstheme="majorHAnsi"/>
                <w:b/>
                <w:sz w:val="20"/>
                <w:szCs w:val="22"/>
              </w:rPr>
            </w:pPr>
            <w:r w:rsidRPr="009C0EA0">
              <w:rPr>
                <w:rFonts w:asciiTheme="majorHAnsi" w:hAnsiTheme="majorHAnsi" w:cstheme="majorHAnsi"/>
                <w:b/>
                <w:sz w:val="20"/>
                <w:szCs w:val="22"/>
              </w:rPr>
              <w:t>Chart 4.8 Social</w:t>
            </w:r>
            <w:r w:rsidRPr="009C0EA0">
              <w:rPr>
                <w:rFonts w:asciiTheme="majorHAnsi" w:hAnsiTheme="majorHAnsi" w:cstheme="majorHAnsi"/>
                <w:b/>
                <w:bCs/>
                <w:sz w:val="20"/>
                <w:szCs w:val="22"/>
              </w:rPr>
              <w:t xml:space="preserve"> and affordable</w:t>
            </w:r>
            <w:r w:rsidRPr="009C0EA0">
              <w:rPr>
                <w:rFonts w:asciiTheme="majorHAnsi" w:hAnsiTheme="majorHAnsi" w:cstheme="majorHAnsi"/>
                <w:b/>
                <w:sz w:val="20"/>
                <w:szCs w:val="22"/>
              </w:rPr>
              <w:t xml:space="preserve"> housing stock levels and impact of Government</w:t>
            </w:r>
            <w:r>
              <w:rPr>
                <w:rFonts w:asciiTheme="majorHAnsi" w:hAnsiTheme="majorHAnsi" w:cstheme="majorHAnsi"/>
                <w:b/>
                <w:sz w:val="20"/>
                <w:szCs w:val="22"/>
              </w:rPr>
              <w:t>’</w:t>
            </w:r>
            <w:r w:rsidRPr="009C0EA0">
              <w:rPr>
                <w:rFonts w:asciiTheme="majorHAnsi" w:hAnsiTheme="majorHAnsi" w:cstheme="majorHAnsi"/>
                <w:b/>
                <w:sz w:val="20"/>
                <w:szCs w:val="22"/>
              </w:rPr>
              <w:t>s investment</w:t>
            </w:r>
          </w:p>
          <w:p w14:paraId="416595D7" w14:textId="7711818A" w:rsidR="001B5472" w:rsidRPr="009150E6" w:rsidRDefault="000417B6" w:rsidP="001B5472">
            <w:pPr>
              <w:pStyle w:val="ChartGraphic"/>
            </w:pPr>
            <w:r>
              <w:rPr>
                <w:noProof/>
              </w:rPr>
              <w:pict w14:anchorId="00BD3E73">
                <v:shape id="_x0000_i1032" type="#_x0000_t75" alt="This line chart shows social and affordable housing stock levels from 2012 to 2022 (in a solid blue line). The dotted blue line represents the Government's plan to support around 55,000 new social and affordable homes in addition to existing stock levels from May 2022 to 2029. The dotted blue line appears after 2022 and is a projection." style="width:314.85pt;height:193.45pt;mso-position-horizontal:absolute">
                  <v:imagedata r:id="rId25" o:title=""/>
                </v:shape>
              </w:pict>
            </w:r>
          </w:p>
          <w:p w14:paraId="7132309E" w14:textId="77777777" w:rsidR="001B5472" w:rsidRPr="009150E6" w:rsidRDefault="001B5472" w:rsidP="001B5472">
            <w:pPr>
              <w:pStyle w:val="ChartandTableFootnote"/>
            </w:pPr>
            <w:r w:rsidRPr="009150E6">
              <w:t xml:space="preserve">Source: </w:t>
            </w:r>
            <w:r w:rsidRPr="009150E6">
              <w:tab/>
              <w:t xml:space="preserve">AIHW, Treasury </w:t>
            </w:r>
          </w:p>
          <w:p w14:paraId="00668569" w14:textId="2D802399" w:rsidR="001B5472" w:rsidRDefault="001B5472" w:rsidP="001B5472">
            <w:pPr>
              <w:pStyle w:val="ChartandTableFootnote"/>
            </w:pPr>
            <w:r w:rsidRPr="009150E6">
              <w:t xml:space="preserve">Notes: </w:t>
            </w:r>
            <w:r w:rsidRPr="009150E6">
              <w:tab/>
              <w:t>This chart measures social housing stock levels from 2012 to 2022 using data from AIHW. For the purposes of this analysis, Treasury is including State Owned and Managed Indigenous Housing, Indigenous community housing, community housing and public housing, in the count of social and affordable housing. This analysis may not include other forms of affordable housing due to unavailable data. It is projected that the Australian Government will help support around 55,000 new social and affordable homes between May 2022 and 2029.</w:t>
            </w:r>
          </w:p>
        </w:tc>
      </w:tr>
    </w:tbl>
    <w:p w14:paraId="5832637F" w14:textId="77777777" w:rsidR="00811107" w:rsidRDefault="00811107">
      <w:pPr>
        <w:spacing w:before="0" w:after="160" w:line="259" w:lineRule="auto"/>
      </w:pPr>
    </w:p>
    <w:p w14:paraId="3F547C44" w14:textId="7EE2A720" w:rsidR="009F5AA5" w:rsidRPr="009150E6" w:rsidRDefault="009F5AA5">
      <w:pPr>
        <w:spacing w:before="0" w:after="160" w:line="259" w:lineRule="auto"/>
      </w:pPr>
      <w:r w:rsidRPr="009150E6">
        <w:br w:type="page"/>
      </w:r>
    </w:p>
    <w:p w14:paraId="0C0F2D67" w14:textId="170F02DC" w:rsidR="00625AA4" w:rsidRPr="009C0EA0" w:rsidRDefault="000D5AD3" w:rsidP="00481BC9">
      <w:pPr>
        <w:pStyle w:val="Heading2"/>
      </w:pPr>
      <w:bookmarkStart w:id="23" w:name="_Toc166253962"/>
      <w:bookmarkStart w:id="24" w:name="_Toc166254078"/>
      <w:bookmarkStart w:id="25" w:name="_Toc166355542"/>
      <w:r w:rsidRPr="009C0EA0">
        <w:lastRenderedPageBreak/>
        <w:t>Af</w:t>
      </w:r>
      <w:r w:rsidR="00F0510A" w:rsidRPr="009C0EA0">
        <w:t>ford</w:t>
      </w:r>
      <w:r w:rsidRPr="009C0EA0">
        <w:t>ability pressures</w:t>
      </w:r>
      <w:r w:rsidR="005D4E2F" w:rsidRPr="009C0EA0">
        <w:t xml:space="preserve"> are </w:t>
      </w:r>
      <w:r w:rsidR="00451B78" w:rsidRPr="009C0EA0">
        <w:t>high</w:t>
      </w:r>
      <w:bookmarkEnd w:id="22"/>
      <w:bookmarkEnd w:id="23"/>
      <w:bookmarkEnd w:id="24"/>
      <w:bookmarkEnd w:id="25"/>
    </w:p>
    <w:p w14:paraId="37FE0519" w14:textId="23DDAFAF" w:rsidR="00A91036" w:rsidRPr="009C0EA0" w:rsidRDefault="00E83D47" w:rsidP="001739E7">
      <w:pPr>
        <w:pStyle w:val="Heading3"/>
      </w:pPr>
      <w:bookmarkStart w:id="26" w:name="_Toc166159059"/>
      <w:bookmarkStart w:id="27" w:name="_Toc166253963"/>
      <w:bookmarkStart w:id="28" w:name="_Toc166355543"/>
      <w:r w:rsidRPr="009C0EA0">
        <w:t>S</w:t>
      </w:r>
      <w:r w:rsidR="00A91036" w:rsidRPr="009C0EA0">
        <w:t xml:space="preserve">upply shortages </w:t>
      </w:r>
      <w:r w:rsidRPr="009C0EA0">
        <w:t>contribute to</w:t>
      </w:r>
      <w:r w:rsidR="00A91036" w:rsidRPr="009C0EA0">
        <w:t xml:space="preserve"> affordability pressures</w:t>
      </w:r>
      <w:bookmarkEnd w:id="26"/>
      <w:bookmarkEnd w:id="27"/>
      <w:bookmarkEnd w:id="28"/>
    </w:p>
    <w:p w14:paraId="1EFFDC8A" w14:textId="3E326A93" w:rsidR="00756C37" w:rsidRPr="0032797C" w:rsidRDefault="009B4725" w:rsidP="001739E7">
      <w:r w:rsidRPr="009C0EA0">
        <w:t>The lag in</w:t>
      </w:r>
      <w:r w:rsidR="00D0797B" w:rsidRPr="009C0EA0">
        <w:t xml:space="preserve"> housing supply </w:t>
      </w:r>
      <w:r w:rsidR="00E02F52" w:rsidRPr="009C0EA0">
        <w:t>responding to changes in</w:t>
      </w:r>
      <w:r w:rsidR="00D0797B" w:rsidRPr="009C0EA0">
        <w:t xml:space="preserve"> population has contributed to rising house prices and worsening affordability. </w:t>
      </w:r>
      <w:r w:rsidR="00061E0C" w:rsidRPr="009C0EA0">
        <w:t>Charts 4.9 and 4.10 show that nominal dwelling prices and advertised rents have more than doubled since the mid</w:t>
      </w:r>
      <w:r w:rsidR="0004287B">
        <w:noBreakHyphen/>
      </w:r>
      <w:r w:rsidR="00061E0C" w:rsidRPr="009C0EA0">
        <w:t>2000s</w:t>
      </w:r>
      <w:r w:rsidR="006755BE" w:rsidRPr="0032797C">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46"/>
      </w:tblGrid>
      <w:tr w:rsidR="00A01F84" w:rsidRPr="00416694" w14:paraId="51D4D73F" w14:textId="77777777" w:rsidTr="00077A17">
        <w:trPr>
          <w:trHeight w:val="506"/>
        </w:trPr>
        <w:tc>
          <w:tcPr>
            <w:tcW w:w="3864" w:type="dxa"/>
          </w:tcPr>
          <w:p w14:paraId="142CAEAB" w14:textId="4DC4CBE6" w:rsidR="00A01F84" w:rsidRPr="00077A17" w:rsidRDefault="00A01F84" w:rsidP="007B3BDE">
            <w:pPr>
              <w:pStyle w:val="ChartHeading"/>
            </w:pPr>
            <w:r w:rsidRPr="009C0EA0">
              <w:t>Chart 4.</w:t>
            </w:r>
            <w:r w:rsidR="00A8063E" w:rsidRPr="009C0EA0">
              <w:t>9</w:t>
            </w:r>
            <w:r w:rsidRPr="009C0EA0">
              <w:t xml:space="preserve">: </w:t>
            </w:r>
            <w:r w:rsidR="004F0DB0" w:rsidRPr="009C0EA0">
              <w:t xml:space="preserve">Median nominal dwelling </w:t>
            </w:r>
            <w:r w:rsidR="007248E5" w:rsidRPr="009C0EA0">
              <w:t>values</w:t>
            </w:r>
          </w:p>
        </w:tc>
        <w:tc>
          <w:tcPr>
            <w:tcW w:w="252" w:type="dxa"/>
          </w:tcPr>
          <w:p w14:paraId="1135A3AD" w14:textId="3247C157" w:rsidR="00A01F84" w:rsidRPr="0032797C" w:rsidRDefault="00A01F84" w:rsidP="007B3BDE">
            <w:pPr>
              <w:pStyle w:val="ChartHeading"/>
            </w:pPr>
            <w:r w:rsidRPr="009C0EA0">
              <w:t>Chart 4.</w:t>
            </w:r>
            <w:r w:rsidR="00A8063E" w:rsidRPr="009C0EA0">
              <w:t>10</w:t>
            </w:r>
            <w:r w:rsidRPr="009C0EA0">
              <w:t xml:space="preserve">: </w:t>
            </w:r>
            <w:r w:rsidR="00DC4AA7" w:rsidRPr="009C0EA0">
              <w:t xml:space="preserve">Median nominal </w:t>
            </w:r>
            <w:r w:rsidR="00045FB6" w:rsidRPr="009C0EA0">
              <w:t xml:space="preserve">advertised </w:t>
            </w:r>
            <w:r w:rsidR="00DC4AA7" w:rsidRPr="009C0EA0">
              <w:t>rents</w:t>
            </w:r>
          </w:p>
        </w:tc>
      </w:tr>
      <w:tr w:rsidR="00A01F84" w:rsidRPr="00416694" w14:paraId="11AAF806" w14:textId="77777777" w:rsidTr="00077A17">
        <w:tc>
          <w:tcPr>
            <w:tcW w:w="3864" w:type="dxa"/>
          </w:tcPr>
          <w:p w14:paraId="6D527CF3" w14:textId="50172442" w:rsidR="00A01F84" w:rsidRPr="006A6C10" w:rsidRDefault="000417B6" w:rsidP="000C52DF">
            <w:pPr>
              <w:pStyle w:val="ChartGraphic"/>
            </w:pPr>
            <w:r>
              <w:rPr>
                <w:noProof/>
              </w:rPr>
              <w:pict w14:anchorId="1F09A54C">
                <v:shape id="_x0000_i1033" type="#_x0000_t75" alt="This line chart shows median nominal dwelling values for eight capital cities combined between April 1984 and April 2024. In April 1984, median dwelling values were around $58,100. Median dwelling values have risen to around $857,100 by April 2024. " style="width:181.6pt;height:181.6pt">
                  <v:imagedata r:id="rId26" o:title=""/>
                </v:shape>
              </w:pict>
            </w:r>
          </w:p>
        </w:tc>
        <w:tc>
          <w:tcPr>
            <w:tcW w:w="252" w:type="dxa"/>
          </w:tcPr>
          <w:p w14:paraId="10907A28" w14:textId="0A9051CC" w:rsidR="00A01F84" w:rsidRPr="00077A17" w:rsidRDefault="000417B6" w:rsidP="00D568F5">
            <w:pPr>
              <w:pStyle w:val="ChartGraphic"/>
            </w:pPr>
            <w:r>
              <w:rPr>
                <w:noProof/>
              </w:rPr>
              <w:pict w14:anchorId="3100E650">
                <v:shape id="_x0000_i1034" type="#_x0000_t75" alt="This line chart shows monthly median nominal advertised rents for dwellings on a 3-month rolling average for eight capital cities combined, dwellings, between April 2006 and April 2024. In April 2006, the median nominal advertised rents 3-month rolling average was around $262. The median nominal advertised 3-month rolling average rents has increased over time to around $617 in April 2024. " style="width:181.6pt;height:183.2pt">
                  <v:imagedata r:id="rId27" o:title=""/>
                </v:shape>
              </w:pict>
            </w:r>
          </w:p>
        </w:tc>
      </w:tr>
      <w:tr w:rsidR="00A01F84" w:rsidRPr="00416694" w14:paraId="6848C74A" w14:textId="77777777" w:rsidTr="00077A17">
        <w:trPr>
          <w:trHeight w:val="715"/>
        </w:trPr>
        <w:tc>
          <w:tcPr>
            <w:tcW w:w="3864" w:type="dxa"/>
          </w:tcPr>
          <w:p w14:paraId="24E83B79" w14:textId="77777777" w:rsidR="00A128EA" w:rsidRPr="0032797C" w:rsidRDefault="00A128EA" w:rsidP="00A128EA">
            <w:pPr>
              <w:pStyle w:val="ChartandTableFootnote"/>
              <w:rPr>
                <w:color w:val="auto"/>
              </w:rPr>
            </w:pPr>
            <w:r w:rsidRPr="0032797C">
              <w:rPr>
                <w:color w:val="auto"/>
              </w:rPr>
              <w:t xml:space="preserve">Source: </w:t>
            </w:r>
            <w:r w:rsidRPr="0032797C">
              <w:rPr>
                <w:color w:val="auto"/>
              </w:rPr>
              <w:tab/>
              <w:t>CoreLogic</w:t>
            </w:r>
          </w:p>
          <w:p w14:paraId="128BFDF1" w14:textId="78F3F61B" w:rsidR="00A01F84" w:rsidRPr="006A6C10" w:rsidRDefault="00A128EA" w:rsidP="00F133AD">
            <w:pPr>
              <w:pStyle w:val="ChartandTableFootnote"/>
              <w:rPr>
                <w:color w:val="auto"/>
              </w:rPr>
            </w:pPr>
            <w:r w:rsidRPr="0032797C">
              <w:rPr>
                <w:color w:val="auto"/>
              </w:rPr>
              <w:t xml:space="preserve">Note: </w:t>
            </w:r>
            <w:r w:rsidRPr="0032797C">
              <w:rPr>
                <w:color w:val="auto"/>
              </w:rPr>
              <w:tab/>
            </w:r>
            <w:r w:rsidR="00F133AD" w:rsidRPr="0032797C">
              <w:rPr>
                <w:color w:val="auto"/>
              </w:rPr>
              <w:t>Median</w:t>
            </w:r>
            <w:r w:rsidR="009C7FF9">
              <w:rPr>
                <w:color w:val="auto"/>
              </w:rPr>
              <w:t xml:space="preserve"> monthly</w:t>
            </w:r>
            <w:r w:rsidR="00F133AD" w:rsidRPr="0032797C">
              <w:rPr>
                <w:color w:val="auto"/>
              </w:rPr>
              <w:t xml:space="preserve"> dwelling values are reported for </w:t>
            </w:r>
            <w:r w:rsidR="00CB25B0">
              <w:rPr>
                <w:color w:val="auto"/>
              </w:rPr>
              <w:t>eight</w:t>
            </w:r>
            <w:r w:rsidR="00F133AD" w:rsidRPr="0032797C">
              <w:rPr>
                <w:color w:val="auto"/>
              </w:rPr>
              <w:t xml:space="preserve"> capital cities combined.</w:t>
            </w:r>
          </w:p>
        </w:tc>
        <w:tc>
          <w:tcPr>
            <w:tcW w:w="252" w:type="dxa"/>
          </w:tcPr>
          <w:p w14:paraId="5F1817AA" w14:textId="2CF51AFF" w:rsidR="00765503" w:rsidRPr="0032797C" w:rsidRDefault="00A01F84" w:rsidP="00765503">
            <w:pPr>
              <w:pStyle w:val="ChartandTableFootnote"/>
              <w:rPr>
                <w:color w:val="auto"/>
              </w:rPr>
            </w:pPr>
            <w:r w:rsidRPr="0032797C">
              <w:rPr>
                <w:color w:val="auto"/>
              </w:rPr>
              <w:t xml:space="preserve">Source: </w:t>
            </w:r>
            <w:r w:rsidRPr="0032797C">
              <w:rPr>
                <w:color w:val="auto"/>
              </w:rPr>
              <w:tab/>
              <w:t>CoreLogic</w:t>
            </w:r>
          </w:p>
          <w:p w14:paraId="1F99BF33" w14:textId="49EA9D15" w:rsidR="00A01F84" w:rsidRPr="0032797C" w:rsidRDefault="00765503" w:rsidP="00765503">
            <w:pPr>
              <w:pStyle w:val="ChartandTableFootnote"/>
              <w:rPr>
                <w:color w:val="auto"/>
              </w:rPr>
            </w:pPr>
            <w:r w:rsidRPr="0032797C">
              <w:rPr>
                <w:color w:val="auto"/>
              </w:rPr>
              <w:t xml:space="preserve">Note: </w:t>
            </w:r>
            <w:r w:rsidRPr="0032797C">
              <w:rPr>
                <w:color w:val="auto"/>
              </w:rPr>
              <w:tab/>
            </w:r>
            <w:r w:rsidR="00977A80" w:rsidRPr="0032797C">
              <w:rPr>
                <w:color w:val="auto"/>
              </w:rPr>
              <w:t xml:space="preserve">Nominal dwelling rents are reported for </w:t>
            </w:r>
            <w:r w:rsidR="00CB25B0">
              <w:rPr>
                <w:color w:val="auto"/>
              </w:rPr>
              <w:t>eight</w:t>
            </w:r>
            <w:r w:rsidR="00977A80" w:rsidRPr="0032797C">
              <w:rPr>
                <w:color w:val="auto"/>
              </w:rPr>
              <w:t xml:space="preserve"> capital cities combined, </w:t>
            </w:r>
            <w:r w:rsidR="006F45BB">
              <w:rPr>
                <w:color w:val="auto"/>
              </w:rPr>
              <w:t>3</w:t>
            </w:r>
            <w:r w:rsidR="0004287B">
              <w:rPr>
                <w:color w:val="auto"/>
              </w:rPr>
              <w:noBreakHyphen/>
            </w:r>
            <w:r w:rsidR="006F45BB" w:rsidRPr="0032797C">
              <w:rPr>
                <w:color w:val="auto"/>
              </w:rPr>
              <w:t>month</w:t>
            </w:r>
            <w:r w:rsidRPr="0032797C">
              <w:rPr>
                <w:color w:val="auto"/>
              </w:rPr>
              <w:t xml:space="preserve"> </w:t>
            </w:r>
            <w:r w:rsidR="007D6843" w:rsidRPr="0032797C">
              <w:rPr>
                <w:color w:val="auto"/>
              </w:rPr>
              <w:t xml:space="preserve">rolling </w:t>
            </w:r>
            <w:r w:rsidRPr="0032797C">
              <w:rPr>
                <w:color w:val="auto"/>
              </w:rPr>
              <w:t>average.</w:t>
            </w:r>
          </w:p>
        </w:tc>
      </w:tr>
    </w:tbl>
    <w:p w14:paraId="13AB60AC" w14:textId="77777777" w:rsidR="009F5AA5" w:rsidRDefault="009F5AA5" w:rsidP="0025758A">
      <w:pPr>
        <w:pStyle w:val="ChartLine"/>
      </w:pPr>
    </w:p>
    <w:p w14:paraId="33909C5D" w14:textId="678F0E67" w:rsidR="008F377F" w:rsidRPr="00B35D17" w:rsidRDefault="00F77424" w:rsidP="00077A17">
      <w:r w:rsidRPr="009C0EA0">
        <w:t>As a result of price pressures, an</w:t>
      </w:r>
      <w:r w:rsidR="008F377F" w:rsidRPr="009C0EA0">
        <w:t xml:space="preserve"> increasing share of household incomes </w:t>
      </w:r>
      <w:r w:rsidR="00D863E2" w:rsidRPr="009C0EA0">
        <w:t>is</w:t>
      </w:r>
      <w:r w:rsidR="008F377F" w:rsidRPr="009C0EA0">
        <w:t xml:space="preserve"> going towards housing and housing services</w:t>
      </w:r>
      <w:r w:rsidR="00E06E1B" w:rsidRPr="009C0EA0">
        <w:t>, particularly for lower</w:t>
      </w:r>
      <w:r w:rsidR="0004287B">
        <w:noBreakHyphen/>
      </w:r>
      <w:r w:rsidR="00E06E1B" w:rsidRPr="009C0EA0">
        <w:t xml:space="preserve">income </w:t>
      </w:r>
      <w:r w:rsidR="00900A78">
        <w:t xml:space="preserve">rental </w:t>
      </w:r>
      <w:r w:rsidR="00E06E1B" w:rsidRPr="009C0EA0">
        <w:t>households</w:t>
      </w:r>
      <w:r w:rsidR="007E0475" w:rsidRPr="009C0EA0">
        <w:t xml:space="preserve">, with marked growth </w:t>
      </w:r>
      <w:r w:rsidR="009308A8" w:rsidRPr="009C0EA0">
        <w:t>since 2020</w:t>
      </w:r>
      <w:r w:rsidR="008F377F" w:rsidRPr="009C0EA0">
        <w:t xml:space="preserve"> (Chart 4.1</w:t>
      </w:r>
      <w:r w:rsidR="00BA042C" w:rsidRPr="009C0EA0">
        <w:t>1</w:t>
      </w:r>
      <w:r w:rsidR="008F377F" w:rsidRPr="009C0EA0">
        <w:t>). For prospective homebuyers, the portion of income needed to service a new loan has risen from an average of 29</w:t>
      </w:r>
      <w:r w:rsidR="0079584A" w:rsidRPr="009C0EA0">
        <w:t> per cent</w:t>
      </w:r>
      <w:r w:rsidR="008F377F" w:rsidRPr="009C0EA0">
        <w:t xml:space="preserve"> </w:t>
      </w:r>
      <w:r w:rsidR="00B3042E" w:rsidRPr="009C0EA0">
        <w:t xml:space="preserve">in </w:t>
      </w:r>
      <w:r w:rsidR="008F377F" w:rsidRPr="009C0EA0">
        <w:t>2020 to 46</w:t>
      </w:r>
      <w:r w:rsidR="0079584A" w:rsidRPr="009C0EA0">
        <w:t> per cent</w:t>
      </w:r>
      <w:r w:rsidR="008F377F" w:rsidRPr="009C0EA0">
        <w:t xml:space="preserve"> in 2023</w:t>
      </w:r>
      <w:r w:rsidR="005B4ADF" w:rsidRPr="009C0EA0">
        <w:t>. This</w:t>
      </w:r>
      <w:r w:rsidR="008F377F" w:rsidRPr="009C0EA0">
        <w:t xml:space="preserve"> is above the </w:t>
      </w:r>
      <w:r w:rsidR="000C1BDE" w:rsidRPr="009C0EA0">
        <w:t>long</w:t>
      </w:r>
      <w:r w:rsidR="0004287B">
        <w:noBreakHyphen/>
      </w:r>
      <w:r w:rsidR="000C1BDE" w:rsidRPr="009C0EA0">
        <w:t>run</w:t>
      </w:r>
      <w:r w:rsidR="00D20AB2" w:rsidRPr="009C0EA0">
        <w:t xml:space="preserve"> </w:t>
      </w:r>
      <w:r w:rsidR="008F377F" w:rsidRPr="009C0EA0">
        <w:t>average of 3</w:t>
      </w:r>
      <w:r w:rsidR="000C1BDE" w:rsidRPr="009C0EA0">
        <w:t>5.7</w:t>
      </w:r>
      <w:r w:rsidR="0079584A" w:rsidRPr="009C0EA0">
        <w:t> per cent</w:t>
      </w:r>
      <w:r w:rsidR="002475A1" w:rsidRPr="009C0EA0">
        <w:t xml:space="preserve"> </w:t>
      </w:r>
      <w:r w:rsidR="00A33097" w:rsidRPr="009C0EA0">
        <w:t>and above the 30</w:t>
      </w:r>
      <w:r w:rsidR="0079584A" w:rsidRPr="009C0EA0">
        <w:t> per cent</w:t>
      </w:r>
      <w:r w:rsidR="00A33097" w:rsidRPr="009C0EA0">
        <w:t xml:space="preserve"> thresh</w:t>
      </w:r>
      <w:r w:rsidR="00455315" w:rsidRPr="009C0EA0">
        <w:t>old</w:t>
      </w:r>
      <w:r w:rsidR="00867670" w:rsidRPr="009C0EA0">
        <w:t xml:space="preserve"> for mortgage stress</w:t>
      </w:r>
      <w:r w:rsidR="002475A1" w:rsidRPr="009C0EA0">
        <w:t xml:space="preserve"> (Chart 4.1</w:t>
      </w:r>
      <w:r w:rsidR="00BA042C" w:rsidRPr="009C0EA0">
        <w:t>2</w:t>
      </w:r>
      <w:r w:rsidR="002475A1" w:rsidRPr="009C0EA0">
        <w:t>)</w:t>
      </w:r>
      <w:r w:rsidR="008F377F" w:rsidRPr="009C0EA0">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3841"/>
      </w:tblGrid>
      <w:tr w:rsidR="008F377F" w:rsidRPr="00B35D17" w14:paraId="34D844EE" w14:textId="77777777">
        <w:tc>
          <w:tcPr>
            <w:tcW w:w="3864" w:type="dxa"/>
          </w:tcPr>
          <w:p w14:paraId="5D6937D6" w14:textId="2FFD01A4" w:rsidR="008F377F" w:rsidRPr="00B35D17" w:rsidRDefault="008F377F" w:rsidP="007B3BDE">
            <w:pPr>
              <w:pStyle w:val="ChartHeading"/>
            </w:pPr>
            <w:r w:rsidRPr="009C0EA0">
              <w:lastRenderedPageBreak/>
              <w:t>Chart 4.1</w:t>
            </w:r>
            <w:r w:rsidR="00BA042C" w:rsidRPr="009C0EA0">
              <w:t>1</w:t>
            </w:r>
            <w:r w:rsidRPr="009C0EA0">
              <w:t>: Share of income to service rent, by income and rent quartile</w:t>
            </w:r>
          </w:p>
        </w:tc>
        <w:tc>
          <w:tcPr>
            <w:tcW w:w="3848" w:type="dxa"/>
          </w:tcPr>
          <w:p w14:paraId="288FEF33" w14:textId="67D748A2" w:rsidR="008F377F" w:rsidRPr="00B35D17" w:rsidRDefault="008F377F" w:rsidP="007B3BDE">
            <w:pPr>
              <w:pStyle w:val="ChartHeading"/>
            </w:pPr>
            <w:r w:rsidRPr="009C0EA0">
              <w:t>Chart 4.1</w:t>
            </w:r>
            <w:r w:rsidR="00BA042C" w:rsidRPr="009C0EA0">
              <w:t>2</w:t>
            </w:r>
            <w:r w:rsidRPr="009C0EA0">
              <w:t xml:space="preserve">: </w:t>
            </w:r>
            <w:r w:rsidR="00645277" w:rsidRPr="009C0EA0">
              <w:t xml:space="preserve">Share </w:t>
            </w:r>
            <w:r w:rsidRPr="009C0EA0">
              <w:t>of income to service new loan, dwellings</w:t>
            </w:r>
          </w:p>
        </w:tc>
      </w:tr>
      <w:tr w:rsidR="008F377F" w:rsidRPr="00B35D17" w14:paraId="32F640C7" w14:textId="77777777">
        <w:tc>
          <w:tcPr>
            <w:tcW w:w="3864" w:type="dxa"/>
          </w:tcPr>
          <w:p w14:paraId="67D92A49" w14:textId="1E8767D7" w:rsidR="008F377F" w:rsidRPr="001739E7" w:rsidRDefault="000417B6" w:rsidP="00A45CB5">
            <w:pPr>
              <w:pStyle w:val="ChartGraphic"/>
            </w:pPr>
            <w:r>
              <w:rPr>
                <w:noProof/>
              </w:rPr>
              <w:pict w14:anchorId="19459C3C">
                <v:shape id="_x0000_i1035" type="#_x0000_t75" alt="This line chart shows the share of income to service rent, by income and rent quartile. Income refers to median gross disposable household income. The series starts from the March quarter 2006 and ends in the March quarter 2024. All renter households spend a larger share of income on rent as at the March quarter 2024 compared to the March quarter 2006, but lower income renter households have experienced the largest rise. Renter households in the lowest income quartile needed to spend 54.3 per cent of income to service rent at the March quarter 2024, compared to 41.3 per cent in the March quarter of 2006. Similarly, renter households on median incomes needed to spend 32.2 per cent of income at the March quarter of 2024, compared to 26.2 per cent in the March quarter of 2006. Likewise, renter households in the highest income quartile needed to spend 22.9 per cent of income to service rent at the March quarter 2024, compared to 19.6 per cent in the March quarter of 2006." style="width:183.2pt;height:184.3pt">
                  <v:imagedata r:id="rId28" o:title=""/>
                </v:shape>
              </w:pict>
            </w:r>
          </w:p>
        </w:tc>
        <w:tc>
          <w:tcPr>
            <w:tcW w:w="3848" w:type="dxa"/>
          </w:tcPr>
          <w:p w14:paraId="11382BD5" w14:textId="6565DB4C" w:rsidR="008F377F" w:rsidRPr="001739E7" w:rsidRDefault="000417B6" w:rsidP="00A8488D">
            <w:pPr>
              <w:pStyle w:val="ChartGraphic"/>
            </w:pPr>
            <w:r>
              <w:rPr>
                <w:noProof/>
              </w:rPr>
              <w:pict w14:anchorId="201BCBCB">
                <v:shape id="_x0000_i1036" type="#_x0000_t75" alt="This line chart shows the share of median gross disposable household income required to service a new loan. In the September quarter of 2001, 26.4 per cent of income was required to service a new loan. This has increased over subsequent years and as at the March quarter of 2024, 48.9 per cent of income is needed to service a new loan. This is above the long-run average which is 35.7 per cent. " style="width:181.6pt;height:181.6pt">
                  <v:imagedata r:id="rId29" o:title=""/>
                </v:shape>
              </w:pict>
            </w:r>
          </w:p>
        </w:tc>
      </w:tr>
      <w:tr w:rsidR="008F377F" w:rsidRPr="00B35D17" w14:paraId="01A0BAE3" w14:textId="77777777">
        <w:trPr>
          <w:trHeight w:val="715"/>
        </w:trPr>
        <w:tc>
          <w:tcPr>
            <w:tcW w:w="3864" w:type="dxa"/>
          </w:tcPr>
          <w:p w14:paraId="2C1FE730" w14:textId="012E0F9D" w:rsidR="008F377F" w:rsidRPr="00B35D17" w:rsidRDefault="008F377F" w:rsidP="001739E7">
            <w:pPr>
              <w:pStyle w:val="ChartandTableFootnote"/>
            </w:pPr>
            <w:r w:rsidRPr="00B35D17">
              <w:t xml:space="preserve">Source: </w:t>
            </w:r>
            <w:r w:rsidRPr="00B35D17">
              <w:tab/>
              <w:t xml:space="preserve">CoreLogic, </w:t>
            </w:r>
            <w:r w:rsidR="00DB40AB" w:rsidRPr="00B35D17">
              <w:t xml:space="preserve">POLIS@ANU Centre for </w:t>
            </w:r>
            <w:r w:rsidR="00DB40AB" w:rsidRPr="001739E7">
              <w:t>Social</w:t>
            </w:r>
            <w:r w:rsidR="00DB40AB" w:rsidRPr="00B35D17">
              <w:t xml:space="preserve"> Policy Research</w:t>
            </w:r>
          </w:p>
          <w:p w14:paraId="5EF4EE8F" w14:textId="39F58FF6" w:rsidR="008F377F" w:rsidRPr="00B35D17" w:rsidRDefault="008F377F" w:rsidP="0072089A">
            <w:pPr>
              <w:pStyle w:val="ChartandTableFootnote"/>
              <w:rPr>
                <w:color w:val="auto"/>
                <w:szCs w:val="16"/>
              </w:rPr>
            </w:pPr>
            <w:r w:rsidRPr="00B35D17">
              <w:rPr>
                <w:color w:val="auto"/>
              </w:rPr>
              <w:t xml:space="preserve">Note: </w:t>
            </w:r>
            <w:r w:rsidRPr="00B35D17">
              <w:rPr>
                <w:color w:val="auto"/>
              </w:rPr>
              <w:tab/>
            </w:r>
            <w:r w:rsidR="005943D1" w:rsidRPr="005943D1">
              <w:t>Income refers to median gross disposable household income. Data is for national dwellings, reported quarterly. Households in a given income quartile are matched to the equivalent rent quartile.</w:t>
            </w:r>
          </w:p>
        </w:tc>
        <w:tc>
          <w:tcPr>
            <w:tcW w:w="3848" w:type="dxa"/>
          </w:tcPr>
          <w:p w14:paraId="2E32D262" w14:textId="776D08E6" w:rsidR="0072089A" w:rsidRPr="00B35D17" w:rsidRDefault="008F377F" w:rsidP="0072089A">
            <w:pPr>
              <w:pStyle w:val="ChartandTableFootnote"/>
              <w:rPr>
                <w:color w:val="auto"/>
              </w:rPr>
            </w:pPr>
            <w:r w:rsidRPr="00B35D17">
              <w:rPr>
                <w:color w:val="auto"/>
              </w:rPr>
              <w:t xml:space="preserve">Source: </w:t>
            </w:r>
            <w:r w:rsidRPr="00B35D17">
              <w:rPr>
                <w:color w:val="auto"/>
              </w:rPr>
              <w:tab/>
              <w:t xml:space="preserve">CoreLogic, </w:t>
            </w:r>
            <w:r w:rsidR="00DB40AB" w:rsidRPr="00B35D17">
              <w:rPr>
                <w:color w:val="auto"/>
              </w:rPr>
              <w:t>POLIS@ANU Centre for Social Policy Research</w:t>
            </w:r>
          </w:p>
          <w:p w14:paraId="7570C0C8" w14:textId="1DC523EF" w:rsidR="008F377F" w:rsidRPr="00B35D17" w:rsidRDefault="0072089A" w:rsidP="001739E7">
            <w:pPr>
              <w:pStyle w:val="ChartandTableFootnote"/>
            </w:pPr>
            <w:r w:rsidRPr="00B35D17">
              <w:t xml:space="preserve">Note: </w:t>
            </w:r>
            <w:r w:rsidRPr="00B35D17">
              <w:tab/>
              <w:t>Income refers to median gross disposable household income.</w:t>
            </w:r>
            <w:r w:rsidR="005E7E79" w:rsidRPr="00B35D17">
              <w:br/>
              <w:t>Data is for national dwellings, reported quarterly.</w:t>
            </w:r>
          </w:p>
        </w:tc>
      </w:tr>
    </w:tbl>
    <w:p w14:paraId="106F0081" w14:textId="77777777" w:rsidR="009F5AA5" w:rsidRDefault="009F5AA5" w:rsidP="0025758A">
      <w:pPr>
        <w:pStyle w:val="ChartLine"/>
      </w:pPr>
      <w:bookmarkStart w:id="29" w:name="_Toc166159060"/>
    </w:p>
    <w:p w14:paraId="1FEC8791" w14:textId="17CC95E7" w:rsidR="008B7FB9" w:rsidRPr="009C0EA0" w:rsidRDefault="00075598" w:rsidP="00753D8C">
      <w:pPr>
        <w:pStyle w:val="Heading3"/>
      </w:pPr>
      <w:bookmarkStart w:id="30" w:name="_Toc166253964"/>
      <w:bookmarkStart w:id="31" w:name="_Toc166355544"/>
      <w:r w:rsidRPr="009C0EA0">
        <w:t>Long term decline in affordability</w:t>
      </w:r>
      <w:bookmarkEnd w:id="29"/>
      <w:bookmarkEnd w:id="30"/>
      <w:bookmarkEnd w:id="31"/>
    </w:p>
    <w:p w14:paraId="4BDE7DC8" w14:textId="0A6C70C1" w:rsidR="002D6E88" w:rsidRPr="00B35D17" w:rsidRDefault="000A667D" w:rsidP="002D6E88">
      <w:pPr>
        <w:spacing w:before="0"/>
      </w:pPr>
      <w:r w:rsidRPr="009C0EA0">
        <w:t xml:space="preserve">In </w:t>
      </w:r>
      <w:r w:rsidR="001927CA" w:rsidRPr="009C0EA0">
        <w:t>the</w:t>
      </w:r>
      <w:r w:rsidR="00536DAD" w:rsidRPr="009C0EA0">
        <w:t> March </w:t>
      </w:r>
      <w:r w:rsidR="001927CA" w:rsidRPr="009C0EA0">
        <w:t xml:space="preserve">quarter of </w:t>
      </w:r>
      <w:r w:rsidRPr="009C0EA0">
        <w:t>20</w:t>
      </w:r>
      <w:r w:rsidR="00F7024B" w:rsidRPr="009C0EA0">
        <w:t>0</w:t>
      </w:r>
      <w:r w:rsidR="0008072C" w:rsidRPr="009C0EA0">
        <w:t>2</w:t>
      </w:r>
      <w:r w:rsidRPr="009C0EA0">
        <w:t>,</w:t>
      </w:r>
      <w:r w:rsidR="00D0797B" w:rsidRPr="009C0EA0">
        <w:t xml:space="preserve"> the </w:t>
      </w:r>
      <w:r w:rsidR="00F7024B" w:rsidRPr="009C0EA0">
        <w:t xml:space="preserve">median house </w:t>
      </w:r>
      <w:r w:rsidR="004851C3" w:rsidRPr="009C0EA0">
        <w:t xml:space="preserve">price </w:t>
      </w:r>
      <w:r w:rsidR="00F7024B" w:rsidRPr="009C0EA0">
        <w:t xml:space="preserve">was </w:t>
      </w:r>
      <w:r w:rsidR="00E62CEC" w:rsidRPr="009C0EA0">
        <w:t>4.</w:t>
      </w:r>
      <w:r w:rsidR="00744C78" w:rsidRPr="009C0EA0">
        <w:t>9</w:t>
      </w:r>
      <w:r w:rsidR="00E62CEC" w:rsidRPr="009C0EA0">
        <w:t xml:space="preserve"> </w:t>
      </w:r>
      <w:r w:rsidR="00F7024B" w:rsidRPr="009C0EA0">
        <w:t xml:space="preserve">times the </w:t>
      </w:r>
      <w:r w:rsidR="001927CA" w:rsidRPr="009C0EA0">
        <w:t xml:space="preserve">median </w:t>
      </w:r>
      <w:r w:rsidR="00E62CEC" w:rsidRPr="009C0EA0">
        <w:t>gross disposal household</w:t>
      </w:r>
      <w:r w:rsidR="00F7024B" w:rsidRPr="009C0EA0">
        <w:t xml:space="preserve"> income. </w:t>
      </w:r>
      <w:r w:rsidR="00EA1CAD" w:rsidRPr="009C0EA0">
        <w:t>By the</w:t>
      </w:r>
      <w:r w:rsidR="00536DAD" w:rsidRPr="009C0EA0">
        <w:t> March </w:t>
      </w:r>
      <w:r w:rsidR="002E47D1" w:rsidRPr="009C0EA0">
        <w:t xml:space="preserve">quarter of </w:t>
      </w:r>
      <w:r w:rsidR="00B757CD" w:rsidRPr="009C0EA0">
        <w:t xml:space="preserve">2024, </w:t>
      </w:r>
      <w:r w:rsidR="00514EF6" w:rsidRPr="009C0EA0">
        <w:t>th</w:t>
      </w:r>
      <w:r w:rsidR="00F67E9E" w:rsidRPr="009C0EA0">
        <w:t xml:space="preserve">is had </w:t>
      </w:r>
      <w:r w:rsidR="002E47D1" w:rsidRPr="009C0EA0">
        <w:t xml:space="preserve">increased </w:t>
      </w:r>
      <w:r w:rsidR="00F67E9E" w:rsidRPr="009C0EA0">
        <w:t xml:space="preserve">to </w:t>
      </w:r>
      <w:r w:rsidR="00C15E3F" w:rsidRPr="009C0EA0">
        <w:t>8.</w:t>
      </w:r>
      <w:r w:rsidR="000E4115" w:rsidRPr="009C0EA0">
        <w:t>6</w:t>
      </w:r>
      <w:r w:rsidR="00B30432" w:rsidRPr="009C0EA0">
        <w:t> </w:t>
      </w:r>
      <w:r w:rsidR="00C15E3F" w:rsidRPr="009C0EA0">
        <w:t xml:space="preserve">times </w:t>
      </w:r>
      <w:r w:rsidR="00465F6D" w:rsidRPr="009C0EA0">
        <w:t xml:space="preserve">median gross </w:t>
      </w:r>
      <w:r w:rsidR="000B3477" w:rsidRPr="009C0EA0">
        <w:t xml:space="preserve">annual </w:t>
      </w:r>
      <w:r w:rsidR="00466AE0" w:rsidRPr="009C0EA0">
        <w:t xml:space="preserve">income </w:t>
      </w:r>
      <w:r w:rsidR="00D0797B" w:rsidRPr="009C0EA0">
        <w:t xml:space="preserve">(Chart </w:t>
      </w:r>
      <w:r w:rsidR="00AF1392" w:rsidRPr="009C0EA0">
        <w:t>4</w:t>
      </w:r>
      <w:r w:rsidR="00D0797B" w:rsidRPr="009C0EA0">
        <w:t>.</w:t>
      </w:r>
      <w:r w:rsidR="00AF1392" w:rsidRPr="009C0EA0">
        <w:t>1</w:t>
      </w:r>
      <w:r w:rsidR="000460A5" w:rsidRPr="009C0EA0">
        <w:t>3</w:t>
      </w:r>
      <w:r w:rsidR="00D0797B" w:rsidRPr="009C0EA0">
        <w:t xml:space="preserve">). </w:t>
      </w:r>
      <w:r w:rsidR="00FD448D" w:rsidRPr="009C0EA0">
        <w:t>The unit price</w:t>
      </w:r>
      <w:r w:rsidR="0004287B">
        <w:noBreakHyphen/>
      </w:r>
      <w:r w:rsidR="00FD448D" w:rsidRPr="009C0EA0">
        <w:t>to</w:t>
      </w:r>
      <w:r w:rsidR="0004287B">
        <w:noBreakHyphen/>
      </w:r>
      <w:r w:rsidR="00FD448D" w:rsidRPr="009C0EA0">
        <w:t xml:space="preserve">income ratio has </w:t>
      </w:r>
      <w:r w:rsidR="00B97B2B" w:rsidRPr="009C0EA0">
        <w:t xml:space="preserve">not </w:t>
      </w:r>
      <w:r w:rsidR="005312FE" w:rsidRPr="009C0EA0">
        <w:t>grown as fast</w:t>
      </w:r>
      <w:r w:rsidR="00ED5F0D" w:rsidRPr="009C0EA0">
        <w:t xml:space="preserve"> </w:t>
      </w:r>
      <w:r w:rsidR="008471F2" w:rsidRPr="009C0EA0">
        <w:t xml:space="preserve">– </w:t>
      </w:r>
      <w:r w:rsidR="00ED5F0D" w:rsidRPr="009C0EA0">
        <w:t xml:space="preserve">reflecting </w:t>
      </w:r>
      <w:r w:rsidR="00A736E8" w:rsidRPr="009C0EA0">
        <w:t>recent growth in the supply of medium</w:t>
      </w:r>
      <w:r w:rsidR="0004287B">
        <w:noBreakHyphen/>
      </w:r>
      <w:r w:rsidR="00A736E8" w:rsidRPr="009C0EA0">
        <w:t xml:space="preserve">high density </w:t>
      </w:r>
      <w:r w:rsidR="00530975" w:rsidRPr="009C0EA0">
        <w:t>housing</w:t>
      </w:r>
      <w:r w:rsidR="009C74C7" w:rsidRPr="009C0EA0">
        <w:t xml:space="preserve"> and</w:t>
      </w:r>
      <w:r w:rsidR="00466AE0" w:rsidRPr="009C0EA0">
        <w:t xml:space="preserve"> </w:t>
      </w:r>
      <w:r w:rsidR="00DC15D0" w:rsidRPr="009C0EA0">
        <w:t xml:space="preserve">rising </w:t>
      </w:r>
      <w:r w:rsidR="0089690F" w:rsidRPr="009C0EA0">
        <w:t>land</w:t>
      </w:r>
      <w:r w:rsidR="008B3848" w:rsidRPr="009C0EA0">
        <w:t xml:space="preserve"> values, as </w:t>
      </w:r>
      <w:r w:rsidR="00896469" w:rsidRPr="009C0EA0">
        <w:t>medium</w:t>
      </w:r>
      <w:r w:rsidR="0004287B">
        <w:noBreakHyphen/>
      </w:r>
      <w:r w:rsidR="00896469" w:rsidRPr="009C0EA0">
        <w:t xml:space="preserve">high density developments </w:t>
      </w:r>
      <w:r w:rsidR="00644549" w:rsidRPr="009C0EA0">
        <w:t>contain</w:t>
      </w:r>
      <w:r w:rsidR="00877807" w:rsidRPr="009C0EA0">
        <w:t xml:space="preserve"> more dwellings per square metre of land.</w:t>
      </w:r>
      <w:r w:rsidR="00BB6B13" w:rsidRPr="009C0EA0">
        <w:rPr>
          <w:rStyle w:val="FootnoteReference"/>
        </w:rPr>
        <w:footnoteReference w:id="9"/>
      </w:r>
      <w:r w:rsidR="00221F83" w:rsidRPr="009C0EA0">
        <w:t xml:space="preserve"> </w:t>
      </w:r>
      <w:r w:rsidR="001F1AEB" w:rsidRPr="009C0EA0">
        <w:t>Wh</w:t>
      </w:r>
      <w:r w:rsidR="00395961">
        <w:t>ile</w:t>
      </w:r>
      <w:r w:rsidR="001F1AEB" w:rsidRPr="009C0EA0">
        <w:t xml:space="preserve"> there has been short term volatility,</w:t>
      </w:r>
      <w:r w:rsidR="002D6E88" w:rsidRPr="009C0EA0">
        <w:t xml:space="preserve"> Australians are </w:t>
      </w:r>
      <w:r w:rsidR="004E50C2" w:rsidRPr="009C0EA0">
        <w:t>also</w:t>
      </w:r>
      <w:r w:rsidR="002D6E88" w:rsidRPr="009C0EA0">
        <w:t xml:space="preserve"> taking longer to save for a deposit, with the time taken to save a </w:t>
      </w:r>
      <w:r w:rsidR="007652BE" w:rsidRPr="009C0EA0">
        <w:t>20</w:t>
      </w:r>
      <w:r w:rsidR="0079584A" w:rsidRPr="009C0EA0">
        <w:t> per cent</w:t>
      </w:r>
      <w:r w:rsidR="00466AE0" w:rsidRPr="009C0EA0">
        <w:t xml:space="preserve"> </w:t>
      </w:r>
      <w:r w:rsidR="009C74C7" w:rsidRPr="009C0EA0">
        <w:t xml:space="preserve">house </w:t>
      </w:r>
      <w:r w:rsidR="002D6E88" w:rsidRPr="009C0EA0">
        <w:t xml:space="preserve">deposit </w:t>
      </w:r>
      <w:r w:rsidR="003A13DD" w:rsidRPr="009C0EA0">
        <w:t xml:space="preserve">reaching </w:t>
      </w:r>
      <w:r w:rsidR="00C55036" w:rsidRPr="009C0EA0">
        <w:t xml:space="preserve">almost </w:t>
      </w:r>
      <w:r w:rsidR="003C77D8" w:rsidRPr="009C0EA0">
        <w:t>11.4</w:t>
      </w:r>
      <w:r w:rsidR="00684AFB">
        <w:t> </w:t>
      </w:r>
      <w:r w:rsidR="002D6E88" w:rsidRPr="009C0EA0">
        <w:t xml:space="preserve">years </w:t>
      </w:r>
      <w:r w:rsidR="003A13DD" w:rsidRPr="009C0EA0">
        <w:t>in the</w:t>
      </w:r>
      <w:r w:rsidR="00536DAD" w:rsidRPr="009C0EA0">
        <w:t> March </w:t>
      </w:r>
      <w:r w:rsidR="003A13DD" w:rsidRPr="009C0EA0">
        <w:t>quarter 202</w:t>
      </w:r>
      <w:r w:rsidR="003C77D8" w:rsidRPr="009C0EA0">
        <w:t>4</w:t>
      </w:r>
      <w:r w:rsidR="00093422" w:rsidRPr="009C0EA0">
        <w:t xml:space="preserve">, down from a </w:t>
      </w:r>
      <w:r w:rsidR="0055784B">
        <w:t xml:space="preserve">historic </w:t>
      </w:r>
      <w:r w:rsidR="00093422" w:rsidRPr="009C0EA0">
        <w:t>peak of 12.1 years in the</w:t>
      </w:r>
      <w:r w:rsidR="00536DAD" w:rsidRPr="009C0EA0">
        <w:t> March </w:t>
      </w:r>
      <w:r w:rsidR="00093422" w:rsidRPr="009C0EA0">
        <w:t>quarter 2022</w:t>
      </w:r>
      <w:r w:rsidR="00DC506F" w:rsidRPr="009C0EA0">
        <w:t xml:space="preserve"> </w:t>
      </w:r>
      <w:r w:rsidR="002D6E88" w:rsidRPr="009C0EA0">
        <w:t>(Chart 4.1</w:t>
      </w:r>
      <w:r w:rsidR="000460A5" w:rsidRPr="009C0EA0">
        <w:t>4</w:t>
      </w:r>
      <w:r w:rsidR="002D6E88" w:rsidRPr="009C0EA0">
        <w:t>).</w:t>
      </w:r>
      <w:r w:rsidR="00CA70CF" w:rsidRPr="009C0EA0">
        <w:t xml:space="preserve"> </w:t>
      </w:r>
      <w:r w:rsidR="005E1DF6" w:rsidRPr="009C0EA0">
        <w:t>These factors have contributed to declining rates of home ownership over time, and more people are now renting (Chart 4.1</w:t>
      </w:r>
      <w:r w:rsidR="000460A5" w:rsidRPr="009C0EA0">
        <w:t>5</w:t>
      </w:r>
      <w:r w:rsidR="005E1DF6" w:rsidRPr="009C0EA0">
        <w:t xml:space="preserve">). </w:t>
      </w:r>
    </w:p>
    <w:tbl>
      <w:tblPr>
        <w:tblStyle w:val="TableGrid"/>
        <w:tblW w:w="7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3846"/>
      </w:tblGrid>
      <w:tr w:rsidR="00A94BC1" w:rsidRPr="00416694" w14:paraId="20ADEE6D" w14:textId="64B7F0AD" w:rsidTr="008904B4">
        <w:tc>
          <w:tcPr>
            <w:tcW w:w="3869" w:type="dxa"/>
          </w:tcPr>
          <w:p w14:paraId="5D0840E1" w14:textId="7977E6E5" w:rsidR="00A94BC1" w:rsidRPr="006A6C10" w:rsidRDefault="00A94BC1" w:rsidP="007B3BDE">
            <w:pPr>
              <w:pStyle w:val="ChartHeading"/>
            </w:pPr>
            <w:r w:rsidRPr="009C0EA0">
              <w:lastRenderedPageBreak/>
              <w:t>Chart 4.1</w:t>
            </w:r>
            <w:r w:rsidR="000460A5" w:rsidRPr="009C0EA0">
              <w:t>3</w:t>
            </w:r>
            <w:r w:rsidRPr="009C0EA0">
              <w:t>: Price</w:t>
            </w:r>
            <w:r w:rsidR="0004287B">
              <w:noBreakHyphen/>
            </w:r>
            <w:r w:rsidRPr="009C0EA0">
              <w:t>to</w:t>
            </w:r>
            <w:r w:rsidR="0004287B">
              <w:noBreakHyphen/>
            </w:r>
            <w:r w:rsidRPr="009C0EA0">
              <w:t>income ratio</w:t>
            </w:r>
            <w:r w:rsidR="00574ACA">
              <w:t xml:space="preserve">               </w:t>
            </w:r>
          </w:p>
        </w:tc>
        <w:tc>
          <w:tcPr>
            <w:tcW w:w="3846" w:type="dxa"/>
          </w:tcPr>
          <w:p w14:paraId="7F98F675" w14:textId="287C1042" w:rsidR="00A94BC1" w:rsidRPr="0032797C" w:rsidRDefault="00A94BC1" w:rsidP="007B3BDE">
            <w:pPr>
              <w:pStyle w:val="ChartHeading"/>
            </w:pPr>
            <w:r w:rsidRPr="009C0EA0">
              <w:t>Chart 4.1</w:t>
            </w:r>
            <w:r w:rsidR="000460A5" w:rsidRPr="009C0EA0">
              <w:t>4</w:t>
            </w:r>
            <w:r w:rsidRPr="009C0EA0">
              <w:t xml:space="preserve">: Time to save for a </w:t>
            </w:r>
            <w:r w:rsidR="001C74EC" w:rsidRPr="009C0EA0">
              <w:t xml:space="preserve">house </w:t>
            </w:r>
            <w:r w:rsidRPr="009C0EA0">
              <w:t>deposit</w:t>
            </w:r>
            <w:r w:rsidR="001C74EC" w:rsidRPr="0032797C">
              <w:t xml:space="preserve"> </w:t>
            </w:r>
          </w:p>
        </w:tc>
      </w:tr>
      <w:tr w:rsidR="00A94BC1" w:rsidRPr="00416694" w14:paraId="6B599DFB" w14:textId="5B2679E0" w:rsidTr="008904B4">
        <w:tc>
          <w:tcPr>
            <w:tcW w:w="3869" w:type="dxa"/>
          </w:tcPr>
          <w:p w14:paraId="4BA09AA6" w14:textId="604E257B" w:rsidR="00A94BC1" w:rsidRPr="006A6C10" w:rsidRDefault="000417B6" w:rsidP="003B6E36">
            <w:pPr>
              <w:pStyle w:val="ChartGraphic"/>
            </w:pPr>
            <w:r>
              <w:rPr>
                <w:noProof/>
              </w:rPr>
              <w:pict w14:anchorId="71157C4A">
                <v:shape id="_x0000_i1037" type="#_x0000_t75" alt="This line chart shows the price-to-income ratio for houses and units for the combined capital regions from the March quarter 2002 to the March quarter 2024. In the March quarter 2002, house price were 4.9 times median gross disposable incomes and units were 5.2 times median gross disposable incomes. Both house and unit price-to-income ratios have increased over time. At the March quarter of 2024, the price-to-income ratio was 8.6 for houses, and 5.9 for units. " style="width:181.6pt;height:172.5pt">
                  <v:imagedata r:id="rId30" o:title=""/>
                </v:shape>
              </w:pict>
            </w:r>
          </w:p>
        </w:tc>
        <w:tc>
          <w:tcPr>
            <w:tcW w:w="3846" w:type="dxa"/>
          </w:tcPr>
          <w:p w14:paraId="6E1E7DBC" w14:textId="7E1EBE08" w:rsidR="00A94BC1" w:rsidRPr="001739E7" w:rsidRDefault="000417B6" w:rsidP="008638F0">
            <w:pPr>
              <w:pStyle w:val="ChartGraphic"/>
            </w:pPr>
            <w:r>
              <w:rPr>
                <w:noProof/>
              </w:rPr>
              <w:pict w14:anchorId="0F064200">
                <v:shape id="_x0000_i1038" type="#_x0000_t75" alt="This line chart shows the time needed to save a 20 per cent house deposit on the median gross disposable income across combined capital regions. In March 2002, the number of years to save a deposit was 6.6 years. This has increased over time to reach 11.4 years in March 2024." style="width:181.6pt;height:181.6pt">
                  <v:imagedata r:id="rId31" o:title=""/>
                </v:shape>
              </w:pict>
            </w:r>
          </w:p>
        </w:tc>
      </w:tr>
      <w:tr w:rsidR="000D6715" w:rsidRPr="00B35D17" w14:paraId="6F2D5FA8" w14:textId="77777777" w:rsidTr="008904B4">
        <w:tc>
          <w:tcPr>
            <w:tcW w:w="3869" w:type="dxa"/>
          </w:tcPr>
          <w:p w14:paraId="1CBEB19C" w14:textId="07EC04B2" w:rsidR="003446C2" w:rsidRPr="0032797C" w:rsidRDefault="003446C2" w:rsidP="003446C2">
            <w:pPr>
              <w:pStyle w:val="ChartandTableFootnote"/>
              <w:rPr>
                <w:color w:val="auto"/>
              </w:rPr>
            </w:pPr>
            <w:r w:rsidRPr="0032797C">
              <w:rPr>
                <w:color w:val="auto"/>
              </w:rPr>
              <w:t xml:space="preserve">Source: </w:t>
            </w:r>
            <w:r w:rsidR="000D186B">
              <w:rPr>
                <w:color w:val="auto"/>
              </w:rPr>
              <w:tab/>
            </w:r>
            <w:r w:rsidRPr="0032797C">
              <w:rPr>
                <w:color w:val="auto"/>
              </w:rPr>
              <w:t>CoreLogic, POLIS@ANU Centre for Social Policy Research</w:t>
            </w:r>
          </w:p>
          <w:p w14:paraId="12A80C14" w14:textId="1E8D9842" w:rsidR="000D6715" w:rsidRPr="00B10642" w:rsidRDefault="003446C2" w:rsidP="00B10642">
            <w:pPr>
              <w:pStyle w:val="ChartandTableFootnote"/>
            </w:pPr>
            <w:r w:rsidRPr="0032797C">
              <w:t xml:space="preserve">Note: </w:t>
            </w:r>
            <w:r w:rsidR="00101E91">
              <w:tab/>
            </w:r>
            <w:r w:rsidR="00F6416B" w:rsidRPr="00F6416B">
              <w:t>Income refers to median annual gross disposable household income. Data is quarterly for combined capital regions.</w:t>
            </w:r>
          </w:p>
        </w:tc>
        <w:tc>
          <w:tcPr>
            <w:tcW w:w="3846" w:type="dxa"/>
          </w:tcPr>
          <w:p w14:paraId="76803EF2" w14:textId="77777777" w:rsidR="00D9763E" w:rsidRPr="0032797C" w:rsidRDefault="000D6715" w:rsidP="00D9763E">
            <w:pPr>
              <w:pStyle w:val="ChartandTableFootnote"/>
              <w:rPr>
                <w:color w:val="auto"/>
              </w:rPr>
            </w:pPr>
            <w:r w:rsidRPr="0032797C">
              <w:rPr>
                <w:color w:val="auto"/>
              </w:rPr>
              <w:t>Source:</w:t>
            </w:r>
            <w:r w:rsidR="00FC6E10" w:rsidRPr="0032797C">
              <w:rPr>
                <w:color w:val="auto"/>
              </w:rPr>
              <w:t xml:space="preserve"> </w:t>
            </w:r>
            <w:r w:rsidR="00FC6E10" w:rsidRPr="0032797C">
              <w:rPr>
                <w:color w:val="auto"/>
              </w:rPr>
              <w:tab/>
            </w:r>
            <w:r w:rsidR="00D9763E" w:rsidRPr="0032797C">
              <w:rPr>
                <w:color w:val="auto"/>
              </w:rPr>
              <w:t>Source: CoreLogic, POLIS@ANU Centre for Social Policy Research</w:t>
            </w:r>
          </w:p>
          <w:p w14:paraId="53E40F57" w14:textId="10A444B8" w:rsidR="000D6715" w:rsidRPr="0032797C" w:rsidRDefault="00D9763E" w:rsidP="00BB5B61">
            <w:pPr>
              <w:pStyle w:val="ChartandTableFootnote"/>
              <w:rPr>
                <w:color w:val="auto"/>
              </w:rPr>
            </w:pPr>
            <w:r w:rsidRPr="0032797C">
              <w:rPr>
                <w:color w:val="auto"/>
              </w:rPr>
              <w:t xml:space="preserve">Note: </w:t>
            </w:r>
            <w:r w:rsidR="00101E91">
              <w:rPr>
                <w:color w:val="auto"/>
              </w:rPr>
              <w:tab/>
            </w:r>
            <w:r w:rsidR="008D761A" w:rsidRPr="008D761A">
              <w:rPr>
                <w:color w:val="auto"/>
              </w:rPr>
              <w:t>Income refers to median gross disposable household income. Chart assumes 20 per cent deposit. Data is quarterly for combined capital regions</w:t>
            </w:r>
            <w:r w:rsidR="0025758A">
              <w:rPr>
                <w:color w:val="auto"/>
              </w:rPr>
              <w:t>.</w:t>
            </w:r>
          </w:p>
        </w:tc>
      </w:tr>
    </w:tbl>
    <w:p w14:paraId="312D34E8" w14:textId="72127BA3" w:rsidR="005931B0" w:rsidRPr="00B35D17" w:rsidRDefault="005931B0" w:rsidP="0025758A">
      <w:pPr>
        <w:pStyle w:val="ChartLine"/>
      </w:pPr>
    </w:p>
    <w:p w14:paraId="486B73A3" w14:textId="28150D5E" w:rsidR="00DB5782" w:rsidRPr="0032797C" w:rsidRDefault="001944B0" w:rsidP="007B3BDE">
      <w:pPr>
        <w:pStyle w:val="ChartHeading"/>
      </w:pPr>
      <w:r w:rsidRPr="009C0EA0">
        <w:t>Chart 4.1</w:t>
      </w:r>
      <w:r w:rsidR="000460A5" w:rsidRPr="009C0EA0">
        <w:t>5</w:t>
      </w:r>
      <w:r w:rsidR="005931B0" w:rsidRPr="009C0EA0">
        <w:t>: Rates of Home Ownership</w:t>
      </w:r>
    </w:p>
    <w:p w14:paraId="55BB6672" w14:textId="34877991" w:rsidR="00994098" w:rsidRDefault="00994098" w:rsidP="00E97F0E">
      <w:pPr>
        <w:pStyle w:val="ChartGraphic"/>
      </w:pPr>
    </w:p>
    <w:p w14:paraId="5948D7B1" w14:textId="6E5B63AB" w:rsidR="00853CB9" w:rsidRPr="0032797C" w:rsidRDefault="000417B6" w:rsidP="003A6568">
      <w:pPr>
        <w:pStyle w:val="ChartandTableFootnote"/>
      </w:pPr>
      <w:r>
        <w:rPr>
          <w:noProof/>
        </w:rPr>
        <w:pict w14:anchorId="7AE64113">
          <v:shape id="_x0000_i1039" type="#_x0000_t75" alt="This line chart shows the proportion of Australians who own versus those who rent from 1994-95 to 2019-2020. Owners and owners with a mortgage are captured in a blue line and renters are in a red line. Over the same time horizon, the proportion of owners and owners with a mortgage has been declining and at the same time, the proportion of renters has been increasing." style="width:400.3pt;height:3in">
            <v:imagedata r:id="rId32" o:title=""/>
          </v:shape>
        </w:pict>
      </w:r>
      <w:r w:rsidR="00853CB9" w:rsidRPr="0032797C">
        <w:t xml:space="preserve">Source: </w:t>
      </w:r>
      <w:r w:rsidR="001739E7">
        <w:tab/>
      </w:r>
      <w:r w:rsidR="00853CB9" w:rsidRPr="0032797C">
        <w:t>ABS</w:t>
      </w:r>
      <w:r w:rsidR="002661CE" w:rsidRPr="0032797C">
        <w:t xml:space="preserve"> Housing Occupancy and Costs</w:t>
      </w:r>
      <w:r w:rsidR="00853CB9" w:rsidRPr="0032797C">
        <w:t>, Treasury</w:t>
      </w:r>
    </w:p>
    <w:p w14:paraId="060C9C4D" w14:textId="25A1954C" w:rsidR="00AF5A39" w:rsidRPr="00B35D17" w:rsidRDefault="00AF5A39" w:rsidP="0025758A">
      <w:pPr>
        <w:pStyle w:val="ChartLine"/>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F5A39" w:rsidRPr="00B35D17" w14:paraId="52012408" w14:textId="77777777" w:rsidTr="00D376C5">
        <w:trPr>
          <w:cantSplit/>
        </w:trPr>
        <w:tc>
          <w:tcPr>
            <w:tcW w:w="5000" w:type="pct"/>
            <w:shd w:val="clear" w:color="auto" w:fill="E6F2FF"/>
          </w:tcPr>
          <w:p w14:paraId="40FB6264" w14:textId="43E762E1" w:rsidR="00AF5A39" w:rsidRPr="009C0EA0" w:rsidRDefault="00AF5A39" w:rsidP="00BF56AC">
            <w:pPr>
              <w:pStyle w:val="BoxHeading"/>
            </w:pPr>
            <w:r w:rsidRPr="009C0EA0">
              <w:lastRenderedPageBreak/>
              <w:t>Box 4.</w:t>
            </w:r>
            <w:r w:rsidR="002050B1" w:rsidRPr="009C0EA0">
              <w:t>4</w:t>
            </w:r>
            <w:r w:rsidRPr="009C0EA0">
              <w:t xml:space="preserve"> Government actions to help renters and </w:t>
            </w:r>
            <w:r w:rsidR="009B5E45" w:rsidRPr="009C0EA0">
              <w:t>support more people into home ownership</w:t>
            </w:r>
          </w:p>
          <w:p w14:paraId="15C3BA19" w14:textId="77777777" w:rsidR="007320CB" w:rsidRPr="009C0EA0" w:rsidRDefault="003C0371" w:rsidP="007320CB">
            <w:pPr>
              <w:pStyle w:val="BoxText"/>
            </w:pPr>
            <w:r w:rsidRPr="009C0EA0">
              <w:t xml:space="preserve">As prices have risen, more Australians are finding </w:t>
            </w:r>
            <w:r w:rsidR="00DB7E44" w:rsidRPr="009C0EA0">
              <w:t>it difficult to pay their rent</w:t>
            </w:r>
            <w:r w:rsidR="00792AAD" w:rsidRPr="009C0EA0">
              <w:t xml:space="preserve">. This is why the Government </w:t>
            </w:r>
            <w:r w:rsidR="00E7241D" w:rsidRPr="009C0EA0">
              <w:t>is stepping in to ease the burden</w:t>
            </w:r>
            <w:r w:rsidR="00E43386" w:rsidRPr="009C0EA0">
              <w:t xml:space="preserve"> while the housing system is improved to bring on more supply over time.</w:t>
            </w:r>
          </w:p>
          <w:p w14:paraId="740E7B94" w14:textId="77F9B9B4" w:rsidR="00F71FCC" w:rsidRPr="009C0EA0" w:rsidRDefault="00F71FCC" w:rsidP="007320CB">
            <w:pPr>
              <w:pStyle w:val="BoxText"/>
              <w:rPr>
                <w:rStyle w:val="ui-provider"/>
              </w:rPr>
            </w:pPr>
            <w:r w:rsidRPr="009C0EA0">
              <w:t>As</w:t>
            </w:r>
            <w:r w:rsidRPr="009C0EA0">
              <w:rPr>
                <w:rStyle w:val="ui-provider"/>
              </w:rPr>
              <w:t xml:space="preserve"> </w:t>
            </w:r>
            <w:r w:rsidRPr="009C0EA0">
              <w:t>part</w:t>
            </w:r>
            <w:r w:rsidRPr="009C0EA0">
              <w:rPr>
                <w:rStyle w:val="ui-provider"/>
              </w:rPr>
              <w:t xml:space="preserve"> of </w:t>
            </w:r>
            <w:r w:rsidRPr="009C0EA0">
              <w:t>the Government</w:t>
            </w:r>
            <w:r w:rsidR="0004287B">
              <w:t>’</w:t>
            </w:r>
            <w:r w:rsidRPr="009C0EA0">
              <w:t>s broader responsible and affordable cost</w:t>
            </w:r>
            <w:r w:rsidR="0004287B">
              <w:noBreakHyphen/>
            </w:r>
            <w:r w:rsidRPr="009C0EA0">
              <w:t>of</w:t>
            </w:r>
            <w:r w:rsidR="0004287B">
              <w:noBreakHyphen/>
            </w:r>
            <w:r w:rsidRPr="009C0EA0">
              <w:t>living relief package, C</w:t>
            </w:r>
            <w:r w:rsidR="00E66E80" w:rsidRPr="009C0EA0">
              <w:t xml:space="preserve">ommonwealth </w:t>
            </w:r>
            <w:r w:rsidRPr="009C0EA0">
              <w:t>R</w:t>
            </w:r>
            <w:r w:rsidR="00E66E80" w:rsidRPr="009C0EA0">
              <w:t xml:space="preserve">ent </w:t>
            </w:r>
            <w:r w:rsidRPr="009C0EA0">
              <w:t>A</w:t>
            </w:r>
            <w:r w:rsidR="00E66E80" w:rsidRPr="009C0EA0">
              <w:t>ssistance</w:t>
            </w:r>
            <w:r w:rsidRPr="009C0EA0">
              <w:t xml:space="preserve"> </w:t>
            </w:r>
            <w:r w:rsidR="00E4323F" w:rsidRPr="009C0EA0">
              <w:t xml:space="preserve">(CRA) </w:t>
            </w:r>
            <w:r w:rsidRPr="009C0EA0">
              <w:t>will be increased</w:t>
            </w:r>
            <w:r w:rsidRPr="009C0EA0">
              <w:rPr>
                <w:rStyle w:val="ui-provider"/>
              </w:rPr>
              <w:t xml:space="preserve"> by a further 10</w:t>
            </w:r>
            <w:r w:rsidR="0079584A" w:rsidRPr="009C0EA0">
              <w:rPr>
                <w:rStyle w:val="ui-provider"/>
              </w:rPr>
              <w:t> per cent</w:t>
            </w:r>
            <w:r w:rsidRPr="009C0EA0">
              <w:rPr>
                <w:rStyle w:val="ui-provider"/>
              </w:rPr>
              <w:t xml:space="preserve">. </w:t>
            </w:r>
            <w:r w:rsidR="007F5D4D" w:rsidRPr="009C0EA0">
              <w:t>Alongside</w:t>
            </w:r>
            <w:r w:rsidRPr="009C0EA0">
              <w:t xml:space="preserve"> the </w:t>
            </w:r>
            <w:r w:rsidR="007F5D4D" w:rsidRPr="009C0EA0">
              <w:t>15</w:t>
            </w:r>
            <w:r w:rsidR="0079584A" w:rsidRPr="009C0EA0">
              <w:t> per cent</w:t>
            </w:r>
            <w:r w:rsidRPr="009C0EA0">
              <w:t xml:space="preserve"> increase</w:t>
            </w:r>
            <w:r w:rsidRPr="009C0EA0">
              <w:rPr>
                <w:rStyle w:val="ui-provider"/>
              </w:rPr>
              <w:t xml:space="preserve"> </w:t>
            </w:r>
            <w:r w:rsidR="004A3DC4" w:rsidRPr="009C0EA0">
              <w:t>provided</w:t>
            </w:r>
            <w:r w:rsidR="007F5D4D" w:rsidRPr="009C0EA0">
              <w:t xml:space="preserve"> in September</w:t>
            </w:r>
            <w:r w:rsidR="00536DAD" w:rsidRPr="009C0EA0">
              <w:rPr>
                <w:rStyle w:val="ui-provider"/>
              </w:rPr>
              <w:t> </w:t>
            </w:r>
            <w:r w:rsidR="007F5D4D" w:rsidRPr="009C0EA0">
              <w:t>2023</w:t>
            </w:r>
            <w:r w:rsidRPr="009C0EA0">
              <w:t xml:space="preserve"> and </w:t>
            </w:r>
            <w:r w:rsidR="004A3DC4" w:rsidRPr="009C0EA0">
              <w:t xml:space="preserve">regular </w:t>
            </w:r>
            <w:r w:rsidRPr="009C0EA0">
              <w:t xml:space="preserve">indexation, </w:t>
            </w:r>
            <w:r w:rsidR="004A3DC4" w:rsidRPr="009C0EA0">
              <w:t>this will take maximum rates over 40</w:t>
            </w:r>
            <w:r w:rsidR="0079584A" w:rsidRPr="009C0EA0">
              <w:t> per cent</w:t>
            </w:r>
            <w:r w:rsidR="004A3DC4" w:rsidRPr="009C0EA0">
              <w:t xml:space="preserve"> higher than in</w:t>
            </w:r>
            <w:r w:rsidR="00536DAD" w:rsidRPr="009C0EA0">
              <w:t> May </w:t>
            </w:r>
            <w:r w:rsidR="004A3DC4" w:rsidRPr="009C0EA0">
              <w:t>2022</w:t>
            </w:r>
            <w:r w:rsidR="002751C2" w:rsidRPr="009C0EA0">
              <w:t>.</w:t>
            </w:r>
            <w:r w:rsidRPr="009C0EA0">
              <w:t xml:space="preserve"> </w:t>
            </w:r>
            <w:r w:rsidR="003540FA" w:rsidRPr="009C0EA0">
              <w:t>Outside of regular indexation, the 2023</w:t>
            </w:r>
            <w:r w:rsidR="00C364FB" w:rsidRPr="009C0EA0">
              <w:t>–</w:t>
            </w:r>
            <w:r w:rsidR="003540FA" w:rsidRPr="009C0EA0">
              <w:t>24 Budget and 2024</w:t>
            </w:r>
            <w:r w:rsidR="00C364FB" w:rsidRPr="009C0EA0">
              <w:t>–</w:t>
            </w:r>
            <w:r w:rsidR="003540FA" w:rsidRPr="009C0EA0">
              <w:t xml:space="preserve">25 Budget </w:t>
            </w:r>
            <w:r w:rsidR="00E4323F" w:rsidRPr="009C0EA0">
              <w:t>CRA</w:t>
            </w:r>
            <w:r w:rsidR="003540FA" w:rsidRPr="009C0EA0">
              <w:t xml:space="preserve"> increases are the first back</w:t>
            </w:r>
            <w:r w:rsidR="0004287B">
              <w:noBreakHyphen/>
            </w:r>
            <w:r w:rsidR="003540FA" w:rsidRPr="009C0EA0">
              <w:t>to</w:t>
            </w:r>
            <w:r w:rsidR="0004287B">
              <w:noBreakHyphen/>
            </w:r>
            <w:r w:rsidR="003540FA" w:rsidRPr="009C0EA0">
              <w:t>back increases to maximum rates of CRA</w:t>
            </w:r>
            <w:r w:rsidR="00F76465" w:rsidRPr="009C0EA0">
              <w:t xml:space="preserve"> in three decades.</w:t>
            </w:r>
            <w:r w:rsidRPr="009C0EA0">
              <w:rPr>
                <w:rStyle w:val="ui-provider"/>
              </w:rPr>
              <w:t xml:space="preserve"> </w:t>
            </w:r>
            <w:r w:rsidR="00F0249E" w:rsidRPr="009C0EA0">
              <w:rPr>
                <w:rStyle w:val="ui-provider"/>
              </w:rPr>
              <w:t>This will help to address pressure in the rental market caused by low vacancy rates and falling supply.</w:t>
            </w:r>
          </w:p>
          <w:p w14:paraId="6AA7CA75" w14:textId="7B5DFBF8" w:rsidR="00F71FCC" w:rsidRPr="009C0EA0" w:rsidRDefault="00F71FCC" w:rsidP="000D186B">
            <w:pPr>
              <w:pStyle w:val="BoxText"/>
              <w:rPr>
                <w:rStyle w:val="ui-provider"/>
              </w:rPr>
            </w:pPr>
            <w:r w:rsidRPr="009C0EA0">
              <w:t>In recognitio</w:t>
            </w:r>
            <w:r w:rsidRPr="009C0EA0">
              <w:rPr>
                <w:rStyle w:val="ui-provider"/>
              </w:rPr>
              <w:t xml:space="preserve">n of </w:t>
            </w:r>
            <w:r w:rsidRPr="009C0EA0">
              <w:t>the more challenging</w:t>
            </w:r>
            <w:r w:rsidRPr="009C0EA0">
              <w:rPr>
                <w:rStyle w:val="ui-provider"/>
              </w:rPr>
              <w:t xml:space="preserve"> </w:t>
            </w:r>
            <w:r w:rsidRPr="009C0EA0">
              <w:t>situation rent</w:t>
            </w:r>
            <w:r w:rsidRPr="009C0EA0">
              <w:rPr>
                <w:rStyle w:val="ui-provider"/>
              </w:rPr>
              <w:t xml:space="preserve">ers </w:t>
            </w:r>
            <w:r w:rsidRPr="009C0EA0">
              <w:t>are facing, the Government is also working with states and territories to strengthen renters</w:t>
            </w:r>
            <w:r w:rsidR="0004287B">
              <w:t>’</w:t>
            </w:r>
            <w:r w:rsidRPr="009C0EA0">
              <w:t xml:space="preserve"> rights through </w:t>
            </w:r>
            <w:r w:rsidR="00F0249E" w:rsidRPr="009C0EA0">
              <w:t>A</w:t>
            </w:r>
            <w:r w:rsidRPr="009C0EA0">
              <w:t xml:space="preserve"> Better Deal for Renters. As part of this package, all levels of government have agreed to implement a 9</w:t>
            </w:r>
            <w:r w:rsidR="0004287B">
              <w:noBreakHyphen/>
            </w:r>
            <w:r w:rsidRPr="009C0EA0">
              <w:t>point plan that includes:</w:t>
            </w:r>
          </w:p>
          <w:p w14:paraId="420EE7B6" w14:textId="77777777" w:rsidR="00F71FCC" w:rsidRPr="009C0EA0" w:rsidRDefault="00F71FCC" w:rsidP="00C62F1D">
            <w:pPr>
              <w:pStyle w:val="BoxBullet"/>
            </w:pPr>
            <w:r w:rsidRPr="009C0EA0">
              <w:t>Developing a nationally consistent policy to implement a requirement for genuine reasonable grounds for eviction.</w:t>
            </w:r>
          </w:p>
          <w:p w14:paraId="50DBF899" w14:textId="77777777" w:rsidR="00F71FCC" w:rsidRPr="009C0EA0" w:rsidRDefault="00F71FCC" w:rsidP="00C62F1D">
            <w:pPr>
              <w:pStyle w:val="BoxBullet"/>
            </w:pPr>
            <w:r w:rsidRPr="009C0EA0">
              <w:t>Moving towards limiting rent increases to once a year.</w:t>
            </w:r>
          </w:p>
          <w:p w14:paraId="21DCEA5D" w14:textId="6DF68DBC" w:rsidR="00F71FCC" w:rsidRPr="009C0EA0" w:rsidRDefault="00F71FCC" w:rsidP="00C62F1D">
            <w:pPr>
              <w:pStyle w:val="BoxBullet"/>
            </w:pPr>
            <w:r w:rsidRPr="009C0EA0">
              <w:t>Phasing in minimum rental standards.</w:t>
            </w:r>
          </w:p>
          <w:p w14:paraId="1CA224C6" w14:textId="1B6851C1" w:rsidR="00F71FCC" w:rsidRPr="00281B5F" w:rsidRDefault="003038DB" w:rsidP="00CA4C81">
            <w:pPr>
              <w:pStyle w:val="BoxText"/>
            </w:pPr>
            <w:r w:rsidRPr="009C0EA0">
              <w:t>In addition, t</w:t>
            </w:r>
            <w:r w:rsidR="00F71FCC" w:rsidRPr="009C0EA0">
              <w:t>he Government is introducing concessional tax treatment to encourage the development of more build</w:t>
            </w:r>
            <w:r w:rsidR="0004287B">
              <w:noBreakHyphen/>
            </w:r>
            <w:r w:rsidR="00F71FCC" w:rsidRPr="009C0EA0">
              <w:t>to</w:t>
            </w:r>
            <w:r w:rsidR="0004287B">
              <w:noBreakHyphen/>
            </w:r>
            <w:r w:rsidR="00F71FCC" w:rsidRPr="009C0EA0">
              <w:t>rent accommodation to increase the supply of rental properties and increase their affordability.</w:t>
            </w:r>
            <w:r w:rsidR="00F0249E" w:rsidRPr="009C0EA0">
              <w:t xml:space="preserve"> The Government has also lowered foreign investment application fees for new build</w:t>
            </w:r>
            <w:r w:rsidR="0004287B">
              <w:noBreakHyphen/>
            </w:r>
            <w:r w:rsidR="00F0249E" w:rsidRPr="009C0EA0">
              <w:t>to</w:t>
            </w:r>
            <w:r w:rsidR="0004287B">
              <w:noBreakHyphen/>
            </w:r>
            <w:r w:rsidR="00F0249E" w:rsidRPr="009C0EA0">
              <w:t>rent developments to further encourage an increase in the supply of rental properties.</w:t>
            </w:r>
            <w:r w:rsidR="002A2E47" w:rsidRPr="009C0EA0">
              <w:t xml:space="preserve"> </w:t>
            </w:r>
          </w:p>
          <w:p w14:paraId="06FA7903" w14:textId="0349337A" w:rsidR="00AF5A39" w:rsidRPr="00B35D17" w:rsidRDefault="00F71FCC" w:rsidP="00CA4C81">
            <w:pPr>
              <w:pStyle w:val="BoxText"/>
            </w:pPr>
            <w:r w:rsidRPr="009C0EA0">
              <w:t>The Government is also helping more renters to transition to home ownership through introducing legislation to establish the Help to Buy scheme. The Help to Buy scheme will support up to 40,000 eligible households to purchase a home by providing them an equity contribution of up to 40</w:t>
            </w:r>
            <w:r w:rsidR="0079584A" w:rsidRPr="009C0EA0">
              <w:t> per cent</w:t>
            </w:r>
            <w:r w:rsidRPr="009C0EA0">
              <w:t xml:space="preserve"> of the purchase price for new homes and 30</w:t>
            </w:r>
            <w:r w:rsidR="0079584A" w:rsidRPr="009C0EA0">
              <w:t> per cent</w:t>
            </w:r>
            <w:r w:rsidRPr="009C0EA0">
              <w:t xml:space="preserve"> for existing homes. </w:t>
            </w:r>
            <w:r w:rsidR="00F8265D" w:rsidRPr="009C0EA0">
              <w:t xml:space="preserve">Together with the </w:t>
            </w:r>
            <w:r w:rsidR="00AA7214" w:rsidRPr="009C0EA0">
              <w:t>expanded</w:t>
            </w:r>
            <w:r w:rsidR="00F8265D" w:rsidRPr="009C0EA0">
              <w:t xml:space="preserve"> Home Guarantee Scheme, </w:t>
            </w:r>
            <w:r w:rsidR="00CC6E3A" w:rsidRPr="009C0EA0">
              <w:t>this will help more Australian households achieve</w:t>
            </w:r>
            <w:r w:rsidR="008E3D3A" w:rsidRPr="009C0EA0">
              <w:t xml:space="preserve"> home ownership. </w:t>
            </w:r>
          </w:p>
        </w:tc>
      </w:tr>
    </w:tbl>
    <w:p w14:paraId="5FDE908F" w14:textId="77777777" w:rsidR="00BF56AC" w:rsidRDefault="00BF56AC">
      <w:pPr>
        <w:spacing w:before="0" w:after="160" w:line="259" w:lineRule="auto"/>
      </w:pPr>
      <w:r>
        <w:br w:type="page"/>
      </w:r>
    </w:p>
    <w:p w14:paraId="55E97F2F" w14:textId="539910C2" w:rsidR="00625AA4" w:rsidRPr="009C0EA0" w:rsidRDefault="00771A4E" w:rsidP="00625AA4">
      <w:pPr>
        <w:pStyle w:val="Heading3"/>
      </w:pPr>
      <w:bookmarkStart w:id="32" w:name="_Toc166159061"/>
      <w:bookmarkStart w:id="33" w:name="_Toc166253965"/>
      <w:bookmarkStart w:id="34" w:name="_Toc166355545"/>
      <w:r w:rsidRPr="009C0EA0">
        <w:lastRenderedPageBreak/>
        <w:t>A</w:t>
      </w:r>
      <w:r w:rsidR="004718A8" w:rsidRPr="009C0EA0">
        <w:t>ffordability challenges have productivity</w:t>
      </w:r>
      <w:r w:rsidR="00B31680" w:rsidRPr="009C0EA0">
        <w:t>,</w:t>
      </w:r>
      <w:r w:rsidR="004718A8" w:rsidRPr="009C0EA0">
        <w:t xml:space="preserve"> health and social inclusion implications</w:t>
      </w:r>
      <w:bookmarkEnd w:id="32"/>
      <w:bookmarkEnd w:id="33"/>
      <w:bookmarkEnd w:id="34"/>
      <w:r w:rsidR="004718A8" w:rsidRPr="009C0EA0">
        <w:t xml:space="preserve"> </w:t>
      </w:r>
    </w:p>
    <w:p w14:paraId="4036C3D2" w14:textId="1E0C947B" w:rsidR="000F55D7" w:rsidRPr="009C0EA0" w:rsidRDefault="000F55D7" w:rsidP="00BF56AC">
      <w:r w:rsidRPr="009C0EA0">
        <w:t>A well</w:t>
      </w:r>
      <w:r w:rsidR="0004287B">
        <w:noBreakHyphen/>
      </w:r>
      <w:r w:rsidRPr="009C0EA0">
        <w:t xml:space="preserve">functioning housing system </w:t>
      </w:r>
      <w:r w:rsidR="00D65F11" w:rsidRPr="009C0EA0">
        <w:t xml:space="preserve">allows </w:t>
      </w:r>
      <w:r w:rsidRPr="009C0EA0">
        <w:t xml:space="preserve">workers </w:t>
      </w:r>
      <w:r w:rsidR="00D65F11" w:rsidRPr="009C0EA0">
        <w:t>to be</w:t>
      </w:r>
      <w:r w:rsidRPr="009C0EA0">
        <w:t xml:space="preserve"> close to their employment, reduces commute times and travel costs, and encourages labour force participation, social mobility and cohesion.</w:t>
      </w:r>
    </w:p>
    <w:p w14:paraId="100313C7" w14:textId="4CD76F95" w:rsidR="000F55D7" w:rsidRPr="009C0EA0" w:rsidRDefault="000F55D7" w:rsidP="000F55D7">
      <w:r w:rsidRPr="009C0EA0">
        <w:t>A collective lack of investment in housing – both public and private – can result in a housing system that entrenches adverse health and socio</w:t>
      </w:r>
      <w:r w:rsidR="0004287B">
        <w:noBreakHyphen/>
      </w:r>
      <w:r w:rsidRPr="009C0EA0">
        <w:t>economic outcomes. Unstable housing prevents workers from finding meaningful employment and creates more disruptions for children</w:t>
      </w:r>
      <w:r w:rsidR="0004287B">
        <w:t>’</w:t>
      </w:r>
      <w:r w:rsidRPr="009C0EA0">
        <w:t>s education.</w:t>
      </w:r>
      <w:r w:rsidR="001030A9" w:rsidRPr="009C0EA0">
        <w:t xml:space="preserve"> This is e</w:t>
      </w:r>
      <w:r w:rsidRPr="009C0EA0">
        <w:t xml:space="preserve">specially </w:t>
      </w:r>
      <w:r w:rsidR="001030A9" w:rsidRPr="009C0EA0">
        <w:t xml:space="preserve">pronounced </w:t>
      </w:r>
      <w:r w:rsidRPr="009C0EA0">
        <w:t>for children</w:t>
      </w:r>
      <w:r w:rsidR="00E70A1A" w:rsidRPr="009C0EA0">
        <w:t xml:space="preserve"> </w:t>
      </w:r>
      <w:r w:rsidR="00A5391B" w:rsidRPr="009C0EA0">
        <w:t>vulnerable to socioeconomic inequality,</w:t>
      </w:r>
      <w:r w:rsidR="003738A8" w:rsidRPr="009C0EA0">
        <w:t xml:space="preserve"> </w:t>
      </w:r>
      <w:r w:rsidR="00A87EC3" w:rsidRPr="009C0EA0">
        <w:t>liv</w:t>
      </w:r>
      <w:r w:rsidR="003738A8" w:rsidRPr="009C0EA0">
        <w:t>ing</w:t>
      </w:r>
      <w:r w:rsidR="00A87EC3" w:rsidRPr="009C0EA0">
        <w:t xml:space="preserve"> in</w:t>
      </w:r>
      <w:r w:rsidR="00B82505" w:rsidRPr="009C0EA0">
        <w:t xml:space="preserve"> disadvantaged neighbourhoods</w:t>
      </w:r>
      <w:r w:rsidR="003738A8" w:rsidRPr="009C0EA0">
        <w:t xml:space="preserve"> </w:t>
      </w:r>
      <w:r w:rsidR="00383F17" w:rsidRPr="009C0EA0">
        <w:t>or</w:t>
      </w:r>
      <w:r w:rsidR="003738A8" w:rsidRPr="009C0EA0">
        <w:t xml:space="preserve"> being unable to rely on intergenerational wealth transfers</w:t>
      </w:r>
      <w:r w:rsidR="00FE6E13" w:rsidRPr="009C0EA0">
        <w:t>.</w:t>
      </w:r>
      <w:r w:rsidRPr="009C0EA0">
        <w:t xml:space="preserve"> </w:t>
      </w:r>
      <w:r w:rsidR="004E797B" w:rsidRPr="009C0EA0">
        <w:t>Q</w:t>
      </w:r>
      <w:r w:rsidRPr="009C0EA0">
        <w:t xml:space="preserve">uality housing improves </w:t>
      </w:r>
      <w:r w:rsidR="009344EB" w:rsidRPr="009C0EA0">
        <w:t>children</w:t>
      </w:r>
      <w:r w:rsidR="0004287B">
        <w:t>’</w:t>
      </w:r>
      <w:r w:rsidR="009344EB" w:rsidRPr="009C0EA0">
        <w:t xml:space="preserve">s </w:t>
      </w:r>
      <w:r w:rsidRPr="009C0EA0">
        <w:t>development and wellbeing, and can lead to better education outcomes</w:t>
      </w:r>
      <w:r w:rsidR="009344EB" w:rsidRPr="009C0EA0">
        <w:t>, particularly for th</w:t>
      </w:r>
      <w:r w:rsidR="00585ED8" w:rsidRPr="009C0EA0">
        <w:t>o</w:t>
      </w:r>
      <w:r w:rsidR="009344EB" w:rsidRPr="009C0EA0">
        <w:t>se with intergenerational disadvant</w:t>
      </w:r>
      <w:r w:rsidR="00585ED8" w:rsidRPr="009C0EA0">
        <w:t>a</w:t>
      </w:r>
      <w:r w:rsidR="009344EB" w:rsidRPr="009C0EA0">
        <w:t>ge</w:t>
      </w:r>
      <w:r w:rsidRPr="009C0EA0">
        <w:t>.</w:t>
      </w:r>
      <w:r w:rsidRPr="009C0EA0">
        <w:rPr>
          <w:rStyle w:val="FootnoteReference"/>
        </w:rPr>
        <w:footnoteReference w:id="10"/>
      </w:r>
      <w:r w:rsidR="005238D0" w:rsidRPr="009C0EA0">
        <w:t xml:space="preserve"> </w:t>
      </w:r>
    </w:p>
    <w:p w14:paraId="611A6D84" w14:textId="65597B19" w:rsidR="000F55D7" w:rsidRPr="009C0EA0" w:rsidRDefault="000F55D7" w:rsidP="00BF56AC">
      <w:r w:rsidRPr="009C0EA0">
        <w:t>An undersupplied and underinvested housing system creates more instances of overcrowded and poor</w:t>
      </w:r>
      <w:r w:rsidR="0004287B">
        <w:noBreakHyphen/>
      </w:r>
      <w:r w:rsidRPr="009C0EA0">
        <w:t>quality dwellings, which Brackertz et al</w:t>
      </w:r>
      <w:r w:rsidR="003F152A" w:rsidRPr="009C0EA0">
        <w:t>.</w:t>
      </w:r>
      <w:r w:rsidRPr="009C0EA0">
        <w:t xml:space="preserve"> (2019) identifies as increasing the likelihood of developing chronic </w:t>
      </w:r>
      <w:r w:rsidR="001160B0" w:rsidRPr="009C0EA0">
        <w:t>physical and mental</w:t>
      </w:r>
      <w:r w:rsidRPr="009C0EA0">
        <w:t xml:space="preserve"> health conditions</w:t>
      </w:r>
      <w:r w:rsidR="001160B0" w:rsidRPr="009C0EA0">
        <w:t>,</w:t>
      </w:r>
      <w:r w:rsidRPr="009C0EA0">
        <w:t xml:space="preserve"> and increasing the risk of domestic and family violence.</w:t>
      </w:r>
      <w:r w:rsidRPr="009C0EA0">
        <w:rPr>
          <w:rStyle w:val="FootnoteReference"/>
        </w:rPr>
        <w:footnoteReference w:id="11"/>
      </w:r>
      <w:r w:rsidRPr="009C0EA0">
        <w:t xml:space="preserve"> </w:t>
      </w:r>
      <w:r w:rsidR="00542DEA" w:rsidRPr="009C0EA0">
        <w:t>I</w:t>
      </w:r>
      <w:r w:rsidR="00CD286C" w:rsidRPr="009C0EA0">
        <w:t>n 2022</w:t>
      </w:r>
      <w:r w:rsidR="00C364FB" w:rsidRPr="009C0EA0">
        <w:t>–</w:t>
      </w:r>
      <w:r w:rsidR="00CD286C" w:rsidRPr="009C0EA0">
        <w:t>23</w:t>
      </w:r>
      <w:r w:rsidR="002C3753" w:rsidRPr="009C0EA0">
        <w:t xml:space="preserve"> </w:t>
      </w:r>
      <w:r w:rsidR="00CA75DF" w:rsidRPr="009C0EA0">
        <w:t xml:space="preserve">around </w:t>
      </w:r>
      <w:r w:rsidR="008730BC" w:rsidRPr="009C0EA0">
        <w:t>38</w:t>
      </w:r>
      <w:r w:rsidR="0079584A" w:rsidRPr="009C0EA0">
        <w:t> per cent</w:t>
      </w:r>
      <w:r w:rsidR="008730BC" w:rsidRPr="009C0EA0">
        <w:t xml:space="preserve"> of all specialist homelessness services </w:t>
      </w:r>
      <w:r w:rsidR="0008752F" w:rsidRPr="009C0EA0">
        <w:t>clients ha</w:t>
      </w:r>
      <w:r w:rsidR="00CD286C" w:rsidRPr="009C0EA0">
        <w:t>d</w:t>
      </w:r>
      <w:r w:rsidR="0008752F" w:rsidRPr="009C0EA0">
        <w:t xml:space="preserve"> experienced family and domestic violence</w:t>
      </w:r>
      <w:r w:rsidR="00FE30D5" w:rsidRPr="009C0EA0">
        <w:t>.</w:t>
      </w:r>
      <w:r w:rsidR="00C71563" w:rsidRPr="009C0EA0">
        <w:rPr>
          <w:rStyle w:val="FootnoteReference"/>
        </w:rPr>
        <w:footnoteReference w:id="12"/>
      </w:r>
    </w:p>
    <w:p w14:paraId="288D0C02" w14:textId="543BBC54" w:rsidR="003A02D1" w:rsidRPr="009C0EA0" w:rsidRDefault="003A02D1" w:rsidP="00BF56AC">
      <w:r w:rsidRPr="009C0EA0">
        <w:t>Increased housing supply and affordability in well</w:t>
      </w:r>
      <w:r w:rsidR="0004287B">
        <w:noBreakHyphen/>
      </w:r>
      <w:r w:rsidRPr="009C0EA0">
        <w:t>located areas can positively affect wages and productivity by reducing barriers to job switching. Job switching rates in Australia are low and have declined over the past 30 years.</w:t>
      </w:r>
      <w:r w:rsidRPr="009C0EA0">
        <w:rPr>
          <w:rStyle w:val="FootnoteReference"/>
        </w:rPr>
        <w:footnoteReference w:id="13"/>
      </w:r>
      <w:r w:rsidRPr="009C0EA0">
        <w:t xml:space="preserve"> Research suggests job switchers are likely to move to more productive firms, with the average productivity gap between origin and destination firms at 13.1</w:t>
      </w:r>
      <w:r w:rsidR="0079584A" w:rsidRPr="009C0EA0">
        <w:t> per cent</w:t>
      </w:r>
      <w:r w:rsidRPr="009C0EA0">
        <w:t>. It can also enable workers to move to a role which better matches their individual skillset.</w:t>
      </w:r>
      <w:r w:rsidRPr="009C0EA0">
        <w:rPr>
          <w:rStyle w:val="FootnoteReference"/>
        </w:rPr>
        <w:footnoteReference w:id="14"/>
      </w:r>
      <w:r w:rsidRPr="009C0EA0">
        <w:t xml:space="preserve"> These factors can influence aggregate productivity as they allow firms with higher average productivity to increase output. Workers are also more likely to realise wage gains when switching into a new role, which can improve </w:t>
      </w:r>
      <w:r w:rsidR="00BC7700" w:rsidRPr="009C0EA0">
        <w:t>their</w:t>
      </w:r>
      <w:r w:rsidRPr="009C0EA0">
        <w:t xml:space="preserve"> standard of living.</w:t>
      </w:r>
      <w:r w:rsidRPr="009C0EA0">
        <w:rPr>
          <w:rStyle w:val="FootnoteReference"/>
        </w:rPr>
        <w:footnoteReference w:id="15"/>
      </w:r>
    </w:p>
    <w:p w14:paraId="6413969D" w14:textId="38D94D95" w:rsidR="00674276" w:rsidRPr="009C0EA0" w:rsidRDefault="00674276" w:rsidP="00247AED">
      <w:r w:rsidRPr="009C0EA0">
        <w:rPr>
          <w:rFonts w:cs="Calibri"/>
          <w:szCs w:val="19"/>
        </w:rPr>
        <w:lastRenderedPageBreak/>
        <w:t xml:space="preserve">As Australia has </w:t>
      </w:r>
      <w:r w:rsidR="00FC6817" w:rsidRPr="009C0EA0">
        <w:rPr>
          <w:rFonts w:cs="Calibri"/>
          <w:szCs w:val="19"/>
        </w:rPr>
        <w:t>shifted towards a service</w:t>
      </w:r>
      <w:r w:rsidR="0004287B">
        <w:rPr>
          <w:rFonts w:cs="Calibri"/>
          <w:szCs w:val="19"/>
        </w:rPr>
        <w:noBreakHyphen/>
      </w:r>
      <w:r w:rsidR="00FC6817" w:rsidRPr="009C0EA0">
        <w:rPr>
          <w:rFonts w:cs="Calibri"/>
          <w:szCs w:val="19"/>
        </w:rPr>
        <w:t>based economy</w:t>
      </w:r>
      <w:r w:rsidR="00037F7B" w:rsidRPr="009C0EA0">
        <w:rPr>
          <w:rFonts w:cs="Calibri"/>
          <w:szCs w:val="19"/>
        </w:rPr>
        <w:t>,</w:t>
      </w:r>
      <w:r w:rsidRPr="009C0EA0">
        <w:rPr>
          <w:rFonts w:cs="Calibri"/>
          <w:szCs w:val="19"/>
        </w:rPr>
        <w:t xml:space="preserve"> </w:t>
      </w:r>
      <w:r w:rsidR="00CF2F8D" w:rsidRPr="009C0EA0">
        <w:rPr>
          <w:rFonts w:cs="Calibri"/>
          <w:szCs w:val="19"/>
        </w:rPr>
        <w:t>many</w:t>
      </w:r>
      <w:r w:rsidR="0020247F" w:rsidRPr="009C0EA0">
        <w:rPr>
          <w:rFonts w:cs="Calibri"/>
          <w:szCs w:val="19"/>
        </w:rPr>
        <w:t xml:space="preserve"> </w:t>
      </w:r>
      <w:r w:rsidR="00C1639C" w:rsidRPr="009C0EA0">
        <w:rPr>
          <w:rFonts w:cs="Calibri"/>
          <w:szCs w:val="19"/>
        </w:rPr>
        <w:t xml:space="preserve">firms have </w:t>
      </w:r>
      <w:r w:rsidR="00CF150C" w:rsidRPr="009C0EA0">
        <w:rPr>
          <w:rFonts w:cs="Calibri"/>
          <w:szCs w:val="19"/>
        </w:rPr>
        <w:t xml:space="preserve">set up offices in </w:t>
      </w:r>
      <w:r w:rsidR="001668A9" w:rsidRPr="009C0EA0">
        <w:rPr>
          <w:rFonts w:cs="Calibri"/>
          <w:szCs w:val="19"/>
        </w:rPr>
        <w:t>c</w:t>
      </w:r>
      <w:r w:rsidR="000A5F13" w:rsidRPr="009C0EA0">
        <w:rPr>
          <w:rFonts w:cs="Calibri"/>
          <w:szCs w:val="19"/>
        </w:rPr>
        <w:t xml:space="preserve">entral </w:t>
      </w:r>
      <w:r w:rsidR="001668A9" w:rsidRPr="009C0EA0">
        <w:rPr>
          <w:rFonts w:cs="Calibri"/>
          <w:szCs w:val="19"/>
        </w:rPr>
        <w:t>b</w:t>
      </w:r>
      <w:r w:rsidR="000A5F13" w:rsidRPr="009C0EA0">
        <w:rPr>
          <w:rFonts w:cs="Calibri"/>
          <w:szCs w:val="19"/>
        </w:rPr>
        <w:t xml:space="preserve">usiness </w:t>
      </w:r>
      <w:r w:rsidR="001668A9" w:rsidRPr="009C0EA0">
        <w:rPr>
          <w:rFonts w:cs="Calibri"/>
          <w:szCs w:val="19"/>
        </w:rPr>
        <w:t>d</w:t>
      </w:r>
      <w:r w:rsidR="000A5F13" w:rsidRPr="009C0EA0">
        <w:rPr>
          <w:rFonts w:cs="Calibri"/>
          <w:szCs w:val="19"/>
        </w:rPr>
        <w:t>istrict</w:t>
      </w:r>
      <w:r w:rsidR="005F63CA" w:rsidRPr="009C0EA0">
        <w:rPr>
          <w:rFonts w:cs="Calibri"/>
          <w:szCs w:val="19"/>
        </w:rPr>
        <w:t>s</w:t>
      </w:r>
      <w:r w:rsidR="00CF150C" w:rsidRPr="009C0EA0">
        <w:rPr>
          <w:rFonts w:cs="Calibri"/>
          <w:szCs w:val="19"/>
        </w:rPr>
        <w:t xml:space="preserve">. National Housing Supply and Affordability Council research </w:t>
      </w:r>
      <w:r w:rsidR="00AF085B" w:rsidRPr="009C0EA0">
        <w:rPr>
          <w:rFonts w:cs="Calibri"/>
          <w:szCs w:val="19"/>
        </w:rPr>
        <w:t>shows</w:t>
      </w:r>
      <w:r w:rsidR="00CF150C" w:rsidRPr="009C0EA0">
        <w:rPr>
          <w:rFonts w:cs="Calibri"/>
          <w:szCs w:val="19"/>
        </w:rPr>
        <w:t xml:space="preserve"> workers are living an increasi</w:t>
      </w:r>
      <w:r w:rsidR="00CF2F8D" w:rsidRPr="009C0EA0">
        <w:rPr>
          <w:rFonts w:cs="Calibri"/>
          <w:szCs w:val="19"/>
        </w:rPr>
        <w:t>ng</w:t>
      </w:r>
      <w:r w:rsidR="00F06D99" w:rsidRPr="009C0EA0">
        <w:rPr>
          <w:rFonts w:cs="Calibri"/>
          <w:szCs w:val="19"/>
        </w:rPr>
        <w:t xml:space="preserve">ly further distance from </w:t>
      </w:r>
      <w:r w:rsidR="00AF085B" w:rsidRPr="009C0EA0">
        <w:rPr>
          <w:rFonts w:cs="Calibri"/>
          <w:szCs w:val="19"/>
        </w:rPr>
        <w:t>their place of work</w:t>
      </w:r>
      <w:r w:rsidR="0060310A" w:rsidRPr="009C0EA0">
        <w:rPr>
          <w:rFonts w:cs="Calibri"/>
          <w:szCs w:val="19"/>
        </w:rPr>
        <w:t xml:space="preserve">, associating this with </w:t>
      </w:r>
      <w:r w:rsidR="001C190D" w:rsidRPr="009C0EA0">
        <w:rPr>
          <w:rFonts w:cs="Calibri"/>
          <w:szCs w:val="19"/>
        </w:rPr>
        <w:t>a lack of affordable housing in cities.</w:t>
      </w:r>
      <w:r w:rsidR="00904ABF" w:rsidRPr="009C0EA0">
        <w:rPr>
          <w:rStyle w:val="FootnoteReference"/>
          <w:rFonts w:cs="Calibri"/>
          <w:szCs w:val="19"/>
        </w:rPr>
        <w:footnoteReference w:id="16"/>
      </w:r>
      <w:r w:rsidR="00904ABF" w:rsidRPr="009C0EA0">
        <w:rPr>
          <w:rFonts w:cs="Calibri"/>
          <w:szCs w:val="19"/>
        </w:rPr>
        <w:t xml:space="preserve"> An increase in well</w:t>
      </w:r>
      <w:r w:rsidR="0004287B">
        <w:rPr>
          <w:rFonts w:cs="Calibri"/>
          <w:szCs w:val="19"/>
        </w:rPr>
        <w:noBreakHyphen/>
      </w:r>
      <w:r w:rsidR="004F781E" w:rsidRPr="009C0EA0">
        <w:rPr>
          <w:rFonts w:cs="Calibri"/>
          <w:szCs w:val="19"/>
        </w:rPr>
        <w:t>located</w:t>
      </w:r>
      <w:r w:rsidR="00393BDF" w:rsidRPr="009C0EA0">
        <w:rPr>
          <w:rFonts w:cs="Calibri"/>
          <w:szCs w:val="19"/>
        </w:rPr>
        <w:t xml:space="preserve"> housing in urban areas with access to public transport and amenities will make it easier for workers to </w:t>
      </w:r>
      <w:r w:rsidR="007B01DF" w:rsidRPr="009C0EA0">
        <w:rPr>
          <w:rFonts w:cs="Calibri"/>
          <w:szCs w:val="19"/>
        </w:rPr>
        <w:t>switch jobs to more productive firms</w:t>
      </w:r>
      <w:r w:rsidR="00501B98" w:rsidRPr="009C0EA0">
        <w:rPr>
          <w:rFonts w:cs="Calibri"/>
          <w:szCs w:val="19"/>
        </w:rPr>
        <w:t xml:space="preserve"> and</w:t>
      </w:r>
      <w:r w:rsidR="00CD0C15" w:rsidRPr="009C0EA0">
        <w:rPr>
          <w:rFonts w:cs="Calibri"/>
          <w:szCs w:val="19"/>
        </w:rPr>
        <w:t xml:space="preserve"> seek higher wages</w:t>
      </w:r>
      <w:r w:rsidR="00501B98" w:rsidRPr="009C0EA0">
        <w:rPr>
          <w:rFonts w:cs="Calibri"/>
          <w:szCs w:val="19"/>
        </w:rPr>
        <w:t>,</w:t>
      </w:r>
      <w:r w:rsidR="00CD0C15" w:rsidRPr="009C0EA0">
        <w:rPr>
          <w:rFonts w:cs="Calibri"/>
          <w:szCs w:val="19"/>
        </w:rPr>
        <w:t xml:space="preserve"> and </w:t>
      </w:r>
      <w:r w:rsidR="00803A36" w:rsidRPr="009C0EA0">
        <w:rPr>
          <w:rFonts w:cs="Calibri"/>
          <w:szCs w:val="19"/>
        </w:rPr>
        <w:t xml:space="preserve">will </w:t>
      </w:r>
      <w:r w:rsidR="00CD0C15" w:rsidRPr="009C0EA0">
        <w:rPr>
          <w:rFonts w:cs="Calibri"/>
          <w:szCs w:val="19"/>
        </w:rPr>
        <w:t>improve the productive capacity of the Australian economy.</w:t>
      </w:r>
      <w:r w:rsidR="002E5A7F" w:rsidRPr="009C0EA0">
        <w:rPr>
          <w:rFonts w:cs="Calibri"/>
          <w:szCs w:val="19"/>
        </w:rPr>
        <w:t xml:space="preserve"> </w:t>
      </w:r>
      <w:r w:rsidR="00B6356F" w:rsidRPr="009C0EA0">
        <w:rPr>
          <w:rFonts w:cs="Calibri"/>
          <w:szCs w:val="19"/>
        </w:rPr>
        <w:t xml:space="preserve">A </w:t>
      </w:r>
      <w:r w:rsidR="001959B4" w:rsidRPr="009C0EA0">
        <w:rPr>
          <w:rFonts w:cs="Calibri"/>
          <w:szCs w:val="19"/>
        </w:rPr>
        <w:t xml:space="preserve">lack of affordable housing in </w:t>
      </w:r>
      <w:r w:rsidR="002E5A7F" w:rsidRPr="009C0EA0">
        <w:rPr>
          <w:rFonts w:cs="Calibri"/>
          <w:szCs w:val="19"/>
        </w:rPr>
        <w:t>regional areas</w:t>
      </w:r>
      <w:r w:rsidR="009B0F51" w:rsidRPr="009C0EA0">
        <w:rPr>
          <w:rFonts w:cs="Calibri"/>
          <w:szCs w:val="19"/>
        </w:rPr>
        <w:t xml:space="preserve"> </w:t>
      </w:r>
      <w:r w:rsidR="00B6356F" w:rsidRPr="009C0EA0">
        <w:rPr>
          <w:rFonts w:cs="Calibri"/>
          <w:szCs w:val="19"/>
        </w:rPr>
        <w:t xml:space="preserve">can </w:t>
      </w:r>
      <w:r w:rsidR="009B0F51" w:rsidRPr="009C0EA0">
        <w:rPr>
          <w:rFonts w:cs="Calibri"/>
          <w:szCs w:val="19"/>
        </w:rPr>
        <w:t>also</w:t>
      </w:r>
      <w:r w:rsidR="002E5A7F" w:rsidRPr="009C0EA0">
        <w:rPr>
          <w:rFonts w:cs="Calibri"/>
          <w:szCs w:val="19"/>
        </w:rPr>
        <w:t xml:space="preserve"> undermine the ability of businesses to attract workers and represents lost economic </w:t>
      </w:r>
      <w:r w:rsidR="008551CD" w:rsidRPr="009C0EA0">
        <w:rPr>
          <w:rFonts w:cs="Calibri"/>
          <w:szCs w:val="19"/>
        </w:rPr>
        <w:t xml:space="preserve">potential </w:t>
      </w:r>
      <w:r w:rsidR="002E5A7F" w:rsidRPr="009C0EA0">
        <w:rPr>
          <w:rFonts w:cs="Calibri"/>
          <w:szCs w:val="19"/>
        </w:rPr>
        <w:t>for regions.</w:t>
      </w:r>
    </w:p>
    <w:p w14:paraId="48335510" w14:textId="25D45FE8" w:rsidR="00625AA4" w:rsidRPr="009C0EA0" w:rsidRDefault="00DA795D" w:rsidP="007320CB">
      <w:pPr>
        <w:pStyle w:val="Heading2"/>
      </w:pPr>
      <w:bookmarkStart w:id="37" w:name="_Toc166159062"/>
      <w:bookmarkStart w:id="38" w:name="_Toc166253966"/>
      <w:bookmarkStart w:id="39" w:name="_Toc166254079"/>
      <w:bookmarkStart w:id="40" w:name="_Toc166355546"/>
      <w:r w:rsidRPr="009C0EA0">
        <w:t>B</w:t>
      </w:r>
      <w:r w:rsidR="00201FF5" w:rsidRPr="009C0EA0">
        <w:t xml:space="preserve">arriers to the construction of new homes </w:t>
      </w:r>
      <w:r w:rsidR="00B64BA5" w:rsidRPr="009C0EA0">
        <w:t>need to be addressed</w:t>
      </w:r>
      <w:bookmarkEnd w:id="37"/>
      <w:bookmarkEnd w:id="38"/>
      <w:bookmarkEnd w:id="39"/>
      <w:bookmarkEnd w:id="40"/>
      <w:r w:rsidR="00652114" w:rsidRPr="009C0EA0">
        <w:t xml:space="preserve"> </w:t>
      </w:r>
    </w:p>
    <w:p w14:paraId="2B62D910" w14:textId="4E78734D" w:rsidR="00CD2A43" w:rsidRPr="009C0EA0" w:rsidRDefault="00DE7EFE" w:rsidP="00BF56AC">
      <w:pPr>
        <w:pStyle w:val="Heading3noTOC"/>
        <w:rPr>
          <w:bCs/>
        </w:rPr>
      </w:pPr>
      <w:r w:rsidRPr="009C0EA0">
        <w:t>A</w:t>
      </w:r>
      <w:r w:rsidR="00751377" w:rsidRPr="009C0EA0">
        <w:t xml:space="preserve">ction is needed to improve </w:t>
      </w:r>
      <w:r w:rsidR="00C572DE" w:rsidRPr="009C0EA0">
        <w:t>housing system</w:t>
      </w:r>
      <w:r w:rsidR="00751377" w:rsidRPr="009C0EA0">
        <w:t xml:space="preserve"> responsiveness</w:t>
      </w:r>
    </w:p>
    <w:p w14:paraId="6A5C6046" w14:textId="62F7194E" w:rsidR="002765B4" w:rsidRPr="009C0EA0" w:rsidRDefault="00F04997" w:rsidP="00BF56AC">
      <w:r w:rsidRPr="009C0EA0">
        <w:t>Australia</w:t>
      </w:r>
      <w:r w:rsidR="0004287B">
        <w:t>’</w:t>
      </w:r>
      <w:r w:rsidRPr="009C0EA0">
        <w:t xml:space="preserve">s housing system </w:t>
      </w:r>
      <w:r w:rsidR="00376BEA" w:rsidRPr="009C0EA0">
        <w:t>has been</w:t>
      </w:r>
      <w:r w:rsidR="00850831" w:rsidRPr="009C0EA0">
        <w:t xml:space="preserve"> unable to sufficiently respond to demand</w:t>
      </w:r>
      <w:r w:rsidR="00EE67C7" w:rsidRPr="009C0EA0">
        <w:t>.</w:t>
      </w:r>
      <w:r w:rsidR="00B502E1" w:rsidRPr="009C0EA0">
        <w:t xml:space="preserve"> </w:t>
      </w:r>
      <w:r w:rsidR="005E4C95" w:rsidRPr="009C0EA0">
        <w:t xml:space="preserve">Housing requires longer lead times to respond to </w:t>
      </w:r>
      <w:r w:rsidR="00FD63C8" w:rsidRPr="009C0EA0">
        <w:t>price signals</w:t>
      </w:r>
      <w:r w:rsidR="00C665BE" w:rsidRPr="009C0EA0">
        <w:t xml:space="preserve"> than many other goods and services</w:t>
      </w:r>
      <w:r w:rsidR="00EE67C7" w:rsidRPr="009C0EA0">
        <w:t xml:space="preserve">. </w:t>
      </w:r>
      <w:r w:rsidR="004011F1" w:rsidRPr="009C0EA0">
        <w:t xml:space="preserve">On average, </w:t>
      </w:r>
      <w:r w:rsidR="00BB0B00" w:rsidRPr="009C0EA0">
        <w:t>in 2022</w:t>
      </w:r>
      <w:r w:rsidR="00C364FB" w:rsidRPr="009C0EA0">
        <w:t>–</w:t>
      </w:r>
      <w:r w:rsidR="00BB0B00" w:rsidRPr="009C0EA0">
        <w:t>23</w:t>
      </w:r>
      <w:r w:rsidR="004011F1" w:rsidRPr="009C0EA0">
        <w:t xml:space="preserve"> a house in Australia </w:t>
      </w:r>
      <w:r w:rsidR="00CD6FCC" w:rsidRPr="009C0EA0">
        <w:t xml:space="preserve">took </w:t>
      </w:r>
      <w:r w:rsidR="00EA1E69" w:rsidRPr="009C0EA0">
        <w:t>around</w:t>
      </w:r>
      <w:r w:rsidR="004011F1" w:rsidRPr="009C0EA0">
        <w:t xml:space="preserve"> </w:t>
      </w:r>
      <w:r w:rsidR="00420483" w:rsidRPr="009C0EA0">
        <w:t>nine</w:t>
      </w:r>
      <w:r w:rsidR="00EA1E69" w:rsidRPr="009C0EA0">
        <w:t xml:space="preserve"> months</w:t>
      </w:r>
      <w:r w:rsidR="004011F1" w:rsidRPr="009C0EA0">
        <w:t xml:space="preserve"> to build, while a block of apartments </w:t>
      </w:r>
      <w:r w:rsidR="00CD6FCC" w:rsidRPr="009C0EA0">
        <w:t xml:space="preserve">took </w:t>
      </w:r>
      <w:r w:rsidR="00EA1E69" w:rsidRPr="009C0EA0">
        <w:t xml:space="preserve">over </w:t>
      </w:r>
      <w:r w:rsidR="0013653D" w:rsidRPr="009C0EA0">
        <w:t>24</w:t>
      </w:r>
      <w:r w:rsidR="004011F1" w:rsidRPr="009C0EA0">
        <w:t xml:space="preserve"> months</w:t>
      </w:r>
      <w:r w:rsidR="00F40D63" w:rsidRPr="009C0EA0">
        <w:t xml:space="preserve"> to complete.</w:t>
      </w:r>
      <w:r w:rsidR="00006238" w:rsidRPr="009C0EA0">
        <w:rPr>
          <w:rStyle w:val="FootnoteReference"/>
        </w:rPr>
        <w:footnoteReference w:id="17"/>
      </w:r>
      <w:r w:rsidR="003F6D26" w:rsidRPr="009C0EA0">
        <w:t xml:space="preserve"> </w:t>
      </w:r>
      <w:r w:rsidR="00327E2A" w:rsidRPr="009C0EA0">
        <w:t>S</w:t>
      </w:r>
      <w:r w:rsidR="00EE67C7" w:rsidRPr="009C0EA0">
        <w:t xml:space="preserve">tructural factors influence the speed at which new housing </w:t>
      </w:r>
      <w:r w:rsidR="00B75011" w:rsidRPr="009C0EA0">
        <w:t>can be supplied</w:t>
      </w:r>
      <w:r w:rsidR="00AB6E4D" w:rsidRPr="009C0EA0">
        <w:t>, with</w:t>
      </w:r>
      <w:r w:rsidR="003F6D26" w:rsidRPr="009C0EA0">
        <w:t xml:space="preserve"> </w:t>
      </w:r>
      <w:r w:rsidR="00AB6E4D" w:rsidRPr="009C0EA0">
        <w:t>p</w:t>
      </w:r>
      <w:r w:rsidR="00F40D63" w:rsidRPr="009C0EA0">
        <w:t>lanning and approval</w:t>
      </w:r>
      <w:r w:rsidR="00771413" w:rsidRPr="009C0EA0">
        <w:t>s</w:t>
      </w:r>
      <w:r w:rsidR="00F40D63" w:rsidRPr="009C0EA0">
        <w:t xml:space="preserve"> </w:t>
      </w:r>
      <w:r w:rsidR="00626EF8" w:rsidRPr="009C0EA0">
        <w:t xml:space="preserve">to release land </w:t>
      </w:r>
      <w:r w:rsidR="00D23757" w:rsidRPr="009C0EA0">
        <w:t xml:space="preserve">necessary </w:t>
      </w:r>
      <w:r w:rsidR="00EA32B8" w:rsidRPr="009C0EA0">
        <w:t>for</w:t>
      </w:r>
      <w:r w:rsidR="00D23757" w:rsidRPr="009C0EA0">
        <w:t xml:space="preserve"> construction to take place.</w:t>
      </w:r>
      <w:r w:rsidR="00CC7785" w:rsidRPr="009C0EA0">
        <w:t xml:space="preserve"> These are often delayed</w:t>
      </w:r>
      <w:r w:rsidR="00B35F96" w:rsidRPr="009C0EA0">
        <w:t>,</w:t>
      </w:r>
      <w:r w:rsidR="00CC7785" w:rsidRPr="009C0EA0">
        <w:t xml:space="preserve"> and </w:t>
      </w:r>
      <w:r w:rsidR="00C5386F" w:rsidRPr="009C0EA0">
        <w:t>timing can</w:t>
      </w:r>
      <w:r w:rsidR="00CC7785" w:rsidRPr="009C0EA0">
        <w:t xml:space="preserve"> </w:t>
      </w:r>
      <w:r w:rsidR="008F2A85" w:rsidRPr="009C0EA0">
        <w:t>vary significantly between state and territory jurisdictions.</w:t>
      </w:r>
      <w:r w:rsidR="00F6511E" w:rsidRPr="009C0EA0">
        <w:t xml:space="preserve"> </w:t>
      </w:r>
      <w:r w:rsidR="0008272B" w:rsidRPr="009C0EA0">
        <w:t>In addition</w:t>
      </w:r>
      <w:r w:rsidR="0008272B" w:rsidRPr="009C0EA0" w:rsidDel="00AD6521">
        <w:t>,</w:t>
      </w:r>
      <w:r w:rsidR="0008272B" w:rsidRPr="009C0EA0">
        <w:t xml:space="preserve"> </w:t>
      </w:r>
      <w:r w:rsidR="00770C0C" w:rsidRPr="009C0EA0">
        <w:t xml:space="preserve">planning and zoning </w:t>
      </w:r>
      <w:r w:rsidR="0008272B" w:rsidRPr="009C0EA0">
        <w:t>processes,</w:t>
      </w:r>
      <w:r w:rsidR="00770C0C" w:rsidRPr="009C0EA0">
        <w:t xml:space="preserve"> the capacity and productivity of the construction sector</w:t>
      </w:r>
      <w:r w:rsidR="000A3ECB" w:rsidRPr="009C0EA0">
        <w:t xml:space="preserve"> </w:t>
      </w:r>
      <w:r w:rsidR="001E45C1" w:rsidRPr="009C0EA0">
        <w:t xml:space="preserve">and </w:t>
      </w:r>
      <w:r w:rsidR="00AD6386" w:rsidRPr="009C0EA0">
        <w:t>expensive</w:t>
      </w:r>
      <w:r w:rsidR="001E45C1" w:rsidRPr="009C0EA0">
        <w:t xml:space="preserve"> </w:t>
      </w:r>
      <w:r w:rsidR="0008272B" w:rsidRPr="009C0EA0">
        <w:t>materials</w:t>
      </w:r>
      <w:r w:rsidR="001E45C1" w:rsidRPr="009C0EA0">
        <w:t xml:space="preserve"> costs </w:t>
      </w:r>
      <w:r w:rsidR="0097414E" w:rsidRPr="009C0EA0">
        <w:t xml:space="preserve">can </w:t>
      </w:r>
      <w:r w:rsidR="00F6511E" w:rsidRPr="009C0EA0">
        <w:t>further slow</w:t>
      </w:r>
      <w:r w:rsidR="00554865" w:rsidRPr="009C0EA0">
        <w:t xml:space="preserve"> the pace of </w:t>
      </w:r>
      <w:r w:rsidR="004E45E0" w:rsidRPr="009C0EA0">
        <w:t>housing</w:t>
      </w:r>
      <w:r w:rsidR="001E45C1" w:rsidRPr="009C0EA0">
        <w:t xml:space="preserve"> construction.</w:t>
      </w:r>
      <w:r w:rsidR="00E92E9E" w:rsidRPr="009C0EA0">
        <w:t xml:space="preserve"> </w:t>
      </w:r>
    </w:p>
    <w:p w14:paraId="636B89FE" w14:textId="77777777" w:rsidR="005600EB" w:rsidRPr="009C0EA0" w:rsidRDefault="005600EB">
      <w:pPr>
        <w:spacing w:before="0" w:after="160" w:line="259" w:lineRule="auto"/>
      </w:pPr>
      <w:r w:rsidRPr="009C0EA0">
        <w:br w:type="page"/>
      </w:r>
    </w:p>
    <w:p w14:paraId="546063BD" w14:textId="6CAA7C32" w:rsidR="002F076E" w:rsidRPr="009C0EA0" w:rsidRDefault="002F076E" w:rsidP="00BF56AC">
      <w:r w:rsidRPr="009C0EA0">
        <w:lastRenderedPageBreak/>
        <w:t>This relationship between supply and prices means that accelerating new supply will help to lower prices and ease affordability pressures. This is supported by empirical research which shows that:</w:t>
      </w:r>
      <w:r w:rsidR="00462BD5" w:rsidRPr="009C0EA0">
        <w:rPr>
          <w:rStyle w:val="FootnoteReference"/>
        </w:rPr>
        <w:footnoteReference w:id="18"/>
      </w:r>
    </w:p>
    <w:p w14:paraId="10DF2753" w14:textId="77777777" w:rsidR="002F076E" w:rsidRPr="009C0EA0" w:rsidRDefault="002F076E" w:rsidP="002F076E">
      <w:pPr>
        <w:pStyle w:val="Bullet"/>
      </w:pPr>
      <w:r w:rsidRPr="009C0EA0">
        <w:t xml:space="preserve"> OECD countries that built more housing between 1990 to 2015 experienced lower growth in real house prices;</w:t>
      </w:r>
      <w:r w:rsidRPr="009C0EA0">
        <w:rPr>
          <w:rStyle w:val="FootnoteReference"/>
        </w:rPr>
        <w:footnoteReference w:id="19"/>
      </w:r>
      <w:r w:rsidRPr="009C0EA0">
        <w:t xml:space="preserve"> </w:t>
      </w:r>
    </w:p>
    <w:p w14:paraId="5BF45093" w14:textId="001F4FBD" w:rsidR="002F076E" w:rsidRPr="009C0EA0" w:rsidRDefault="002F076E" w:rsidP="002F076E">
      <w:pPr>
        <w:pStyle w:val="Bullet"/>
      </w:pPr>
      <w:r w:rsidRPr="009C0EA0">
        <w:t>Adding an extra 50,000 homes a year for a decade could reduce house prices up to 20</w:t>
      </w:r>
      <w:r w:rsidR="0079584A" w:rsidRPr="009C0EA0">
        <w:t> per cent</w:t>
      </w:r>
      <w:r w:rsidRPr="009C0EA0">
        <w:t>;</w:t>
      </w:r>
      <w:r w:rsidRPr="009C0EA0">
        <w:rPr>
          <w:rStyle w:val="FootnoteReference"/>
        </w:rPr>
        <w:footnoteReference w:id="20"/>
      </w:r>
    </w:p>
    <w:p w14:paraId="46C404CC" w14:textId="0BF6FE81" w:rsidR="002F076E" w:rsidRPr="009C0EA0" w:rsidRDefault="002F076E" w:rsidP="005D53BB">
      <w:pPr>
        <w:pStyle w:val="Bullet"/>
      </w:pPr>
      <w:r w:rsidRPr="009C0EA0">
        <w:t>A 1</w:t>
      </w:r>
      <w:r w:rsidR="0079584A" w:rsidRPr="009C0EA0">
        <w:t> per cent</w:t>
      </w:r>
      <w:r w:rsidRPr="009C0EA0">
        <w:t xml:space="preserve"> increase in the stock of dwellings could lower house prices by 2.5</w:t>
      </w:r>
      <w:r w:rsidR="0079584A" w:rsidRPr="009C0EA0">
        <w:t> per cent</w:t>
      </w:r>
      <w:r w:rsidRPr="009C0EA0">
        <w:t>.</w:t>
      </w:r>
      <w:r w:rsidRPr="009C0EA0">
        <w:rPr>
          <w:rStyle w:val="FootnoteReference"/>
        </w:rPr>
        <w:footnoteReference w:id="21"/>
      </w:r>
    </w:p>
    <w:p w14:paraId="3F34101C" w14:textId="5DC09DEC" w:rsidR="009C52A0" w:rsidRPr="009C0EA0" w:rsidRDefault="001F6864" w:rsidP="00BF56AC">
      <w:pPr>
        <w:pStyle w:val="Heading3noTOC"/>
        <w:rPr>
          <w:bCs/>
        </w:rPr>
      </w:pPr>
      <w:r w:rsidRPr="009C0EA0">
        <w:t xml:space="preserve">Rates of construction </w:t>
      </w:r>
      <w:r w:rsidR="009B6E86" w:rsidRPr="009C0EA0">
        <w:t>need to be accelerated</w:t>
      </w:r>
      <w:r w:rsidR="006652A9" w:rsidRPr="009C0EA0">
        <w:t xml:space="preserve"> </w:t>
      </w:r>
    </w:p>
    <w:p w14:paraId="5943E2DF" w14:textId="30F022DB" w:rsidR="00150C56" w:rsidRPr="009C0EA0" w:rsidRDefault="005F3A51" w:rsidP="00BF56AC">
      <w:r w:rsidRPr="009C0EA0">
        <w:t>R</w:t>
      </w:r>
      <w:r w:rsidR="00150C56" w:rsidRPr="009C0EA0">
        <w:t xml:space="preserve">ates of construction are reducing the capacity of the market to respond to increased demand. Apartment, townhouse and detached house completion times </w:t>
      </w:r>
      <w:r w:rsidR="002F32C2" w:rsidRPr="009C0EA0">
        <w:t xml:space="preserve">increased </w:t>
      </w:r>
      <w:r w:rsidR="00150C56" w:rsidRPr="009C0EA0">
        <w:t>nationally</w:t>
      </w:r>
      <w:r w:rsidR="002F32C2" w:rsidRPr="009C0EA0">
        <w:t xml:space="preserve"> by</w:t>
      </w:r>
      <w:r w:rsidR="00150C56" w:rsidRPr="009C0EA0">
        <w:t xml:space="preserve"> 39</w:t>
      </w:r>
      <w:r w:rsidR="0079584A" w:rsidRPr="009C0EA0">
        <w:t> per cent</w:t>
      </w:r>
      <w:r w:rsidR="00150C56" w:rsidRPr="009C0EA0">
        <w:t>, 34</w:t>
      </w:r>
      <w:r w:rsidR="0079584A" w:rsidRPr="009C0EA0">
        <w:t> per cent</w:t>
      </w:r>
      <w:r w:rsidR="00150C56" w:rsidRPr="009C0EA0">
        <w:t xml:space="preserve"> and 42</w:t>
      </w:r>
      <w:r w:rsidR="0079584A" w:rsidRPr="009C0EA0">
        <w:t> per cent</w:t>
      </w:r>
      <w:r w:rsidR="00150C56" w:rsidRPr="009C0EA0">
        <w:t xml:space="preserve"> respectively over the </w:t>
      </w:r>
      <w:r w:rsidR="0020124E" w:rsidRPr="009C0EA0">
        <w:t>10</w:t>
      </w:r>
      <w:r w:rsidR="0004287B">
        <w:noBreakHyphen/>
      </w:r>
      <w:r w:rsidR="00150C56" w:rsidRPr="009C0EA0">
        <w:t>year period to 2022</w:t>
      </w:r>
      <w:r w:rsidR="00C364FB" w:rsidRPr="009C0EA0">
        <w:t>–</w:t>
      </w:r>
      <w:r w:rsidR="00150C56" w:rsidRPr="009C0EA0">
        <w:t>23.</w:t>
      </w:r>
      <w:r w:rsidR="00150C56" w:rsidRPr="009C0EA0">
        <w:rPr>
          <w:rStyle w:val="FootnoteReference"/>
        </w:rPr>
        <w:footnoteReference w:id="22"/>
      </w:r>
      <w:r w:rsidR="00150C56" w:rsidRPr="009C0EA0">
        <w:t xml:space="preserve"> Most of this increase is concentrated over the pandemic period, however there has been a relatively consistent upward trend in apartment construction times since 2018</w:t>
      </w:r>
      <w:r w:rsidR="00C364FB" w:rsidRPr="009C0EA0">
        <w:t>–</w:t>
      </w:r>
      <w:r w:rsidR="00150C56" w:rsidRPr="009C0EA0">
        <w:t>19</w:t>
      </w:r>
      <w:r w:rsidR="00247AED" w:rsidRPr="009C0EA0">
        <w:t xml:space="preserve">. </w:t>
      </w:r>
    </w:p>
    <w:p w14:paraId="4225760E" w14:textId="2DB76232" w:rsidR="00E13ADF" w:rsidRPr="009C0EA0" w:rsidRDefault="00150C56" w:rsidP="00150C56">
      <w:r w:rsidRPr="009C0EA0">
        <w:t xml:space="preserve">Modelling from the National </w:t>
      </w:r>
      <w:r w:rsidR="009F47EA" w:rsidRPr="009C0EA0">
        <w:t xml:space="preserve">Housing </w:t>
      </w:r>
      <w:r w:rsidRPr="009C0EA0">
        <w:t xml:space="preserve">Supply and Affordability Council </w:t>
      </w:r>
      <w:r w:rsidR="00E20363" w:rsidRPr="009C0EA0">
        <w:t xml:space="preserve">shows </w:t>
      </w:r>
      <w:r w:rsidR="00D77BA9" w:rsidRPr="009C0EA0">
        <w:t>Australia</w:t>
      </w:r>
      <w:r w:rsidR="0004287B">
        <w:t>’</w:t>
      </w:r>
      <w:r w:rsidR="00D77BA9" w:rsidRPr="009C0EA0">
        <w:t>s</w:t>
      </w:r>
      <w:r w:rsidR="008D7711" w:rsidRPr="009C0EA0">
        <w:t xml:space="preserve"> </w:t>
      </w:r>
      <w:r w:rsidR="0050745A" w:rsidRPr="009C0EA0">
        <w:t xml:space="preserve">existing </w:t>
      </w:r>
      <w:r w:rsidR="00806431" w:rsidRPr="009C0EA0">
        <w:t>unmet</w:t>
      </w:r>
      <w:r w:rsidR="0050745A" w:rsidRPr="009C0EA0">
        <w:t xml:space="preserve"> demand for housing will </w:t>
      </w:r>
      <w:r w:rsidR="006102E2" w:rsidRPr="009C0EA0">
        <w:t xml:space="preserve">not be </w:t>
      </w:r>
      <w:r w:rsidR="00336133" w:rsidRPr="009C0EA0">
        <w:t>satisfied</w:t>
      </w:r>
      <w:r w:rsidR="00FE41F7" w:rsidRPr="009C0EA0">
        <w:t xml:space="preserve"> unless </w:t>
      </w:r>
      <w:r w:rsidR="00D2379D" w:rsidRPr="009C0EA0">
        <w:t>t</w:t>
      </w:r>
      <w:r w:rsidR="00FE41F7" w:rsidRPr="009C0EA0">
        <w:t>he responsiveness of supply to demand</w:t>
      </w:r>
      <w:r w:rsidR="00D2379D" w:rsidRPr="009C0EA0">
        <w:t xml:space="preserve"> is improved.</w:t>
      </w:r>
      <w:r w:rsidRPr="009C0EA0">
        <w:t xml:space="preserve"> Over the Council</w:t>
      </w:r>
      <w:r w:rsidR="0004287B">
        <w:t>’</w:t>
      </w:r>
      <w:r w:rsidRPr="009C0EA0">
        <w:t>s 6</w:t>
      </w:r>
      <w:r w:rsidR="0004287B">
        <w:noBreakHyphen/>
      </w:r>
      <w:r w:rsidRPr="009C0EA0">
        <w:t>year projection horizon, new market demand is expected to exceed new market supply by around 39,000 dwellings.</w:t>
      </w:r>
      <w:r w:rsidRPr="009C0EA0">
        <w:rPr>
          <w:rStyle w:val="FootnoteReference"/>
        </w:rPr>
        <w:footnoteReference w:id="23"/>
      </w:r>
      <w:r w:rsidRPr="009C0EA0">
        <w:t xml:space="preserve"> </w:t>
      </w:r>
      <w:r w:rsidR="007F1509" w:rsidRPr="009C0EA0">
        <w:t xml:space="preserve">While new </w:t>
      </w:r>
      <w:r w:rsidR="00757C66" w:rsidRPr="009C0EA0">
        <w:t xml:space="preserve">supply and new demand will roughly be in balance </w:t>
      </w:r>
      <w:r w:rsidR="00614CFC" w:rsidRPr="009C0EA0">
        <w:t>from the 2026</w:t>
      </w:r>
      <w:r w:rsidR="00C364FB" w:rsidRPr="009C0EA0">
        <w:t>–</w:t>
      </w:r>
      <w:r w:rsidR="00614CFC" w:rsidRPr="009C0EA0">
        <w:t xml:space="preserve">27 </w:t>
      </w:r>
      <w:r w:rsidR="00C61669" w:rsidRPr="009C0EA0">
        <w:t>financial year onwards</w:t>
      </w:r>
      <w:r w:rsidR="00655A78" w:rsidRPr="009C0EA0">
        <w:t xml:space="preserve">, this suggests </w:t>
      </w:r>
      <w:r w:rsidR="00D817F1" w:rsidRPr="009C0EA0">
        <w:t xml:space="preserve">that </w:t>
      </w:r>
      <w:r w:rsidR="00865BBE" w:rsidRPr="009C0EA0">
        <w:t xml:space="preserve">without </w:t>
      </w:r>
      <w:r w:rsidR="00E54266" w:rsidRPr="009C0EA0">
        <w:t>concerted action to reduce barriers to new supply, Australia</w:t>
      </w:r>
      <w:r w:rsidR="0004287B">
        <w:t>’</w:t>
      </w:r>
      <w:r w:rsidR="00E54266" w:rsidRPr="009C0EA0">
        <w:t>s excess demand for housing will continue to go unmet.</w:t>
      </w:r>
      <w:r w:rsidR="000E2A5C" w:rsidRPr="009C0EA0" w:rsidDel="000E2A5C">
        <w:t xml:space="preserve"> </w:t>
      </w:r>
    </w:p>
    <w:p w14:paraId="4B6BCBA1" w14:textId="77777777" w:rsidR="00ED08E1" w:rsidRPr="009C0EA0" w:rsidRDefault="00ED08E1">
      <w:pPr>
        <w:spacing w:before="0" w:after="160" w:line="259" w:lineRule="auto"/>
        <w:rPr>
          <w:rFonts w:ascii="Arial Bold" w:hAnsi="Arial Bold"/>
          <w:b/>
          <w:sz w:val="22"/>
        </w:rPr>
      </w:pPr>
      <w:bookmarkStart w:id="41" w:name="_Toc166159063"/>
      <w:r w:rsidRPr="009C0EA0">
        <w:br w:type="page"/>
      </w:r>
    </w:p>
    <w:p w14:paraId="3F544334" w14:textId="59E89A14" w:rsidR="006410FB" w:rsidRPr="009C0EA0" w:rsidRDefault="009B6E86" w:rsidP="000E12D6">
      <w:pPr>
        <w:pStyle w:val="Heading3"/>
      </w:pPr>
      <w:bookmarkStart w:id="42" w:name="_Toc166253967"/>
      <w:bookmarkStart w:id="43" w:name="_Toc166355547"/>
      <w:r w:rsidRPr="009C0EA0">
        <w:lastRenderedPageBreak/>
        <w:t xml:space="preserve">Faster planning and zoning approval processes can help </w:t>
      </w:r>
      <w:r w:rsidR="000C438E" w:rsidRPr="009C0EA0">
        <w:t>unlock supply</w:t>
      </w:r>
      <w:bookmarkEnd w:id="41"/>
      <w:bookmarkEnd w:id="42"/>
      <w:bookmarkEnd w:id="43"/>
    </w:p>
    <w:p w14:paraId="056C0FDF" w14:textId="3BFF8C02" w:rsidR="00CF0ADC" w:rsidRPr="009C0EA0" w:rsidRDefault="00CF0ADC" w:rsidP="00BF56AC">
      <w:r w:rsidRPr="009C0EA0">
        <w:t xml:space="preserve">Planning and zoning restrictions can limit the speed at which land </w:t>
      </w:r>
      <w:r w:rsidR="006E18D9" w:rsidRPr="009C0EA0">
        <w:t>is</w:t>
      </w:r>
      <w:r w:rsidRPr="009C0EA0">
        <w:t xml:space="preserve"> made available for development. </w:t>
      </w:r>
      <w:r w:rsidR="008738CC" w:rsidRPr="009C0EA0">
        <w:t>Development application processes</w:t>
      </w:r>
      <w:r w:rsidR="00CA2DDD" w:rsidRPr="009C0EA0">
        <w:t xml:space="preserve"> </w:t>
      </w:r>
      <w:r w:rsidR="00DF1C41" w:rsidRPr="009C0EA0">
        <w:t>grant</w:t>
      </w:r>
      <w:r w:rsidR="00354EE2" w:rsidRPr="009C0EA0">
        <w:t xml:space="preserve"> approval</w:t>
      </w:r>
      <w:r w:rsidR="00DF1C41" w:rsidRPr="009C0EA0">
        <w:t>s</w:t>
      </w:r>
      <w:r w:rsidR="00354EE2" w:rsidRPr="009C0EA0">
        <w:t xml:space="preserve"> for land </w:t>
      </w:r>
      <w:r w:rsidR="007732D9" w:rsidRPr="009C0EA0">
        <w:t>to be released for development</w:t>
      </w:r>
      <w:r w:rsidR="00EC0F22" w:rsidRPr="009C0EA0">
        <w:t xml:space="preserve">, </w:t>
      </w:r>
      <w:r w:rsidR="00493119" w:rsidRPr="009C0EA0">
        <w:t xml:space="preserve">often at the local government level. </w:t>
      </w:r>
      <w:r w:rsidR="004210AB" w:rsidRPr="009C0EA0">
        <w:t>Delays</w:t>
      </w:r>
      <w:r w:rsidR="00182F46" w:rsidRPr="009C0EA0">
        <w:t xml:space="preserve"> in assessment timelines </w:t>
      </w:r>
      <w:r w:rsidR="00E72D0E" w:rsidRPr="009C0EA0">
        <w:t>can</w:t>
      </w:r>
      <w:r w:rsidR="002F0CD8" w:rsidRPr="009C0EA0">
        <w:t xml:space="preserve"> </w:t>
      </w:r>
      <w:r w:rsidR="00182F46" w:rsidRPr="009C0EA0">
        <w:t>increase cost and uncertainty for developers.</w:t>
      </w:r>
      <w:r w:rsidR="00D16550" w:rsidRPr="009C0EA0">
        <w:rPr>
          <w:rStyle w:val="FootnoteReference"/>
        </w:rPr>
        <w:footnoteReference w:id="24"/>
      </w:r>
      <w:r w:rsidR="00A57E05" w:rsidRPr="009C0EA0">
        <w:t xml:space="preserve"> For example, longer </w:t>
      </w:r>
      <w:r w:rsidR="00A03798" w:rsidRPr="009C0EA0">
        <w:t>approval</w:t>
      </w:r>
      <w:r w:rsidR="00A57E05" w:rsidRPr="009C0EA0">
        <w:t xml:space="preserve"> timeframes may be</w:t>
      </w:r>
      <w:r w:rsidR="00D74195" w:rsidRPr="009C0EA0">
        <w:t xml:space="preserve"> indicative of aversion to new development in a particular area</w:t>
      </w:r>
      <w:r w:rsidR="00BD29DB" w:rsidRPr="009C0EA0">
        <w:t>, particularly for larger developments</w:t>
      </w:r>
      <w:r w:rsidR="00D74195" w:rsidRPr="009C0EA0">
        <w:t>.</w:t>
      </w:r>
      <w:r w:rsidR="00A318D5" w:rsidRPr="009C0EA0">
        <w:rPr>
          <w:rStyle w:val="FootnoteReference"/>
        </w:rPr>
        <w:footnoteReference w:id="25"/>
      </w:r>
      <w:r w:rsidR="00493119" w:rsidRPr="009C0EA0">
        <w:t xml:space="preserve"> </w:t>
      </w:r>
      <w:r w:rsidRPr="009C0EA0">
        <w:t xml:space="preserve">Average observed approval times for development application decisions vary by state, with Victoria and New South Wales experiencing the longest </w:t>
      </w:r>
      <w:r w:rsidR="00807CE3" w:rsidRPr="009C0EA0">
        <w:t>average</w:t>
      </w:r>
      <w:r w:rsidRPr="009C0EA0">
        <w:t xml:space="preserve"> approval wait times a</w:t>
      </w:r>
      <w:r w:rsidR="00AC6A3F" w:rsidRPr="009C0EA0">
        <w:t>t</w:t>
      </w:r>
      <w:r w:rsidRPr="009C0EA0">
        <w:t xml:space="preserve"> 1</w:t>
      </w:r>
      <w:r w:rsidR="00795A82" w:rsidRPr="009C0EA0">
        <w:t>43.6</w:t>
      </w:r>
      <w:r w:rsidRPr="009C0EA0">
        <w:t xml:space="preserve"> and 114 days respectively</w:t>
      </w:r>
      <w:r w:rsidR="00795A82" w:rsidRPr="009C0EA0">
        <w:t xml:space="preserve"> as at 8</w:t>
      </w:r>
      <w:r w:rsidR="00536DAD" w:rsidRPr="009C0EA0">
        <w:t> May </w:t>
      </w:r>
      <w:r w:rsidR="00795A82" w:rsidRPr="009C0EA0">
        <w:t>2024</w:t>
      </w:r>
      <w:r w:rsidRPr="009C0EA0">
        <w:t>.</w:t>
      </w:r>
      <w:r w:rsidRPr="009C0EA0">
        <w:rPr>
          <w:rStyle w:val="FootnoteReference"/>
        </w:rPr>
        <w:footnoteReference w:id="26"/>
      </w:r>
      <w:r w:rsidRPr="009C0EA0">
        <w:t xml:space="preserve"> </w:t>
      </w:r>
      <w:r w:rsidR="006E30EF" w:rsidRPr="009C0EA0">
        <w:t>L</w:t>
      </w:r>
      <w:r w:rsidR="00A03798" w:rsidRPr="009C0EA0">
        <w:t>en</w:t>
      </w:r>
      <w:r w:rsidR="006E30EF" w:rsidRPr="009C0EA0">
        <w:t>g</w:t>
      </w:r>
      <w:r w:rsidR="00A03798" w:rsidRPr="009C0EA0">
        <w:t>thy</w:t>
      </w:r>
      <w:r w:rsidR="006E30EF" w:rsidRPr="009C0EA0">
        <w:t xml:space="preserve"> approval timeframes</w:t>
      </w:r>
      <w:r w:rsidRPr="009C0EA0">
        <w:t xml:space="preserve"> can increase effective development times for new dwellings and</w:t>
      </w:r>
      <w:r w:rsidR="006E30EF" w:rsidRPr="009C0EA0">
        <w:t xml:space="preserve"> </w:t>
      </w:r>
      <w:r w:rsidR="00023B02" w:rsidRPr="009C0EA0">
        <w:t xml:space="preserve">limit </w:t>
      </w:r>
      <w:r w:rsidR="003D678F" w:rsidRPr="009C0EA0">
        <w:t>the responsiveness of housing supply to demand.</w:t>
      </w:r>
    </w:p>
    <w:p w14:paraId="5A0A43D2" w14:textId="2F0B9069" w:rsidR="006410FB" w:rsidRPr="009C0EA0" w:rsidRDefault="009B6E86" w:rsidP="00BF56AC">
      <w:pPr>
        <w:pStyle w:val="Heading3"/>
      </w:pPr>
      <w:bookmarkStart w:id="46" w:name="_Toc166159064"/>
      <w:bookmarkStart w:id="47" w:name="_Toc166253968"/>
      <w:bookmarkStart w:id="48" w:name="_Toc166355548"/>
      <w:r w:rsidRPr="009C0EA0">
        <w:t>Planning and zoning processes should</w:t>
      </w:r>
      <w:r w:rsidR="00E72D0E" w:rsidRPr="009C0EA0">
        <w:t xml:space="preserve"> </w:t>
      </w:r>
      <w:r w:rsidR="000C438E" w:rsidRPr="009C0EA0">
        <w:t>f</w:t>
      </w:r>
      <w:r w:rsidRPr="009C0EA0">
        <w:t>ocus on ensuring housing is delivered where</w:t>
      </w:r>
      <w:r w:rsidR="00D832C9" w:rsidRPr="009C0EA0">
        <w:t xml:space="preserve"> </w:t>
      </w:r>
      <w:r w:rsidRPr="009C0EA0">
        <w:t>it</w:t>
      </w:r>
      <w:r w:rsidR="00D832C9" w:rsidRPr="009C0EA0">
        <w:t xml:space="preserve"> is needed</w:t>
      </w:r>
      <w:bookmarkEnd w:id="46"/>
      <w:bookmarkEnd w:id="47"/>
      <w:bookmarkEnd w:id="48"/>
    </w:p>
    <w:p w14:paraId="7E653A74" w14:textId="5C5867B9" w:rsidR="00834524" w:rsidRPr="009C0EA0" w:rsidRDefault="006C1181" w:rsidP="00B024D4">
      <w:r w:rsidRPr="009C0EA0">
        <w:t>Planning and zoning restrictions divert additional housing away from well</w:t>
      </w:r>
      <w:r w:rsidR="0004287B">
        <w:noBreakHyphen/>
      </w:r>
      <w:r w:rsidRPr="009C0EA0">
        <w:t xml:space="preserve">located areas where demand is greatest. </w:t>
      </w:r>
      <w:r w:rsidR="00C52A0C" w:rsidRPr="009C0EA0">
        <w:t>Medium</w:t>
      </w:r>
      <w:r w:rsidR="0004287B">
        <w:noBreakHyphen/>
      </w:r>
      <w:r w:rsidR="00C52A0C" w:rsidRPr="009C0EA0">
        <w:t xml:space="preserve"> to high</w:t>
      </w:r>
      <w:r w:rsidR="0004287B">
        <w:noBreakHyphen/>
      </w:r>
      <w:r w:rsidR="00C52A0C" w:rsidRPr="009C0EA0">
        <w:t xml:space="preserve">density housing in urbanised areas is necessary </w:t>
      </w:r>
      <w:r w:rsidR="00887F8E" w:rsidRPr="009C0EA0">
        <w:t>to ensure</w:t>
      </w:r>
      <w:r w:rsidR="00C52A0C" w:rsidRPr="009C0EA0">
        <w:t xml:space="preserve"> Australia</w:t>
      </w:r>
      <w:r w:rsidR="0004287B">
        <w:t>’</w:t>
      </w:r>
      <w:r w:rsidR="00C52A0C" w:rsidRPr="009C0EA0">
        <w:t xml:space="preserve">s housing supply efficiently responds to demand. </w:t>
      </w:r>
      <w:r w:rsidR="00723529" w:rsidRPr="009C0EA0">
        <w:t>It</w:t>
      </w:r>
      <w:r w:rsidRPr="009C0EA0">
        <w:t xml:space="preserve"> offers a more efficient use of construction sector resources, can better cater to household location and amenity preferences and reduce demand pressures in inner</w:t>
      </w:r>
      <w:r w:rsidR="0004287B">
        <w:noBreakHyphen/>
      </w:r>
      <w:r w:rsidRPr="009C0EA0">
        <w:t xml:space="preserve">city locations. </w:t>
      </w:r>
    </w:p>
    <w:p w14:paraId="285121A9" w14:textId="670DDC73" w:rsidR="00B024D4" w:rsidRPr="009C0EA0" w:rsidRDefault="00B024D4" w:rsidP="00B024D4">
      <w:r w:rsidRPr="009C0EA0">
        <w:t>D</w:t>
      </w:r>
      <w:r w:rsidR="006C1181" w:rsidRPr="009C0EA0">
        <w:t xml:space="preserve">ense development in the </w:t>
      </w:r>
      <w:r w:rsidR="0004287B">
        <w:t>‘</w:t>
      </w:r>
      <w:r w:rsidR="006C1181" w:rsidRPr="009C0EA0">
        <w:t>missing middle</w:t>
      </w:r>
      <w:r w:rsidR="0004287B">
        <w:t>’</w:t>
      </w:r>
      <w:r w:rsidR="006C1181" w:rsidRPr="009C0EA0">
        <w:t xml:space="preserve"> of major Australian cities, where households can reside closer to jobs in areas with higher quality amenities and infrastructure, has been limited by </w:t>
      </w:r>
      <w:r w:rsidR="008D3167" w:rsidRPr="009C0EA0">
        <w:t>planning and zoning restrictions</w:t>
      </w:r>
      <w:r w:rsidR="006C1181" w:rsidRPr="009C0EA0">
        <w:t xml:space="preserve"> and slow release of infill land.</w:t>
      </w:r>
      <w:r w:rsidR="006C1181" w:rsidRPr="009C0EA0">
        <w:rPr>
          <w:rStyle w:val="FootnoteReference"/>
        </w:rPr>
        <w:footnoteReference w:id="27"/>
      </w:r>
      <w:r w:rsidR="006C1181" w:rsidRPr="009C0EA0">
        <w:t xml:space="preserve"> Using 2016 data, the gap between the cost of supplying a new apartment and its market value in Sydney was</w:t>
      </w:r>
      <w:r w:rsidR="005307F2" w:rsidRPr="009C0EA0">
        <w:t> </w:t>
      </w:r>
      <w:r w:rsidR="006C1181" w:rsidRPr="009C0EA0">
        <w:t>$355,000 (68</w:t>
      </w:r>
      <w:r w:rsidR="0079584A" w:rsidRPr="009C0EA0">
        <w:t> per cent</w:t>
      </w:r>
      <w:r w:rsidR="006C1181" w:rsidRPr="009C0EA0">
        <w:t xml:space="preserve"> of costs), $97,000 in Melbourne (20</w:t>
      </w:r>
      <w:r w:rsidR="0079584A" w:rsidRPr="009C0EA0">
        <w:t> per cent</w:t>
      </w:r>
      <w:r w:rsidR="006C1181" w:rsidRPr="009C0EA0">
        <w:t xml:space="preserve"> of costs) and $10,000 in Brisbane (2</w:t>
      </w:r>
      <w:r w:rsidR="0079584A" w:rsidRPr="009C0EA0">
        <w:t> per cent</w:t>
      </w:r>
      <w:r w:rsidR="006C1181" w:rsidRPr="009C0EA0">
        <w:t xml:space="preserve"> of costs).</w:t>
      </w:r>
      <w:r w:rsidR="006C1181" w:rsidRPr="009C0EA0">
        <w:rPr>
          <w:rStyle w:val="FootnoteReference"/>
        </w:rPr>
        <w:footnoteReference w:id="28"/>
      </w:r>
      <w:r w:rsidR="006C1181" w:rsidRPr="009C0EA0">
        <w:t xml:space="preserve"> These gaps are sustained by planning and zoning restrictions, which force additional development outwards rather than where demand is greatest. As a result, recent development has been concentrated in city fringes where detached dwellings are more likely to be constructed, particularly in Melbourne and Brisbane. </w:t>
      </w:r>
      <w:r w:rsidRPr="009C0EA0">
        <w:t>All jurisdictions except the A</w:t>
      </w:r>
      <w:r w:rsidR="00303884" w:rsidRPr="009C0EA0">
        <w:t xml:space="preserve">ustralian </w:t>
      </w:r>
      <w:r w:rsidRPr="009C0EA0">
        <w:t>C</w:t>
      </w:r>
      <w:r w:rsidR="00303884" w:rsidRPr="009C0EA0">
        <w:t xml:space="preserve">apital </w:t>
      </w:r>
      <w:r w:rsidRPr="009C0EA0">
        <w:t>T</w:t>
      </w:r>
      <w:r w:rsidR="00303884" w:rsidRPr="009C0EA0">
        <w:t>erritory</w:t>
      </w:r>
      <w:r w:rsidRPr="009C0EA0">
        <w:t xml:space="preserve"> </w:t>
      </w:r>
      <w:r w:rsidR="00786BF5" w:rsidRPr="009C0EA0">
        <w:t xml:space="preserve">have </w:t>
      </w:r>
      <w:r w:rsidRPr="009C0EA0">
        <w:t>approve</w:t>
      </w:r>
      <w:r w:rsidR="00786BF5" w:rsidRPr="009C0EA0">
        <w:t>d</w:t>
      </w:r>
      <w:r w:rsidRPr="009C0EA0">
        <w:t xml:space="preserve"> more </w:t>
      </w:r>
      <w:r w:rsidRPr="009C0EA0">
        <w:lastRenderedPageBreak/>
        <w:t>detached dwellings than townhouses and apartments</w:t>
      </w:r>
      <w:r w:rsidR="00E342C6" w:rsidRPr="009C0EA0">
        <w:t xml:space="preserve"> </w:t>
      </w:r>
      <w:r w:rsidR="00786BF5" w:rsidRPr="009C0EA0">
        <w:t>over the five years to</w:t>
      </w:r>
      <w:r w:rsidR="00536DAD" w:rsidRPr="009C0EA0">
        <w:t> March </w:t>
      </w:r>
      <w:r w:rsidR="000C4440" w:rsidRPr="009C0EA0">
        <w:t xml:space="preserve">2024 </w:t>
      </w:r>
      <w:r w:rsidR="00E342C6" w:rsidRPr="009C0EA0">
        <w:t>as a result</w:t>
      </w:r>
      <w:r w:rsidRPr="009C0EA0">
        <w:t>.</w:t>
      </w:r>
      <w:r w:rsidR="004A4499" w:rsidRPr="009C0EA0">
        <w:rPr>
          <w:rStyle w:val="FootnoteReference"/>
        </w:rPr>
        <w:footnoteReference w:id="29"/>
      </w:r>
    </w:p>
    <w:p w14:paraId="35FB373F" w14:textId="309E441C" w:rsidR="006C1181" w:rsidRPr="009C0EA0" w:rsidRDefault="006C1181" w:rsidP="006C1181">
      <w:r w:rsidRPr="009C0EA0">
        <w:t>Barriers to building homes in well</w:t>
      </w:r>
      <w:r w:rsidR="0004287B">
        <w:noBreakHyphen/>
      </w:r>
      <w:r w:rsidRPr="009C0EA0">
        <w:t xml:space="preserve">located areas not only reduce supply in areas of high demand </w:t>
      </w:r>
      <w:r w:rsidR="00621773" w:rsidRPr="009C0EA0">
        <w:t xml:space="preserve">and increase commute times </w:t>
      </w:r>
      <w:r w:rsidRPr="009C0EA0">
        <w:t>but make new and existing homes less affordable. Building new homes in greenfield areas requires new infrastructure, which can add to the time and cost of development</w:t>
      </w:r>
      <w:r w:rsidR="000D071B" w:rsidRPr="009C0EA0">
        <w:t>. For example,</w:t>
      </w:r>
      <w:r w:rsidR="00955AE5" w:rsidRPr="009C0EA0">
        <w:t xml:space="preserve"> infrastructure</w:t>
      </w:r>
      <w:r w:rsidR="000D071B" w:rsidRPr="009C0EA0">
        <w:t xml:space="preserve"> </w:t>
      </w:r>
      <w:r w:rsidR="00C43E02" w:rsidRPr="009C0EA0">
        <w:t>costs in some</w:t>
      </w:r>
      <w:r w:rsidRPr="009C0EA0">
        <w:t xml:space="preserve"> </w:t>
      </w:r>
      <w:r w:rsidR="00886690" w:rsidRPr="009C0EA0">
        <w:t>outer</w:t>
      </w:r>
      <w:r w:rsidR="0004287B">
        <w:noBreakHyphen/>
      </w:r>
      <w:r w:rsidR="00886690" w:rsidRPr="009C0EA0">
        <w:t xml:space="preserve">urban </w:t>
      </w:r>
      <w:r w:rsidR="00467653" w:rsidRPr="009C0EA0">
        <w:t xml:space="preserve">parts of Sydney </w:t>
      </w:r>
      <w:r w:rsidR="000F222B" w:rsidRPr="009C0EA0">
        <w:t xml:space="preserve">are </w:t>
      </w:r>
      <w:r w:rsidR="00224B20" w:rsidRPr="009C0EA0">
        <w:t xml:space="preserve">up to $75,000 higher </w:t>
      </w:r>
      <w:r w:rsidR="00716C82" w:rsidRPr="009C0EA0">
        <w:t xml:space="preserve">per dwelling </w:t>
      </w:r>
      <w:r w:rsidR="00224B20" w:rsidRPr="009C0EA0">
        <w:t>than for inner</w:t>
      </w:r>
      <w:r w:rsidR="0004287B">
        <w:noBreakHyphen/>
      </w:r>
      <w:r w:rsidR="00224B20" w:rsidRPr="009C0EA0">
        <w:t>city areas</w:t>
      </w:r>
      <w:r w:rsidR="007E4384" w:rsidRPr="009C0EA0">
        <w:t>.</w:t>
      </w:r>
      <w:r w:rsidR="00AA6C6F" w:rsidRPr="009C0EA0">
        <w:rPr>
          <w:rStyle w:val="FootnoteReference"/>
        </w:rPr>
        <w:footnoteReference w:id="30"/>
      </w:r>
    </w:p>
    <w:p w14:paraId="7974E184" w14:textId="67EC70FF" w:rsidR="000007AC" w:rsidRPr="009C0EA0" w:rsidRDefault="00E727EE" w:rsidP="000007AC">
      <w:r w:rsidRPr="009C0EA0">
        <w:t>Rezoning urban areas to allow greater density can increase the supply of housing. In</w:t>
      </w:r>
      <w:r w:rsidR="00B51673" w:rsidRPr="009C0EA0">
        <w:t> </w:t>
      </w:r>
      <w:r w:rsidRPr="009C0EA0">
        <w:t>2016,</w:t>
      </w:r>
      <w:r w:rsidR="005307F2" w:rsidRPr="009C0EA0">
        <w:t> </w:t>
      </w:r>
      <w:r w:rsidRPr="009C0EA0">
        <w:t xml:space="preserve">Auckland Council upzoned around three quarters of its residential land to permit </w:t>
      </w:r>
      <w:r w:rsidR="005C0B53" w:rsidRPr="009C0EA0">
        <w:t xml:space="preserve">higher maximum site coverage and height. This led to a significant increase in housing permits and </w:t>
      </w:r>
      <w:r w:rsidR="00723332" w:rsidRPr="009C0EA0">
        <w:t xml:space="preserve">construction in the upzoned areas, particularly in locations close to transport and employment opportunities, which contributed to </w:t>
      </w:r>
      <w:r w:rsidR="007363E4" w:rsidRPr="009C0EA0">
        <w:t xml:space="preserve">Auckland rents </w:t>
      </w:r>
      <w:r w:rsidR="002A64C0" w:rsidRPr="009C0EA0">
        <w:t xml:space="preserve">for </w:t>
      </w:r>
      <w:r w:rsidR="00367C24" w:rsidRPr="009C0EA0">
        <w:t>three</w:t>
      </w:r>
      <w:r w:rsidR="000007AC" w:rsidRPr="009C0EA0">
        <w:t xml:space="preserve"> bedroom dwellings being 22 to 35</w:t>
      </w:r>
      <w:r w:rsidR="0079584A" w:rsidRPr="009C0EA0">
        <w:t> per cent</w:t>
      </w:r>
      <w:r w:rsidR="000007AC" w:rsidRPr="009C0EA0">
        <w:t xml:space="preserve"> lower than they otherwise would have been six years on from the introduction of the policy.</w:t>
      </w:r>
      <w:r w:rsidR="000007AC" w:rsidRPr="009C0EA0">
        <w:rPr>
          <w:rStyle w:val="FootnoteReference"/>
        </w:rPr>
        <w:footnoteReference w:id="31"/>
      </w:r>
    </w:p>
    <w:p w14:paraId="00AE11E8" w14:textId="392D5CE0" w:rsidR="00C806E2" w:rsidRPr="009C0EA0" w:rsidRDefault="00C806E2" w:rsidP="000007AC">
      <w:r w:rsidRPr="009C0EA0">
        <w:t>It is also important that new medium</w:t>
      </w:r>
      <w:r w:rsidR="0004287B">
        <w:noBreakHyphen/>
      </w:r>
      <w:r w:rsidRPr="009C0EA0">
        <w:t>high density builds are constructed to a high quality, to maintain consumer confidence and ensure demand for higher density housing.</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9B5E45" w:rsidRPr="00B35D17" w14:paraId="4F9B0B45" w14:textId="77777777" w:rsidTr="00D376C5">
        <w:trPr>
          <w:cantSplit/>
        </w:trPr>
        <w:tc>
          <w:tcPr>
            <w:tcW w:w="5000" w:type="pct"/>
            <w:shd w:val="clear" w:color="auto" w:fill="E6F2FF"/>
          </w:tcPr>
          <w:p w14:paraId="75B5F4B9" w14:textId="32AA8ABC" w:rsidR="009B5E45" w:rsidRPr="009C0EA0" w:rsidRDefault="009B5E45" w:rsidP="00B9762F">
            <w:pPr>
              <w:pStyle w:val="BoxHeading"/>
            </w:pPr>
            <w:r w:rsidRPr="009C0EA0">
              <w:lastRenderedPageBreak/>
              <w:t>Box 4.</w:t>
            </w:r>
            <w:r w:rsidR="00DC1BDB" w:rsidRPr="009C0EA0">
              <w:t>5</w:t>
            </w:r>
            <w:r w:rsidRPr="009C0EA0">
              <w:t xml:space="preserve"> Government actions to </w:t>
            </w:r>
            <w:r w:rsidR="007862F9" w:rsidRPr="009C0EA0">
              <w:t>reform the planning system</w:t>
            </w:r>
          </w:p>
          <w:p w14:paraId="54CA0C19" w14:textId="77777777" w:rsidR="00D956F0" w:rsidRPr="009C0EA0" w:rsidRDefault="00C4524B" w:rsidP="00B9762F">
            <w:pPr>
              <w:pStyle w:val="BoxText"/>
            </w:pPr>
            <w:r w:rsidRPr="009C0EA0">
              <w:t xml:space="preserve">Planning and zoning decisions have a significant impact on the </w:t>
            </w:r>
            <w:r w:rsidR="004669D0" w:rsidRPr="009C0EA0">
              <w:t xml:space="preserve">rate of land release and where and </w:t>
            </w:r>
            <w:r w:rsidR="00D32BDC" w:rsidRPr="009C0EA0">
              <w:t>how quickly</w:t>
            </w:r>
            <w:r w:rsidR="004669D0" w:rsidRPr="009C0EA0">
              <w:t xml:space="preserve"> new housing supply can be built</w:t>
            </w:r>
            <w:r w:rsidR="00D32BDC" w:rsidRPr="009C0EA0">
              <w:t xml:space="preserve">. </w:t>
            </w:r>
          </w:p>
          <w:p w14:paraId="7A281F75" w14:textId="3919C72F" w:rsidR="00D956F0" w:rsidRPr="009C0EA0" w:rsidRDefault="00D956F0" w:rsidP="00B9762F">
            <w:pPr>
              <w:pStyle w:val="BoxText"/>
            </w:pPr>
            <w:r w:rsidRPr="009C0EA0">
              <w:t xml:space="preserve">To help the planning system more effectively facilitate the number of new homes needed, </w:t>
            </w:r>
            <w:r w:rsidR="00D10A07" w:rsidRPr="009C0EA0">
              <w:t>National Cabinet has agree</w:t>
            </w:r>
            <w:r w:rsidRPr="009C0EA0">
              <w:t>d the National Planning Reform Blueprint. The Blueprint brings state and territory planning ministers together to progress 17 reforms to deliver more homes, including:</w:t>
            </w:r>
          </w:p>
          <w:p w14:paraId="704BBF1E" w14:textId="77777777" w:rsidR="00D956F0" w:rsidRPr="009C0EA0" w:rsidRDefault="00D956F0" w:rsidP="00B9762F">
            <w:pPr>
              <w:pStyle w:val="BoxBullet"/>
            </w:pPr>
            <w:r w:rsidRPr="009C0EA0">
              <w:t xml:space="preserve"> Streamlining development approvals.</w:t>
            </w:r>
          </w:p>
          <w:p w14:paraId="24EFC63B" w14:textId="611E7007" w:rsidR="00D956F0" w:rsidRPr="009C0EA0" w:rsidRDefault="00D956F0" w:rsidP="00B9762F">
            <w:pPr>
              <w:pStyle w:val="BoxBullet"/>
            </w:pPr>
            <w:r w:rsidRPr="009C0EA0">
              <w:t>Identifying well</w:t>
            </w:r>
            <w:r w:rsidR="0004287B">
              <w:noBreakHyphen/>
            </w:r>
            <w:r w:rsidRPr="009C0EA0">
              <w:t>located development ready land.</w:t>
            </w:r>
          </w:p>
          <w:p w14:paraId="1D94814E" w14:textId="08ED124D" w:rsidR="00D956F0" w:rsidRPr="009C0EA0" w:rsidRDefault="00D956F0" w:rsidP="00B9762F">
            <w:pPr>
              <w:pStyle w:val="BoxBullet"/>
            </w:pPr>
            <w:r w:rsidRPr="009C0EA0">
              <w:t>Increasing housing density in target areas</w:t>
            </w:r>
            <w:r w:rsidR="006E2259">
              <w:t>.</w:t>
            </w:r>
            <w:r w:rsidRPr="009C0EA0">
              <w:t xml:space="preserve"> </w:t>
            </w:r>
          </w:p>
          <w:p w14:paraId="519695E8" w14:textId="6BAE4C17" w:rsidR="00B942F1" w:rsidRPr="009C0EA0" w:rsidRDefault="00D956F0" w:rsidP="00B9762F">
            <w:pPr>
              <w:pStyle w:val="BoxBullet"/>
            </w:pPr>
            <w:r w:rsidRPr="009C0EA0">
              <w:t>Identifying how housing can be built faster on sites with development approval but where development has not commenced (</w:t>
            </w:r>
            <w:r w:rsidR="00C507C8" w:rsidRPr="009C0EA0">
              <w:t>i.e.</w:t>
            </w:r>
            <w:r w:rsidRPr="009C0EA0">
              <w:t xml:space="preserve"> activating </w:t>
            </w:r>
            <w:r w:rsidR="0004287B">
              <w:t>‘</w:t>
            </w:r>
            <w:r w:rsidRPr="009C0EA0">
              <w:t>zombie</w:t>
            </w:r>
            <w:r w:rsidR="0004287B">
              <w:t>’</w:t>
            </w:r>
            <w:r w:rsidRPr="009C0EA0">
              <w:t xml:space="preserve"> approvals)</w:t>
            </w:r>
            <w:r w:rsidR="006E2259">
              <w:t>.</w:t>
            </w:r>
          </w:p>
          <w:p w14:paraId="607A51A5" w14:textId="66127E02" w:rsidR="009B5E45" w:rsidRPr="00B35D17" w:rsidRDefault="00D956F0" w:rsidP="00B9762F">
            <w:pPr>
              <w:pStyle w:val="BoxBullet"/>
            </w:pPr>
            <w:r w:rsidRPr="009C0EA0">
              <w:t>Ensuring that state, regional and local strategic plans reflect their share of the national 1.2</w:t>
            </w:r>
            <w:r w:rsidR="00536DAD" w:rsidRPr="009C0EA0">
              <w:t> million</w:t>
            </w:r>
            <w:r w:rsidRPr="009C0EA0">
              <w:t xml:space="preserve"> new homes target. </w:t>
            </w:r>
          </w:p>
        </w:tc>
      </w:tr>
    </w:tbl>
    <w:p w14:paraId="288460F9" w14:textId="534A57AE" w:rsidR="0011487F" w:rsidRPr="009C0EA0" w:rsidRDefault="00FF0D25" w:rsidP="004D466C">
      <w:pPr>
        <w:pStyle w:val="Heading3"/>
      </w:pPr>
      <w:bookmarkStart w:id="49" w:name="_Toc166159065"/>
      <w:bookmarkStart w:id="50" w:name="_Toc166253969"/>
      <w:bookmarkStart w:id="51" w:name="_Toc166355549"/>
      <w:r w:rsidRPr="009C0EA0">
        <w:t xml:space="preserve">Action to </w:t>
      </w:r>
      <w:r w:rsidR="00A008B6" w:rsidRPr="009C0EA0">
        <w:t>make</w:t>
      </w:r>
      <w:r w:rsidRPr="009C0EA0">
        <w:t xml:space="preserve"> construction </w:t>
      </w:r>
      <w:r w:rsidR="00A008B6" w:rsidRPr="009C0EA0">
        <w:t>cheaper</w:t>
      </w:r>
      <w:r w:rsidRPr="009C0EA0">
        <w:t xml:space="preserve"> </w:t>
      </w:r>
      <w:r w:rsidR="003B1D5C" w:rsidRPr="009C0EA0">
        <w:t>will also help more homes be built</w:t>
      </w:r>
      <w:r w:rsidR="003F15E1" w:rsidRPr="009C0EA0">
        <w:t> </w:t>
      </w:r>
      <w:r w:rsidR="003B1D5C" w:rsidRPr="009C0EA0">
        <w:t>faster</w:t>
      </w:r>
      <w:bookmarkEnd w:id="49"/>
      <w:bookmarkEnd w:id="50"/>
      <w:bookmarkEnd w:id="51"/>
    </w:p>
    <w:p w14:paraId="38888740" w14:textId="4912DD13" w:rsidR="004001C1" w:rsidRPr="0032797C" w:rsidRDefault="008A5DA0" w:rsidP="0098542F">
      <w:r w:rsidRPr="009C0EA0">
        <w:t>G</w:t>
      </w:r>
      <w:r w:rsidR="007156B3" w:rsidRPr="009C0EA0">
        <w:t xml:space="preserve">lobal price shocks and supply constraints associated </w:t>
      </w:r>
      <w:r w:rsidR="00AD0FB1" w:rsidRPr="009C0EA0">
        <w:t>with COVID</w:t>
      </w:r>
      <w:r w:rsidR="0004287B">
        <w:noBreakHyphen/>
      </w:r>
      <w:r w:rsidR="00AD0FB1" w:rsidRPr="009C0EA0">
        <w:t>19</w:t>
      </w:r>
      <w:r w:rsidR="00303884" w:rsidRPr="009C0EA0">
        <w:t xml:space="preserve"> </w:t>
      </w:r>
      <w:r w:rsidR="00222579" w:rsidRPr="009C0EA0">
        <w:t>have added to the costs of construction</w:t>
      </w:r>
      <w:r w:rsidR="00C80089" w:rsidRPr="009C0EA0">
        <w:t xml:space="preserve">. </w:t>
      </w:r>
      <w:r w:rsidR="00057666" w:rsidRPr="009C0EA0">
        <w:t>Materials input costs</w:t>
      </w:r>
      <w:r w:rsidR="00D32DEC" w:rsidRPr="009C0EA0">
        <w:t xml:space="preserve">, as </w:t>
      </w:r>
      <w:r w:rsidRPr="009C0EA0">
        <w:t>captured in</w:t>
      </w:r>
      <w:r w:rsidR="00D32DEC" w:rsidRPr="009C0EA0">
        <w:t xml:space="preserve"> Producer Price Index</w:t>
      </w:r>
      <w:r w:rsidR="007A509A" w:rsidRPr="009C0EA0">
        <w:t>,</w:t>
      </w:r>
      <w:r w:rsidR="00057666" w:rsidRPr="009C0EA0">
        <w:t xml:space="preserve"> </w:t>
      </w:r>
      <w:r w:rsidR="002B20F7" w:rsidRPr="009C0EA0">
        <w:t>increased significantly</w:t>
      </w:r>
      <w:r w:rsidR="00CA132E" w:rsidRPr="009C0EA0">
        <w:t xml:space="preserve"> </w:t>
      </w:r>
      <w:r w:rsidR="008173E1" w:rsidRPr="009C0EA0">
        <w:t xml:space="preserve">over </w:t>
      </w:r>
      <w:r w:rsidR="00CA132E" w:rsidRPr="009C0EA0">
        <w:t xml:space="preserve">the pandemic, </w:t>
      </w:r>
      <w:r w:rsidR="008173E1" w:rsidRPr="009C0EA0">
        <w:t>including for</w:t>
      </w:r>
      <w:r w:rsidR="00CA132E" w:rsidRPr="009C0EA0">
        <w:t xml:space="preserve"> </w:t>
      </w:r>
      <w:r w:rsidR="000B3194" w:rsidRPr="009C0EA0">
        <w:t>timber, con</w:t>
      </w:r>
      <w:r w:rsidR="004B0D1A" w:rsidRPr="009C0EA0">
        <w:t>crete</w:t>
      </w:r>
      <w:r w:rsidR="00230145" w:rsidRPr="009C0EA0">
        <w:t>,</w:t>
      </w:r>
      <w:r w:rsidR="004B0D1A" w:rsidRPr="009C0EA0">
        <w:t xml:space="preserve"> and metal</w:t>
      </w:r>
      <w:r w:rsidR="00230145" w:rsidRPr="009C0EA0">
        <w:t xml:space="preserve"> products</w:t>
      </w:r>
      <w:r w:rsidR="00F22304" w:rsidRPr="009C0EA0">
        <w:t xml:space="preserve">. </w:t>
      </w:r>
      <w:r w:rsidR="004A4C48" w:rsidRPr="009C0EA0">
        <w:t>Alongside elevated labour costs, t</w:t>
      </w:r>
      <w:r w:rsidR="00D81F1D" w:rsidRPr="009C0EA0">
        <w:t>h</w:t>
      </w:r>
      <w:r w:rsidR="007A509A" w:rsidRPr="009C0EA0">
        <w:t>ese</w:t>
      </w:r>
      <w:r w:rsidR="00D81F1D" w:rsidRPr="009C0EA0">
        <w:t xml:space="preserve"> </w:t>
      </w:r>
      <w:r w:rsidR="00C12B50" w:rsidRPr="009C0EA0">
        <w:t xml:space="preserve">drove a sharp increase in the price of </w:t>
      </w:r>
      <w:r w:rsidR="009C4069">
        <w:t>building</w:t>
      </w:r>
      <w:r w:rsidR="009C4069" w:rsidRPr="009C0EA0">
        <w:t xml:space="preserve"> </w:t>
      </w:r>
      <w:r w:rsidR="00C12B50" w:rsidRPr="009C0EA0">
        <w:t>a new dwelling</w:t>
      </w:r>
      <w:r w:rsidR="00FD498E" w:rsidRPr="009C0EA0">
        <w:t>,</w:t>
      </w:r>
      <w:r w:rsidR="00786146" w:rsidRPr="009C0EA0">
        <w:t xml:space="preserve"> as measured in the Consumer Price Index</w:t>
      </w:r>
      <w:r w:rsidR="00B83170" w:rsidRPr="009C0EA0">
        <w:t xml:space="preserve">, which contributed to the </w:t>
      </w:r>
      <w:r w:rsidR="00DB1397" w:rsidRPr="009C0EA0">
        <w:t xml:space="preserve">sharp rise </w:t>
      </w:r>
      <w:r w:rsidR="00B83170" w:rsidRPr="009C0EA0">
        <w:t>in inflation</w:t>
      </w:r>
      <w:r w:rsidR="00C12B50" w:rsidRPr="009C0EA0">
        <w:t xml:space="preserve"> </w:t>
      </w:r>
      <w:r w:rsidR="006567D0" w:rsidRPr="009C0EA0">
        <w:t>(Chart</w:t>
      </w:r>
      <w:r w:rsidR="00E34557" w:rsidRPr="009C0EA0">
        <w:t> </w:t>
      </w:r>
      <w:r w:rsidR="006567D0" w:rsidRPr="009C0EA0">
        <w:t>4.</w:t>
      </w:r>
      <w:r w:rsidR="00DF3D62" w:rsidRPr="009C0EA0">
        <w:t>1</w:t>
      </w:r>
      <w:r w:rsidR="00615EED" w:rsidRPr="009C0EA0">
        <w:t>6</w:t>
      </w:r>
      <w:r w:rsidR="006567D0" w:rsidRPr="009C0EA0">
        <w:t>)</w:t>
      </w:r>
      <w:r w:rsidR="004001C1" w:rsidRPr="009C0EA0">
        <w:t>.</w:t>
      </w:r>
      <w:r w:rsidR="00EA753F" w:rsidRPr="009C0EA0">
        <w:t xml:space="preserve"> </w:t>
      </w:r>
      <w:r w:rsidR="00092527" w:rsidRPr="009C0EA0">
        <w:t xml:space="preserve">Although </w:t>
      </w:r>
      <w:r w:rsidR="00E5323C" w:rsidRPr="009C0EA0">
        <w:t xml:space="preserve">growth in </w:t>
      </w:r>
      <w:r w:rsidR="00DB1397" w:rsidRPr="009C0EA0">
        <w:t xml:space="preserve">construction </w:t>
      </w:r>
      <w:r w:rsidR="00B953A4" w:rsidRPr="009C0EA0">
        <w:t xml:space="preserve">costs </w:t>
      </w:r>
      <w:r w:rsidR="001B65BE" w:rsidRPr="009C0EA0">
        <w:t xml:space="preserve">for new dwellings </w:t>
      </w:r>
      <w:r w:rsidR="00B953A4" w:rsidRPr="009C0EA0">
        <w:t xml:space="preserve">have </w:t>
      </w:r>
      <w:r w:rsidR="00DB1397" w:rsidRPr="009C0EA0">
        <w:t>eased</w:t>
      </w:r>
      <w:r w:rsidR="00B953A4" w:rsidRPr="009C0EA0">
        <w:t>, they continue to grow</w:t>
      </w:r>
      <w:r w:rsidR="002678B7" w:rsidRPr="009C0EA0">
        <w:t xml:space="preserve"> from an already elevated level</w:t>
      </w:r>
      <w:r w:rsidR="00247AED" w:rsidRPr="009C0EA0">
        <w:t xml:space="preserve">. </w:t>
      </w:r>
    </w:p>
    <w:tbl>
      <w:tblPr>
        <w:tblW w:w="5000" w:type="pct"/>
        <w:tblLayout w:type="fixed"/>
        <w:tblLook w:val="0000" w:firstRow="0" w:lastRow="0" w:firstColumn="0" w:lastColumn="0" w:noHBand="0" w:noVBand="0"/>
      </w:tblPr>
      <w:tblGrid>
        <w:gridCol w:w="3855"/>
        <w:gridCol w:w="3855"/>
      </w:tblGrid>
      <w:tr w:rsidR="00085C20" w14:paraId="4A32C36F" w14:textId="77777777" w:rsidTr="00085C20">
        <w:trPr>
          <w:cantSplit/>
        </w:trPr>
        <w:tc>
          <w:tcPr>
            <w:tcW w:w="3912" w:type="dxa"/>
          </w:tcPr>
          <w:p w14:paraId="70E773A1" w14:textId="1EB95E11" w:rsidR="00085C20" w:rsidRPr="005513E2" w:rsidRDefault="00085C20" w:rsidP="005513E2">
            <w:pPr>
              <w:pStyle w:val="ChartHeading"/>
            </w:pPr>
            <w:r w:rsidRPr="009C0EA0">
              <w:lastRenderedPageBreak/>
              <w:t>Chart 4.1</w:t>
            </w:r>
            <w:r w:rsidR="00615EED" w:rsidRPr="009C0EA0">
              <w:t>6</w:t>
            </w:r>
            <w:r w:rsidRPr="009C0EA0">
              <w:t>: Residential construction costs and prices</w:t>
            </w:r>
          </w:p>
        </w:tc>
        <w:tc>
          <w:tcPr>
            <w:tcW w:w="3911" w:type="dxa"/>
          </w:tcPr>
          <w:p w14:paraId="7A4BD4E1" w14:textId="3BE4FF2A" w:rsidR="00085C20" w:rsidRDefault="00085C20" w:rsidP="00521FC7">
            <w:pPr>
              <w:pStyle w:val="ChartHeading"/>
            </w:pPr>
            <w:r w:rsidRPr="009C0EA0">
              <w:t>Chart 4.1</w:t>
            </w:r>
            <w:r w:rsidR="00615EED" w:rsidRPr="009C0EA0">
              <w:t>7</w:t>
            </w:r>
            <w:r w:rsidRPr="009C0EA0">
              <w:t>: Construction sector vacancies as a proportion of employment</w:t>
            </w:r>
          </w:p>
        </w:tc>
      </w:tr>
      <w:tr w:rsidR="00085C20" w14:paraId="30318522" w14:textId="77777777" w:rsidTr="0001512A">
        <w:trPr>
          <w:cantSplit/>
          <w:trHeight w:val="3839"/>
        </w:trPr>
        <w:tc>
          <w:tcPr>
            <w:tcW w:w="3912" w:type="dxa"/>
            <w:shd w:val="clear" w:color="auto" w:fill="FFFFFF" w:themeFill="background1"/>
          </w:tcPr>
          <w:p w14:paraId="461E268E" w14:textId="44B8FFA4" w:rsidR="00085C20" w:rsidRPr="0001512A" w:rsidRDefault="000417B6" w:rsidP="00512AED">
            <w:pPr>
              <w:pStyle w:val="ChartGraphic"/>
              <w:rPr>
                <w:color w:val="FFFFFF" w:themeColor="background1"/>
              </w:rPr>
            </w:pPr>
            <w:r>
              <w:rPr>
                <w:noProof/>
              </w:rPr>
              <w:pict w14:anchorId="2A4F7144">
                <v:shape id="_x0000_i1040" type="#_x0000_t75" alt="This chart shows the quarterly Producer Price Index and Consumer Price Index from the March quarter 2008 through to the March quarter 2024. The Producer Price Index and Consumer Price Index grew steadily through to mid-2021 from 90.2 and 91.3 respectively in March 2008. Both indexes have risen sharply from mid-2021, though growth has moderated in the Producer Price Index since mid-2023. As at the March quarter 2024, the Producer Price Index is 158.5 and the Consumer Price Index is 165.6." style="width:181.6pt;height:181.6pt">
                  <v:imagedata r:id="rId33" o:title=""/>
                </v:shape>
              </w:pict>
            </w:r>
          </w:p>
        </w:tc>
        <w:tc>
          <w:tcPr>
            <w:tcW w:w="3911" w:type="dxa"/>
            <w:shd w:val="clear" w:color="auto" w:fill="FFFFFF" w:themeFill="background1"/>
          </w:tcPr>
          <w:p w14:paraId="0DB9E922" w14:textId="7FB807E2" w:rsidR="00085C20" w:rsidRPr="00FB701C" w:rsidRDefault="000417B6" w:rsidP="00B832B7">
            <w:pPr>
              <w:pStyle w:val="ChartGraphic"/>
            </w:pPr>
            <w:r>
              <w:pict w14:anchorId="09398BE2">
                <v:shape id="_x0000_i1041" type="#_x0000_t75" alt="This chart shows construction industry vacancies as a proportion of total construction sector employment. Construction industry vacancies as a proportion of total construction sector employment grew from around 1.4 per cent in early 2010 to peak at around 3.4 per cent in mid-2022, before falling to be around 2.1 per cent in February 2024. The chart also shows pre-COVID decade long run averages of vacancies as a proportion of total construction sector employment which is 1.4 per cent." style="width:181.6pt;height:181.6pt">
                  <v:imagedata r:id="rId34" o:title=""/>
                </v:shape>
              </w:pict>
            </w:r>
          </w:p>
        </w:tc>
      </w:tr>
      <w:tr w:rsidR="00417CEE" w14:paraId="1D9662A7" w14:textId="77777777" w:rsidTr="00417CEE">
        <w:trPr>
          <w:cantSplit/>
          <w:trHeight w:val="567"/>
        </w:trPr>
        <w:tc>
          <w:tcPr>
            <w:tcW w:w="3912" w:type="dxa"/>
          </w:tcPr>
          <w:p w14:paraId="2326FC3C" w14:textId="6F587016" w:rsidR="00417CEE" w:rsidRPr="0032797C" w:rsidRDefault="00417CEE" w:rsidP="00417CEE">
            <w:pPr>
              <w:pStyle w:val="ChartandTableFootnote"/>
              <w:rPr>
                <w:b/>
              </w:rPr>
            </w:pPr>
            <w:r w:rsidRPr="0032797C">
              <w:t xml:space="preserve">Source: </w:t>
            </w:r>
            <w:r>
              <w:tab/>
            </w:r>
            <w:r w:rsidRPr="0032797C">
              <w:t xml:space="preserve">ABS Producer Price Index, ABS Consumer </w:t>
            </w:r>
            <w:r w:rsidRPr="00417CEE">
              <w:t>Price</w:t>
            </w:r>
            <w:r w:rsidRPr="0032797C">
              <w:t xml:space="preserve"> Index</w:t>
            </w:r>
          </w:p>
          <w:p w14:paraId="48BE1176" w14:textId="77777777" w:rsidR="00417CEE" w:rsidRPr="006A6C10" w:rsidRDefault="00417CEE" w:rsidP="000D65C8">
            <w:pPr>
              <w:pStyle w:val="ChartGraphic"/>
            </w:pPr>
          </w:p>
        </w:tc>
        <w:tc>
          <w:tcPr>
            <w:tcW w:w="3911" w:type="dxa"/>
          </w:tcPr>
          <w:p w14:paraId="751CF01C" w14:textId="2ED0DFBA" w:rsidR="00417CEE" w:rsidRDefault="00417CEE" w:rsidP="00417CEE">
            <w:pPr>
              <w:pStyle w:val="ChartandTableFootnote"/>
            </w:pPr>
            <w:r>
              <w:t>S</w:t>
            </w:r>
            <w:r w:rsidRPr="0032797C">
              <w:t xml:space="preserve">ource: </w:t>
            </w:r>
            <w:r>
              <w:tab/>
            </w:r>
            <w:r w:rsidRPr="0032797C">
              <w:t>ABS Job Vacancies, ABS Labour Force</w:t>
            </w:r>
          </w:p>
          <w:p w14:paraId="3EB0BED9" w14:textId="75300EF5" w:rsidR="00417CEE" w:rsidRPr="006A6C10" w:rsidRDefault="00417CEE" w:rsidP="00417CEE">
            <w:pPr>
              <w:pStyle w:val="ChartandTableFootnote"/>
              <w:rPr>
                <w:color w:val="auto"/>
              </w:rPr>
            </w:pPr>
            <w:r w:rsidRPr="0032797C">
              <w:t xml:space="preserve">Note: </w:t>
            </w:r>
            <w:r>
              <w:tab/>
            </w:r>
            <w:r w:rsidRPr="0032797C">
              <w:t>Dashed lines are pre</w:t>
            </w:r>
            <w:r w:rsidR="0004287B">
              <w:noBreakHyphen/>
            </w:r>
            <w:r w:rsidRPr="0032797C">
              <w:t>COVID long run averages</w:t>
            </w:r>
            <w:r w:rsidR="002C133A">
              <w:t>.</w:t>
            </w:r>
          </w:p>
        </w:tc>
      </w:tr>
    </w:tbl>
    <w:p w14:paraId="322C1A00" w14:textId="77777777" w:rsidR="00200A11" w:rsidRDefault="00200A11" w:rsidP="0025758A">
      <w:pPr>
        <w:pStyle w:val="ChartLine"/>
      </w:pPr>
    </w:p>
    <w:p w14:paraId="03E440F9" w14:textId="01432AB2" w:rsidR="00A62D14" w:rsidRPr="009C0EA0" w:rsidRDefault="00292639" w:rsidP="002A6C20">
      <w:r w:rsidRPr="009C0EA0">
        <w:t>Labour</w:t>
      </w:r>
      <w:r w:rsidR="00C809BA" w:rsidRPr="009C0EA0">
        <w:t xml:space="preserve"> shortages </w:t>
      </w:r>
      <w:r w:rsidRPr="009C0EA0">
        <w:t xml:space="preserve">have also slowed the pace of </w:t>
      </w:r>
      <w:r w:rsidR="00C809BA" w:rsidRPr="009C0EA0">
        <w:t>constructio</w:t>
      </w:r>
      <w:r w:rsidR="003578A0" w:rsidRPr="009C0EA0">
        <w:t>n</w:t>
      </w:r>
      <w:r w:rsidR="00C809BA" w:rsidRPr="009C0EA0">
        <w:t xml:space="preserve">. </w:t>
      </w:r>
      <w:r w:rsidR="00C90B3E" w:rsidRPr="009C0EA0">
        <w:t>A</w:t>
      </w:r>
      <w:r w:rsidR="004114BB" w:rsidRPr="009C0EA0">
        <w:t xml:space="preserve"> shortage </w:t>
      </w:r>
      <w:r w:rsidR="001B24EE" w:rsidRPr="009C0EA0">
        <w:t xml:space="preserve">of skills and labour </w:t>
      </w:r>
      <w:r w:rsidR="005A3806" w:rsidRPr="009C0EA0">
        <w:t>in the construction sector</w:t>
      </w:r>
      <w:r w:rsidR="001B24EE" w:rsidRPr="009C0EA0">
        <w:t xml:space="preserve"> </w:t>
      </w:r>
      <w:r w:rsidR="00AA3BE8" w:rsidRPr="009C0EA0">
        <w:t xml:space="preserve">has </w:t>
      </w:r>
      <w:r w:rsidR="00C90B3E" w:rsidRPr="009C0EA0">
        <w:t>persisted since</w:t>
      </w:r>
      <w:r w:rsidR="00AA3BE8" w:rsidRPr="009C0EA0">
        <w:t xml:space="preserve"> the pandemic </w:t>
      </w:r>
      <w:r w:rsidR="004D692B" w:rsidRPr="009C0EA0">
        <w:t>given high dem</w:t>
      </w:r>
      <w:r w:rsidR="004056F4" w:rsidRPr="009C0EA0">
        <w:t xml:space="preserve">and and </w:t>
      </w:r>
      <w:r w:rsidR="00FF2C4B" w:rsidRPr="009C0EA0">
        <w:t>existing sh</w:t>
      </w:r>
      <w:r w:rsidR="004D692B" w:rsidRPr="009C0EA0">
        <w:t>ortages</w:t>
      </w:r>
      <w:r w:rsidR="00AA3BE8" w:rsidRPr="009C0EA0">
        <w:t xml:space="preserve">. </w:t>
      </w:r>
      <w:r w:rsidR="006F6D0A" w:rsidRPr="009C0EA0">
        <w:t>Industry estimates</w:t>
      </w:r>
      <w:r w:rsidR="00916C95" w:rsidRPr="009C0EA0">
        <w:t xml:space="preserve"> suggest the construction sector </w:t>
      </w:r>
      <w:r w:rsidR="008809A0" w:rsidRPr="009C0EA0">
        <w:t xml:space="preserve">is facing a shortfall of </w:t>
      </w:r>
      <w:r w:rsidR="00FA61AE" w:rsidRPr="009C0EA0">
        <w:t xml:space="preserve">around </w:t>
      </w:r>
      <w:r w:rsidR="008C356C" w:rsidRPr="009C0EA0">
        <w:t>90</w:t>
      </w:r>
      <w:r w:rsidR="00F7101F" w:rsidRPr="009C0EA0">
        <w:t>,000 workers.</w:t>
      </w:r>
      <w:r w:rsidR="00C24CF1" w:rsidRPr="009C0EA0">
        <w:rPr>
          <w:rStyle w:val="FootnoteReference"/>
        </w:rPr>
        <w:footnoteReference w:id="32"/>
      </w:r>
      <w:r w:rsidR="00AA3BE8" w:rsidRPr="009C0EA0">
        <w:t xml:space="preserve"> </w:t>
      </w:r>
      <w:r w:rsidR="00994069" w:rsidRPr="009C0EA0">
        <w:t xml:space="preserve">The most acute trade shortages in the first quarter of 2024 </w:t>
      </w:r>
      <w:r w:rsidR="005D3B2F" w:rsidRPr="009C0EA0">
        <w:t>existed in bricklaying, ceramic tiling, plastering, carpentry and roofing.</w:t>
      </w:r>
      <w:r w:rsidR="005B0016" w:rsidRPr="009C0EA0">
        <w:rPr>
          <w:rStyle w:val="FootnoteReference"/>
        </w:rPr>
        <w:footnoteReference w:id="33"/>
      </w:r>
      <w:r w:rsidR="00471405" w:rsidRPr="009C0EA0">
        <w:t xml:space="preserve"> </w:t>
      </w:r>
      <w:r w:rsidRPr="009C0EA0">
        <w:t>Construction sector j</w:t>
      </w:r>
      <w:r w:rsidR="00C809BA" w:rsidRPr="009C0EA0">
        <w:t>ob vacancies have fallen considerably from the peak in 2022 but remain well above historical averages (Chart</w:t>
      </w:r>
      <w:r w:rsidR="009B29C6" w:rsidRPr="009C0EA0">
        <w:t> </w:t>
      </w:r>
      <w:r w:rsidR="005B694D" w:rsidRPr="009C0EA0">
        <w:t>4.</w:t>
      </w:r>
      <w:r w:rsidR="00B1328D" w:rsidRPr="009C0EA0">
        <w:t>1</w:t>
      </w:r>
      <w:r w:rsidR="00615EED" w:rsidRPr="009C0EA0">
        <w:t>7</w:t>
      </w:r>
      <w:r w:rsidR="00C809BA" w:rsidRPr="009C0EA0">
        <w:t>).</w:t>
      </w:r>
      <w:r w:rsidR="00C310EA" w:rsidRPr="009C0EA0">
        <w:t xml:space="preserve"> </w:t>
      </w:r>
    </w:p>
    <w:p w14:paraId="3249B371" w14:textId="5F6DF73B" w:rsidR="00122D50" w:rsidRPr="009C0EA0" w:rsidRDefault="00F16166" w:rsidP="002A6C20">
      <w:r w:rsidRPr="009C0EA0">
        <w:t xml:space="preserve">These </w:t>
      </w:r>
      <w:r w:rsidR="00122D50" w:rsidRPr="009C0EA0">
        <w:t>labour</w:t>
      </w:r>
      <w:r w:rsidRPr="009C0EA0">
        <w:t xml:space="preserve"> shortages can partially be explained by an increase in non</w:t>
      </w:r>
      <w:r w:rsidR="0004287B">
        <w:noBreakHyphen/>
      </w:r>
      <w:r w:rsidRPr="009C0EA0">
        <w:t>dwelling construction</w:t>
      </w:r>
      <w:r w:rsidR="001C40F9" w:rsidRPr="009C0EA0">
        <w:t xml:space="preserve"> activity</w:t>
      </w:r>
      <w:r w:rsidR="00122D50" w:rsidRPr="009C0EA0">
        <w:t xml:space="preserve">, </w:t>
      </w:r>
      <w:r w:rsidRPr="009C0EA0">
        <w:t xml:space="preserve">that has </w:t>
      </w:r>
      <w:r w:rsidR="001C40F9" w:rsidRPr="009C0EA0">
        <w:t xml:space="preserve">drawn on the supply of </w:t>
      </w:r>
      <w:r w:rsidRPr="009C0EA0">
        <w:t xml:space="preserve">labour </w:t>
      </w:r>
      <w:r w:rsidR="001C40F9" w:rsidRPr="009C0EA0">
        <w:t xml:space="preserve">available for </w:t>
      </w:r>
      <w:r w:rsidR="00240CFA" w:rsidRPr="009C0EA0">
        <w:t xml:space="preserve">dwelling construction. </w:t>
      </w:r>
      <w:r w:rsidR="00356E4B" w:rsidRPr="009C0EA0">
        <w:t>T</w:t>
      </w:r>
      <w:r w:rsidR="009F1917" w:rsidRPr="009C0EA0">
        <w:t xml:space="preserve">he rate of growth </w:t>
      </w:r>
      <w:r w:rsidR="00F21BE2" w:rsidRPr="009C0EA0">
        <w:t>of investment in</w:t>
      </w:r>
      <w:r w:rsidR="009F1917" w:rsidRPr="009C0EA0">
        <w:t xml:space="preserve"> </w:t>
      </w:r>
      <w:r w:rsidR="00F21BE2" w:rsidRPr="009C0EA0">
        <w:t>p</w:t>
      </w:r>
      <w:r w:rsidR="009F1917" w:rsidRPr="009C0EA0">
        <w:t>ublic infra</w:t>
      </w:r>
      <w:r w:rsidR="00F21BE2" w:rsidRPr="009C0EA0">
        <w:t>s</w:t>
      </w:r>
      <w:r w:rsidR="009F1917" w:rsidRPr="009C0EA0">
        <w:t>tructur</w:t>
      </w:r>
      <w:r w:rsidR="00F21BE2" w:rsidRPr="009C0EA0">
        <w:t>e</w:t>
      </w:r>
      <w:r w:rsidR="009F1917" w:rsidRPr="009C0EA0">
        <w:t xml:space="preserve"> a</w:t>
      </w:r>
      <w:r w:rsidR="00F21BE2" w:rsidRPr="009C0EA0">
        <w:t>nd</w:t>
      </w:r>
      <w:r w:rsidR="009F1917" w:rsidRPr="009C0EA0">
        <w:t xml:space="preserve"> no</w:t>
      </w:r>
      <w:r w:rsidR="000A1EB0" w:rsidRPr="009C0EA0">
        <w:t>n</w:t>
      </w:r>
      <w:r w:rsidR="0004287B">
        <w:noBreakHyphen/>
      </w:r>
      <w:r w:rsidR="000A1EB0" w:rsidRPr="009C0EA0">
        <w:t xml:space="preserve">dwelling construction </w:t>
      </w:r>
      <w:r w:rsidR="00F21BE2" w:rsidRPr="009C0EA0">
        <w:t xml:space="preserve">has </w:t>
      </w:r>
      <w:r w:rsidR="005173ED" w:rsidRPr="009C0EA0">
        <w:t>increased significantly relative to</w:t>
      </w:r>
      <w:r w:rsidR="00F21BE2" w:rsidRPr="009C0EA0">
        <w:t xml:space="preserve"> residential construction activity</w:t>
      </w:r>
      <w:r w:rsidR="00356E4B" w:rsidRPr="009C0EA0">
        <w:t xml:space="preserve"> (Chart</w:t>
      </w:r>
      <w:r w:rsidR="00E35FFB" w:rsidRPr="009C0EA0">
        <w:t> </w:t>
      </w:r>
      <w:r w:rsidR="00356E4B" w:rsidRPr="009C0EA0">
        <w:t>4.</w:t>
      </w:r>
      <w:r w:rsidR="00B1328D" w:rsidRPr="009C0EA0">
        <w:t>1</w:t>
      </w:r>
      <w:r w:rsidR="00615EED" w:rsidRPr="009C0EA0">
        <w:t>8</w:t>
      </w:r>
      <w:r w:rsidR="00356E4B" w:rsidRPr="009C0EA0">
        <w:t>)</w:t>
      </w:r>
      <w:r w:rsidR="00F21BE2" w:rsidRPr="009C0EA0">
        <w:t>.</w:t>
      </w:r>
      <w:r w:rsidR="00240CFA" w:rsidRPr="009C0EA0">
        <w:t xml:space="preserve"> </w:t>
      </w:r>
      <w:r w:rsidR="00C40E36" w:rsidRPr="009C0EA0">
        <w:t>At the same time as labour shortages have worsened</w:t>
      </w:r>
      <w:r w:rsidR="00AD40E5" w:rsidRPr="009C0EA0">
        <w:t>,</w:t>
      </w:r>
      <w:r w:rsidR="00C40E36" w:rsidRPr="009C0EA0">
        <w:t xml:space="preserve"> labour productivity </w:t>
      </w:r>
      <w:r w:rsidR="00E03F66" w:rsidRPr="009C0EA0">
        <w:t>in the construction industry</w:t>
      </w:r>
      <w:r w:rsidR="00C40E36" w:rsidRPr="009C0EA0">
        <w:t xml:space="preserve"> has not </w:t>
      </w:r>
      <w:r w:rsidR="0028456A" w:rsidRPr="009C0EA0">
        <w:t xml:space="preserve">increased </w:t>
      </w:r>
      <w:r w:rsidR="00C40E36" w:rsidRPr="009C0EA0">
        <w:t xml:space="preserve">from the level it was </w:t>
      </w:r>
      <w:r w:rsidR="0028456A" w:rsidRPr="009C0EA0">
        <w:t>in the early 2000s</w:t>
      </w:r>
      <w:r w:rsidR="00C40E36" w:rsidRPr="009C0EA0">
        <w:t xml:space="preserve"> (Chart 4.</w:t>
      </w:r>
      <w:r w:rsidR="00083572" w:rsidRPr="009C0EA0">
        <w:t>1</w:t>
      </w:r>
      <w:r w:rsidR="00615EED" w:rsidRPr="009C0EA0">
        <w:t>9</w:t>
      </w:r>
      <w:r w:rsidR="00C40E36" w:rsidRPr="009C0EA0">
        <w:t>)</w:t>
      </w:r>
      <w:r w:rsidR="004C6C20" w:rsidRPr="009C0EA0">
        <w:t xml:space="preserve">, </w:t>
      </w:r>
      <w:r w:rsidR="00DC5F96" w:rsidRPr="009C0EA0">
        <w:t>while</w:t>
      </w:r>
      <w:r w:rsidR="004C6C20" w:rsidRPr="009C0EA0">
        <w:t xml:space="preserve"> other sectors have </w:t>
      </w:r>
      <w:r w:rsidR="00700364" w:rsidRPr="009C0EA0">
        <w:t>see</w:t>
      </w:r>
      <w:r w:rsidR="00116C3F">
        <w:t>n</w:t>
      </w:r>
      <w:r w:rsidR="00700364" w:rsidRPr="009C0EA0">
        <w:t xml:space="preserve"> significant </w:t>
      </w:r>
      <w:r w:rsidR="004C6C20" w:rsidRPr="009C0EA0">
        <w:t>productivity growth</w:t>
      </w:r>
      <w:r w:rsidR="00C40E36" w:rsidRPr="009C0EA0">
        <w:t xml:space="preserve">. </w:t>
      </w:r>
    </w:p>
    <w:p w14:paraId="6FF398FF" w14:textId="6D891ED0" w:rsidR="00F16166" w:rsidRDefault="003B46CF" w:rsidP="00B11A01">
      <w:r w:rsidRPr="009C0EA0">
        <w:lastRenderedPageBreak/>
        <w:t>Growing</w:t>
      </w:r>
      <w:r w:rsidR="00122D50" w:rsidRPr="009C0EA0">
        <w:t xml:space="preserve"> costs </w:t>
      </w:r>
      <w:r w:rsidR="008E5C54" w:rsidRPr="009C0EA0">
        <w:t xml:space="preserve">and </w:t>
      </w:r>
      <w:r w:rsidR="00A74ED2" w:rsidRPr="009C0EA0">
        <w:t>lengthening</w:t>
      </w:r>
      <w:r w:rsidR="008E5C54" w:rsidRPr="009C0EA0">
        <w:t xml:space="preserve"> build times</w:t>
      </w:r>
      <w:r w:rsidR="00122D50" w:rsidRPr="009C0EA0">
        <w:t xml:space="preserve"> have reduce</w:t>
      </w:r>
      <w:r w:rsidR="008E5C54" w:rsidRPr="009C0EA0">
        <w:t>d</w:t>
      </w:r>
      <w:r w:rsidR="00122D50" w:rsidRPr="009C0EA0">
        <w:t xml:space="preserve"> the </w:t>
      </w:r>
      <w:r w:rsidR="00F75A1A" w:rsidRPr="009C0EA0">
        <w:t>ability of</w:t>
      </w:r>
      <w:r w:rsidR="00122D50" w:rsidRPr="009C0EA0">
        <w:t xml:space="preserve"> investors, builders, and developers to add to the housing stock, despite the strong signal provided by </w:t>
      </w:r>
      <w:r w:rsidR="00E727CB" w:rsidRPr="009C0EA0">
        <w:t>market conditions.</w:t>
      </w:r>
      <w:r w:rsidR="00782928" w:rsidRPr="009C0EA0">
        <w:t xml:space="preserve"> </w:t>
      </w:r>
    </w:p>
    <w:tbl>
      <w:tblPr>
        <w:tblW w:w="5000" w:type="pct"/>
        <w:tblLayout w:type="fixed"/>
        <w:tblLook w:val="0000" w:firstRow="0" w:lastRow="0" w:firstColumn="0" w:lastColumn="0" w:noHBand="0" w:noVBand="0"/>
      </w:tblPr>
      <w:tblGrid>
        <w:gridCol w:w="3855"/>
        <w:gridCol w:w="3855"/>
      </w:tblGrid>
      <w:tr w:rsidR="00805863" w14:paraId="2C44EF34" w14:textId="77777777" w:rsidTr="004F0B72">
        <w:trPr>
          <w:cantSplit/>
        </w:trPr>
        <w:tc>
          <w:tcPr>
            <w:tcW w:w="3912" w:type="dxa"/>
          </w:tcPr>
          <w:p w14:paraId="38E817CF" w14:textId="13A927F6" w:rsidR="00805863" w:rsidRDefault="004F0B72" w:rsidP="004F0B72">
            <w:pPr>
              <w:pStyle w:val="ChartHeading"/>
            </w:pPr>
            <w:r w:rsidRPr="009C0EA0">
              <w:t>Chart 4.1</w:t>
            </w:r>
            <w:r w:rsidR="00615EED" w:rsidRPr="009C0EA0">
              <w:t>8</w:t>
            </w:r>
            <w:r w:rsidRPr="009C0EA0">
              <w:t xml:space="preserve">: </w:t>
            </w:r>
            <w:r w:rsidR="006B47A8">
              <w:t>Construction related investment expenditure</w:t>
            </w:r>
          </w:p>
        </w:tc>
        <w:tc>
          <w:tcPr>
            <w:tcW w:w="3911" w:type="dxa"/>
          </w:tcPr>
          <w:p w14:paraId="3AE63325" w14:textId="65DFC916" w:rsidR="00805863" w:rsidRDefault="004F0B72" w:rsidP="004F0B72">
            <w:pPr>
              <w:pStyle w:val="ChartHeading"/>
            </w:pPr>
            <w:r w:rsidRPr="009C0EA0">
              <w:t>Chart 4.1</w:t>
            </w:r>
            <w:r w:rsidR="00615EED" w:rsidRPr="009C0EA0">
              <w:t>9</w:t>
            </w:r>
            <w:r w:rsidRPr="009C0EA0">
              <w:t>: Labour productivity in the construction sector</w:t>
            </w:r>
          </w:p>
        </w:tc>
      </w:tr>
      <w:tr w:rsidR="004F0B72" w14:paraId="1891A6A9" w14:textId="77777777" w:rsidTr="004F0B72">
        <w:trPr>
          <w:cantSplit/>
        </w:trPr>
        <w:tc>
          <w:tcPr>
            <w:tcW w:w="3912" w:type="dxa"/>
          </w:tcPr>
          <w:p w14:paraId="34AD99A0" w14:textId="7B8F508B" w:rsidR="004F0B72" w:rsidRPr="000D65C8" w:rsidRDefault="000417B6" w:rsidP="00D917F0">
            <w:pPr>
              <w:pStyle w:val="ChartGraphic"/>
            </w:pPr>
            <w:r>
              <w:rPr>
                <w:noProof/>
              </w:rPr>
              <w:pict w14:anchorId="088F4679">
                <v:shape id="_x0000_i1042" type="#_x0000_t75" alt="This stacked bar chart shows real investment in new non-dwelling construction, new public and residential dwelling sectors in financial year terms. New non-dwelling construction investment has increased from around $42 billion in 2000-01 to peak at around $181 billion in 2012-13, before falling to $120 billion in 2022-23. New public investment has increased from around $45 billion in 2000-01 to $121 billion in 2022-23. Residential dwelling investment has increased from around $69 billion in 2000-01 to peak at around $125 billion in 2017-18, before falling to $118 billion in 2022-23." style="width:183.2pt;height:181.6pt">
                  <v:imagedata r:id="rId35" o:title=""/>
                </v:shape>
              </w:pict>
            </w:r>
          </w:p>
        </w:tc>
        <w:tc>
          <w:tcPr>
            <w:tcW w:w="3911" w:type="dxa"/>
          </w:tcPr>
          <w:p w14:paraId="02EB5111" w14:textId="5788E36F" w:rsidR="004F0B72" w:rsidRDefault="000417B6" w:rsidP="004F0B72">
            <w:pPr>
              <w:pStyle w:val="ChartGraphic"/>
            </w:pPr>
            <w:r>
              <w:rPr>
                <w:noProof/>
              </w:rPr>
              <w:pict w14:anchorId="318F0A3F">
                <v:shape id="_x0000_i1043" type="#_x0000_t75" alt="This index chart (blue line) shows labour productivity in the construction industry from 1990-91 to 2022-23. Labour productivity has not increased from the level it was in the early 2000s, while other sectors have continued to see significant productivity growth. In this chart, there was a dip in productivity during 2000-01, which recovered the year after. The peak in the chart was during 2013-2014." style="width:157.45pt;height:151.5pt">
                  <v:imagedata r:id="rId36" o:title=""/>
                </v:shape>
              </w:pict>
            </w:r>
          </w:p>
        </w:tc>
      </w:tr>
      <w:tr w:rsidR="004F0B72" w14:paraId="2C14B558" w14:textId="77777777" w:rsidTr="004F0B72">
        <w:trPr>
          <w:cantSplit/>
        </w:trPr>
        <w:tc>
          <w:tcPr>
            <w:tcW w:w="3912" w:type="dxa"/>
          </w:tcPr>
          <w:p w14:paraId="21472DBA" w14:textId="5B6ECF8C" w:rsidR="00AA78A9" w:rsidRDefault="004F0B72" w:rsidP="00AA78A9">
            <w:pPr>
              <w:pStyle w:val="ChartandTableFootnote"/>
            </w:pPr>
            <w:r w:rsidRPr="0032797C">
              <w:t xml:space="preserve">Source: </w:t>
            </w:r>
            <w:r>
              <w:tab/>
            </w:r>
            <w:r w:rsidRPr="0032797C">
              <w:t>ABS National Accounts: National Income, Expenditure and Product</w:t>
            </w:r>
          </w:p>
          <w:p w14:paraId="3D267AF0" w14:textId="451D1D21" w:rsidR="00AA78A9" w:rsidRPr="00AA78A9" w:rsidRDefault="0085743D" w:rsidP="0085743D">
            <w:pPr>
              <w:pStyle w:val="ChartandTableFootnote"/>
            </w:pPr>
            <w:r w:rsidRPr="0085743D">
              <w:t>Note:</w:t>
            </w:r>
            <w:r>
              <w:t xml:space="preserve">      </w:t>
            </w:r>
            <w:r w:rsidRPr="0085743D">
              <w:t xml:space="preserve"> Public investment is total public investment including infrastructure related investment</w:t>
            </w:r>
            <w:r w:rsidR="00B152AF">
              <w:t>.</w:t>
            </w:r>
          </w:p>
        </w:tc>
        <w:tc>
          <w:tcPr>
            <w:tcW w:w="3911" w:type="dxa"/>
          </w:tcPr>
          <w:p w14:paraId="084722F5" w14:textId="33B5E4A5" w:rsidR="004F0B72" w:rsidRDefault="004F0B72" w:rsidP="004F0B72">
            <w:pPr>
              <w:pStyle w:val="ChartandTableFootnote"/>
            </w:pPr>
            <w:r w:rsidRPr="0032797C">
              <w:t xml:space="preserve">Source: </w:t>
            </w:r>
            <w:r>
              <w:tab/>
            </w:r>
            <w:r w:rsidRPr="0032797C">
              <w:t>ABS</w:t>
            </w:r>
            <w:r w:rsidR="00EA09FD">
              <w:t xml:space="preserve"> Estimates of Industry Multifactor Productivity, Treasury</w:t>
            </w:r>
          </w:p>
        </w:tc>
      </w:tr>
    </w:tbl>
    <w:p w14:paraId="7925E5B8" w14:textId="77777777" w:rsidR="000D65C8" w:rsidRDefault="000D65C8" w:rsidP="0025758A">
      <w:pPr>
        <w:pStyle w:val="ChartLine"/>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085C20" w14:paraId="516E1834" w14:textId="77777777" w:rsidTr="007913DD">
        <w:trPr>
          <w:cantSplit/>
        </w:trPr>
        <w:tc>
          <w:tcPr>
            <w:tcW w:w="5000" w:type="pct"/>
            <w:shd w:val="clear" w:color="auto" w:fill="E6F2FF"/>
          </w:tcPr>
          <w:p w14:paraId="42A837FF" w14:textId="4CBE7ECF" w:rsidR="00085C20" w:rsidRPr="009C0EA0" w:rsidRDefault="00085C20" w:rsidP="00085C20">
            <w:pPr>
              <w:pStyle w:val="BoxHeading"/>
            </w:pPr>
            <w:r w:rsidRPr="009C0EA0">
              <w:t>Box 4.</w:t>
            </w:r>
            <w:r w:rsidR="00833F38" w:rsidRPr="009C0EA0">
              <w:t>6</w:t>
            </w:r>
            <w:r w:rsidRPr="009C0EA0">
              <w:t xml:space="preserve"> Government actions to invest in more skilled construction workers</w:t>
            </w:r>
          </w:p>
          <w:p w14:paraId="4FA233C9" w14:textId="10D3A0E3" w:rsidR="00085C20" w:rsidRPr="009C0EA0" w:rsidRDefault="00085C20" w:rsidP="00085C20">
            <w:pPr>
              <w:pStyle w:val="BoxText"/>
            </w:pPr>
            <w:r w:rsidRPr="009C0EA0">
              <w:t xml:space="preserve">Capacity constraints in the construction sector are a key impediment to faster delivery of new homes. According to industry, there has been a significant shortage of construction workers in recent years, driven by a drop off in rates of skilled migration </w:t>
            </w:r>
            <w:r w:rsidR="00F42D43" w:rsidRPr="009C0EA0">
              <w:t>during</w:t>
            </w:r>
            <w:r w:rsidRPr="009C0EA0">
              <w:t xml:space="preserve"> the COVID</w:t>
            </w:r>
            <w:r w:rsidR="0004287B">
              <w:noBreakHyphen/>
            </w:r>
            <w:r w:rsidRPr="009C0EA0">
              <w:t>19 pandemic and competition from infrastructure projects. This has slowed the ability of builders to build more homes quickly and driven up the price of labour.</w:t>
            </w:r>
          </w:p>
          <w:p w14:paraId="7CAE9A9B" w14:textId="4CBE6F90" w:rsidR="00085C20" w:rsidRDefault="00085C20">
            <w:pPr>
              <w:pStyle w:val="BoxText"/>
            </w:pPr>
            <w:r w:rsidRPr="009C0EA0">
              <w:t>The Government is responding to this challenge by investing $88.8</w:t>
            </w:r>
            <w:r w:rsidR="00536DAD" w:rsidRPr="009C0EA0">
              <w:t> million</w:t>
            </w:r>
            <w:r w:rsidRPr="009C0EA0">
              <w:t xml:space="preserve"> to grow the pipeline of construction workers through 20,000 additional fee</w:t>
            </w:r>
            <w:r w:rsidR="0004287B">
              <w:noBreakHyphen/>
            </w:r>
            <w:r w:rsidRPr="009C0EA0">
              <w:t>free TAFE and pre</w:t>
            </w:r>
            <w:r w:rsidR="0004287B">
              <w:noBreakHyphen/>
            </w:r>
            <w:r w:rsidRPr="009C0EA0">
              <w:t>apprenticeship places. The Government will also provide $1.8</w:t>
            </w:r>
            <w:r w:rsidR="00536DAD" w:rsidRPr="009C0EA0">
              <w:t> million</w:t>
            </w:r>
            <w:r w:rsidRPr="009C0EA0">
              <w:t xml:space="preserve"> to deliver streamlined skills assessments for </w:t>
            </w:r>
            <w:r w:rsidR="00833F38" w:rsidRPr="009C0EA0">
              <w:t>around 1,900</w:t>
            </w:r>
            <w:r w:rsidR="00F42D43" w:rsidRPr="009C0EA0">
              <w:t xml:space="preserve"> </w:t>
            </w:r>
            <w:r w:rsidRPr="009C0EA0">
              <w:t>migrants from comparable counties to work in Australia</w:t>
            </w:r>
            <w:r w:rsidR="0004287B">
              <w:t>’</w:t>
            </w:r>
            <w:r w:rsidRPr="009C0EA0">
              <w:t>s housing construction industry.</w:t>
            </w:r>
          </w:p>
        </w:tc>
      </w:tr>
    </w:tbl>
    <w:p w14:paraId="7DEC9FFC" w14:textId="2FDCDC90" w:rsidR="00F56243" w:rsidRPr="00B35D17" w:rsidRDefault="00205736" w:rsidP="00B11A01">
      <w:r w:rsidRPr="009C0EA0">
        <w:t>T</w:t>
      </w:r>
      <w:r w:rsidR="003A1022" w:rsidRPr="009C0EA0">
        <w:t>he Hom</w:t>
      </w:r>
      <w:r w:rsidR="006F1C22" w:rsidRPr="009C0EA0">
        <w:t xml:space="preserve">eBuilder </w:t>
      </w:r>
      <w:r w:rsidR="003A1022" w:rsidRPr="009C0EA0">
        <w:t>program</w:t>
      </w:r>
      <w:r w:rsidR="00A56ECD" w:rsidRPr="009C0EA0">
        <w:t xml:space="preserve"> provided grants of up to $25</w:t>
      </w:r>
      <w:r w:rsidR="00644A98" w:rsidRPr="009C0EA0">
        <w:t>,000 to eligible owner</w:t>
      </w:r>
      <w:r w:rsidR="0004287B">
        <w:noBreakHyphen/>
      </w:r>
      <w:r w:rsidR="00644A98" w:rsidRPr="009C0EA0">
        <w:t>occup</w:t>
      </w:r>
      <w:r w:rsidR="00321678" w:rsidRPr="009C0EA0">
        <w:t>iers to build or substantially renovate a home.</w:t>
      </w:r>
      <w:r w:rsidR="003C00E5" w:rsidRPr="009C0EA0">
        <w:t xml:space="preserve"> </w:t>
      </w:r>
      <w:r w:rsidR="00B32C9B" w:rsidRPr="009C0EA0">
        <w:t>HomeBuilder was intended to support confidence in the residential construction sector and encourage</w:t>
      </w:r>
      <w:r w:rsidR="0076646F" w:rsidRPr="009C0EA0">
        <w:t xml:space="preserve"> consumers to proceed with purchases </w:t>
      </w:r>
      <w:r w:rsidR="0076646F" w:rsidRPr="009C0EA0">
        <w:lastRenderedPageBreak/>
        <w:t>or renovations that may have been delayed due to uncertainty caused by the COVID</w:t>
      </w:r>
      <w:r w:rsidR="0004287B">
        <w:noBreakHyphen/>
      </w:r>
      <w:r w:rsidR="0076646F" w:rsidRPr="009C0EA0">
        <w:t xml:space="preserve">19 </w:t>
      </w:r>
      <w:r w:rsidR="008A19D5" w:rsidRPr="009C0EA0">
        <w:t>pandemic.</w:t>
      </w:r>
      <w:r w:rsidR="0047192D" w:rsidRPr="00B35D17">
        <w:t xml:space="preserve"> </w:t>
      </w:r>
    </w:p>
    <w:p w14:paraId="13F233ED" w14:textId="77B604E8" w:rsidR="00924CC8" w:rsidRDefault="00163930" w:rsidP="00C809BA">
      <w:r w:rsidRPr="009C0EA0">
        <w:t xml:space="preserve">While </w:t>
      </w:r>
      <w:r w:rsidR="00C57164" w:rsidRPr="009C0EA0">
        <w:t>HomeBuilder, alongside low interest rates, increased investment in the residential construction sector, it concentrated this demand in the detached sector (Chart 4.</w:t>
      </w:r>
      <w:r w:rsidR="00F42D43" w:rsidRPr="009C0EA0">
        <w:t>20</w:t>
      </w:r>
      <w:r w:rsidR="00C57164" w:rsidRPr="009C0EA0">
        <w:t>)</w:t>
      </w:r>
      <w:r w:rsidR="00026CB9" w:rsidRPr="009C0EA0">
        <w:t>.</w:t>
      </w:r>
      <w:r w:rsidR="00C57164" w:rsidRPr="009C0EA0">
        <w:t xml:space="preserve"> </w:t>
      </w:r>
      <w:r w:rsidR="004C592E" w:rsidRPr="009C0EA0">
        <w:t xml:space="preserve">The program brought forward investment demand ahead of what </w:t>
      </w:r>
      <w:r w:rsidR="006634B0" w:rsidRPr="009C0EA0">
        <w:t>the detached sector was able to sustainabl</w:t>
      </w:r>
      <w:r w:rsidR="004172A2" w:rsidRPr="009C0EA0">
        <w:t>y</w:t>
      </w:r>
      <w:r w:rsidR="006634B0" w:rsidRPr="009C0EA0">
        <w:t xml:space="preserve"> build</w:t>
      </w:r>
      <w:r w:rsidR="003B0E1F" w:rsidRPr="009C0EA0">
        <w:t xml:space="preserve"> (Chart 4.2</w:t>
      </w:r>
      <w:r w:rsidR="00F42D43" w:rsidRPr="009C0EA0">
        <w:t>1</w:t>
      </w:r>
      <w:r w:rsidR="003B0E1F" w:rsidRPr="009C0EA0">
        <w:t>)</w:t>
      </w:r>
      <w:r w:rsidR="006634B0" w:rsidRPr="009C0EA0">
        <w:t xml:space="preserve">. The program </w:t>
      </w:r>
      <w:r w:rsidR="00D437AE" w:rsidRPr="009C0EA0">
        <w:t xml:space="preserve">added to inflation </w:t>
      </w:r>
      <w:r w:rsidR="00504094" w:rsidRPr="009C0EA0">
        <w:t xml:space="preserve">pressures in the sector </w:t>
      </w:r>
      <w:r w:rsidR="00B60282" w:rsidRPr="009C0EA0">
        <w:t xml:space="preserve">by </w:t>
      </w:r>
      <w:r w:rsidR="00504094" w:rsidRPr="009C0EA0">
        <w:t xml:space="preserve">placing additional </w:t>
      </w:r>
      <w:r w:rsidRPr="009C0EA0">
        <w:t>pressure on constrained supply chains</w:t>
      </w:r>
      <w:r w:rsidR="002616D2" w:rsidRPr="009C0EA0">
        <w:t>.</w:t>
      </w:r>
      <w:r w:rsidRPr="009C0EA0">
        <w:t xml:space="preserve"> </w:t>
      </w:r>
      <w:r w:rsidR="008141A4" w:rsidRPr="009C0EA0">
        <w:t>It also contributed to national land price growth of 14</w:t>
      </w:r>
      <w:r w:rsidR="0079584A" w:rsidRPr="009C0EA0">
        <w:t> per cent</w:t>
      </w:r>
      <w:r w:rsidR="008141A4" w:rsidRPr="009C0EA0">
        <w:t xml:space="preserve"> in 2021 and 22</w:t>
      </w:r>
      <w:r w:rsidR="0079584A" w:rsidRPr="009C0EA0">
        <w:t> per cent</w:t>
      </w:r>
      <w:r w:rsidR="008141A4" w:rsidRPr="009C0EA0">
        <w:t xml:space="preserve"> in 2022, alongside reduced greenfield lot releases.</w:t>
      </w:r>
      <w:r w:rsidR="008141A4" w:rsidRPr="009C0EA0">
        <w:rPr>
          <w:rStyle w:val="FootnoteReference"/>
        </w:rPr>
        <w:footnoteReference w:id="34"/>
      </w:r>
      <w:r w:rsidR="006E300A" w:rsidRPr="009C0EA0">
        <w:t xml:space="preserve"> This demonstrates the potential risk to affordability presented by programs which stimulate</w:t>
      </w:r>
      <w:r w:rsidR="00822892" w:rsidRPr="009C0EA0">
        <w:t xml:space="preserve"> investment</w:t>
      </w:r>
      <w:r w:rsidR="006E300A" w:rsidRPr="009C0EA0">
        <w:t xml:space="preserve"> demand for housing without addressing supply constraints.</w:t>
      </w:r>
      <w:r w:rsidR="0079622B" w:rsidRPr="009C0EA0">
        <w:t xml:space="preserve"> </w:t>
      </w:r>
    </w:p>
    <w:tbl>
      <w:tblPr>
        <w:tblW w:w="5000" w:type="pct"/>
        <w:tblLayout w:type="fixed"/>
        <w:tblLook w:val="0000" w:firstRow="0" w:lastRow="0" w:firstColumn="0" w:lastColumn="0" w:noHBand="0" w:noVBand="0"/>
      </w:tblPr>
      <w:tblGrid>
        <w:gridCol w:w="3855"/>
        <w:gridCol w:w="3855"/>
      </w:tblGrid>
      <w:tr w:rsidR="00924CC8" w14:paraId="6A8AC58E" w14:textId="77777777" w:rsidTr="00924CC8">
        <w:trPr>
          <w:cantSplit/>
        </w:trPr>
        <w:tc>
          <w:tcPr>
            <w:tcW w:w="3912" w:type="dxa"/>
          </w:tcPr>
          <w:p w14:paraId="5C7A9FA9" w14:textId="58CE20EE" w:rsidR="00924CC8" w:rsidRPr="00B47A8C" w:rsidRDefault="00924CC8" w:rsidP="00B47A8C">
            <w:pPr>
              <w:pStyle w:val="ChartHeading"/>
            </w:pPr>
            <w:r w:rsidRPr="009C0EA0">
              <w:t>Chart 4.</w:t>
            </w:r>
            <w:r w:rsidR="00F42D43" w:rsidRPr="009C0EA0">
              <w:t>20</w:t>
            </w:r>
            <w:r w:rsidRPr="009C0EA0">
              <w:t>: Private sector residential building approvals</w:t>
            </w:r>
          </w:p>
        </w:tc>
        <w:tc>
          <w:tcPr>
            <w:tcW w:w="3911" w:type="dxa"/>
          </w:tcPr>
          <w:p w14:paraId="674C05E3" w14:textId="7143759A" w:rsidR="00924CC8" w:rsidRPr="00924CC8" w:rsidRDefault="00924CC8" w:rsidP="00B47A8C">
            <w:pPr>
              <w:pStyle w:val="ChartHeading"/>
            </w:pPr>
            <w:r w:rsidRPr="009C0EA0">
              <w:t>Chart 4.2</w:t>
            </w:r>
            <w:r w:rsidR="00F42D43" w:rsidRPr="009C0EA0">
              <w:t>1</w:t>
            </w:r>
            <w:r w:rsidRPr="009C0EA0">
              <w:t>: Private sector residential commencements</w:t>
            </w:r>
          </w:p>
        </w:tc>
      </w:tr>
      <w:tr w:rsidR="00924CC8" w14:paraId="486674D0" w14:textId="77777777" w:rsidTr="00924CC8">
        <w:trPr>
          <w:cantSplit/>
          <w:trHeight w:val="3839"/>
        </w:trPr>
        <w:tc>
          <w:tcPr>
            <w:tcW w:w="3912" w:type="dxa"/>
          </w:tcPr>
          <w:p w14:paraId="0BF0ACC0" w14:textId="5F16990E" w:rsidR="00924CC8" w:rsidRDefault="000417B6" w:rsidP="000B5AFF">
            <w:pPr>
              <w:pStyle w:val="ChartGraphic"/>
            </w:pPr>
            <w:r>
              <w:rPr>
                <w:noProof/>
              </w:rPr>
              <w:pict w14:anchorId="3FCE0EB2">
                <v:shape id="_x0000_i1044" type="#_x0000_t75" alt="This line chart shows a 3-month rolling average of the number of total private residential building approvals in Australia since March 2008. The series grew strongly from a 3-month rolling average of around 40,000 approvals in March 2008 to stabilise around a 3-month rolling average of 55,000 across 2016 to 2018, before falling sharply to a 3-month rolling average of 40,000 in mid-2020. Building approvals rose sharply to a 3-month rolling average of 60,000 in mid-2021 and are around 40,000 in March 2024." style="width:181.6pt;height:181.6pt">
                  <v:imagedata r:id="rId37" o:title=""/>
                </v:shape>
              </w:pict>
            </w:r>
          </w:p>
          <w:p w14:paraId="7CB7B96F" w14:textId="2FB1A968" w:rsidR="00924CC8" w:rsidRPr="0032797C" w:rsidRDefault="00924CC8" w:rsidP="00924CC8">
            <w:pPr>
              <w:pStyle w:val="ChartandTableFootnote"/>
            </w:pPr>
            <w:r w:rsidRPr="0032797C">
              <w:t>Source:</w:t>
            </w:r>
            <w:r>
              <w:tab/>
            </w:r>
            <w:r w:rsidRPr="0032797C">
              <w:t xml:space="preserve"> ABS Building Approvals</w:t>
            </w:r>
            <w:r w:rsidR="00224FDC">
              <w:t>, Treasury</w:t>
            </w:r>
          </w:p>
          <w:p w14:paraId="796FABF7" w14:textId="5A21F750" w:rsidR="00924CC8" w:rsidRDefault="00924CC8" w:rsidP="00924CC8">
            <w:pPr>
              <w:pStyle w:val="ChartandTableFootnote"/>
            </w:pPr>
            <w:r w:rsidRPr="0032797C">
              <w:t xml:space="preserve">Note: </w:t>
            </w:r>
            <w:r>
              <w:tab/>
            </w:r>
            <w:r w:rsidRPr="0032797C">
              <w:t>3</w:t>
            </w:r>
            <w:r w:rsidR="0004287B">
              <w:noBreakHyphen/>
            </w:r>
            <w:r w:rsidRPr="0032797C">
              <w:t>month rolling average</w:t>
            </w:r>
            <w:r w:rsidR="00054DF5">
              <w:t>.</w:t>
            </w:r>
          </w:p>
        </w:tc>
        <w:tc>
          <w:tcPr>
            <w:tcW w:w="3911" w:type="dxa"/>
          </w:tcPr>
          <w:p w14:paraId="7400D26B" w14:textId="1527807B" w:rsidR="00924CC8" w:rsidRDefault="000417B6" w:rsidP="003C719F">
            <w:pPr>
              <w:pStyle w:val="ChartGraphic"/>
            </w:pPr>
            <w:r>
              <w:rPr>
                <w:noProof/>
              </w:rPr>
              <w:pict w14:anchorId="10AE98C5">
                <v:shape id="_x0000_i1045" type="#_x0000_t75" alt="This chart shows private sector residential commencements for houses and total other residential dwellings from December 2007 to December 2023. Commencements for houses were around 26,900 in December 2007 and peaked at around 42,600 for houses in June 2021, before moderating to around 23,600 in December 2023. Commencements for other residential dwellings were around 12,000 in December 2007 and rose to peak at 32,700 in March 2016, before moderating to 13,700 in December 2023." style="width:181.6pt;height:181.6pt">
                  <v:imagedata r:id="rId38" o:title=""/>
                </v:shape>
              </w:pict>
            </w:r>
          </w:p>
          <w:p w14:paraId="4C25276E" w14:textId="1E427873" w:rsidR="00924CC8" w:rsidRDefault="00924CC8">
            <w:pPr>
              <w:pStyle w:val="ChartGraphic"/>
            </w:pPr>
            <w:r w:rsidRPr="0032797C">
              <w:rPr>
                <w:sz w:val="16"/>
                <w:szCs w:val="16"/>
              </w:rPr>
              <w:t xml:space="preserve">Source: </w:t>
            </w:r>
            <w:r>
              <w:rPr>
                <w:sz w:val="16"/>
                <w:szCs w:val="16"/>
              </w:rPr>
              <w:tab/>
            </w:r>
            <w:r w:rsidRPr="0032797C">
              <w:rPr>
                <w:sz w:val="16"/>
                <w:szCs w:val="16"/>
              </w:rPr>
              <w:t>ABS Building Activity</w:t>
            </w:r>
          </w:p>
        </w:tc>
      </w:tr>
    </w:tbl>
    <w:p w14:paraId="6042E3B1" w14:textId="77777777" w:rsidR="00200A11" w:rsidRDefault="00200A11" w:rsidP="0025758A">
      <w:pPr>
        <w:pStyle w:val="ChartLine"/>
      </w:pPr>
    </w:p>
    <w:p w14:paraId="422141FA" w14:textId="5BEF34D6" w:rsidR="002741CE" w:rsidRPr="00B35D17" w:rsidRDefault="00FD6015" w:rsidP="00C809BA">
      <w:r w:rsidRPr="009C0EA0">
        <w:t>Productivity Commission research has suggested that for government program</w:t>
      </w:r>
      <w:r w:rsidR="00056ADC" w:rsidRPr="009C0EA0">
        <w:t>s</w:t>
      </w:r>
      <w:r w:rsidRPr="009C0EA0">
        <w:t xml:space="preserve"> assisting households to purchase a home, the assistance is likely to be capitalised into house prices when not accompanied with an increase in supply. This tends to benefit sellers and existing owners, rather than buyers, which in turn further prices low</w:t>
      </w:r>
      <w:r w:rsidR="0004287B">
        <w:noBreakHyphen/>
      </w:r>
      <w:r w:rsidRPr="009C0EA0">
        <w:t xml:space="preserve"> and middle</w:t>
      </w:r>
      <w:r w:rsidR="0004287B">
        <w:noBreakHyphen/>
      </w:r>
      <w:r w:rsidRPr="009C0EA0">
        <w:t>income households out of owning their own home.</w:t>
      </w:r>
      <w:r w:rsidRPr="009C0EA0">
        <w:rPr>
          <w:rStyle w:val="FootnoteReference"/>
        </w:rPr>
        <w:footnoteReference w:id="35"/>
      </w:r>
      <w:r w:rsidR="00A046F6" w:rsidRPr="009C0EA0">
        <w:t xml:space="preserve"> </w:t>
      </w:r>
      <w:r w:rsidR="008A0F5C" w:rsidRPr="009C0EA0">
        <w:t>Any s</w:t>
      </w:r>
      <w:r w:rsidR="00A046F6" w:rsidRPr="009C0EA0">
        <w:t xml:space="preserve">upport for </w:t>
      </w:r>
      <w:r w:rsidR="00A90135" w:rsidRPr="009C0EA0">
        <w:t xml:space="preserve">home ownership </w:t>
      </w:r>
      <w:r w:rsidR="008A0F5C" w:rsidRPr="009C0EA0">
        <w:t>should</w:t>
      </w:r>
      <w:r w:rsidR="00A90135" w:rsidRPr="009C0EA0">
        <w:t xml:space="preserve"> be</w:t>
      </w:r>
      <w:r w:rsidR="00D46FDE" w:rsidRPr="009C0EA0">
        <w:t xml:space="preserve"> specific and</w:t>
      </w:r>
      <w:r w:rsidR="00A90135" w:rsidRPr="009C0EA0">
        <w:t xml:space="preserve"> targeted</w:t>
      </w:r>
      <w:r w:rsidR="00D46FDE" w:rsidRPr="009C0EA0">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0F104C" w14:paraId="1044D66D" w14:textId="77777777" w:rsidTr="007913DD">
        <w:trPr>
          <w:cantSplit/>
        </w:trPr>
        <w:tc>
          <w:tcPr>
            <w:tcW w:w="5000" w:type="pct"/>
            <w:shd w:val="clear" w:color="auto" w:fill="E6F2FF"/>
          </w:tcPr>
          <w:p w14:paraId="63B733B4" w14:textId="4CB9BBAF" w:rsidR="000F104C" w:rsidRPr="009C0EA0" w:rsidRDefault="000F104C" w:rsidP="000F104C">
            <w:pPr>
              <w:pStyle w:val="BoxHeading"/>
            </w:pPr>
            <w:r w:rsidRPr="009C0EA0">
              <w:lastRenderedPageBreak/>
              <w:t>Box 4.</w:t>
            </w:r>
            <w:r w:rsidR="00D549BD" w:rsidRPr="009C0EA0">
              <w:t>7</w:t>
            </w:r>
            <w:r w:rsidRPr="009C0EA0">
              <w:t xml:space="preserve"> Targets to increase supply: an alternative to demand stimulation</w:t>
            </w:r>
          </w:p>
          <w:p w14:paraId="7C7BE21A" w14:textId="38EC3FEA" w:rsidR="000F104C" w:rsidRPr="009C0EA0" w:rsidRDefault="000F104C" w:rsidP="004A65C0">
            <w:pPr>
              <w:pStyle w:val="BoxText"/>
            </w:pPr>
            <w:r w:rsidRPr="009C0EA0">
              <w:t xml:space="preserve">The initial target of </w:t>
            </w:r>
            <w:r w:rsidR="00CD1A9A" w:rsidRPr="009C0EA0">
              <w:t>1</w:t>
            </w:r>
            <w:r w:rsidR="00536DAD" w:rsidRPr="009C0EA0">
              <w:t> million</w:t>
            </w:r>
            <w:r w:rsidRPr="009C0EA0">
              <w:t xml:space="preserve"> new, well</w:t>
            </w:r>
            <w:r w:rsidR="0004287B">
              <w:noBreakHyphen/>
            </w:r>
            <w:r w:rsidRPr="009C0EA0">
              <w:t>located homes set in the Accord in October</w:t>
            </w:r>
            <w:r w:rsidR="00536DAD" w:rsidRPr="009C0EA0">
              <w:t> </w:t>
            </w:r>
            <w:r w:rsidRPr="009C0EA0">
              <w:t xml:space="preserve">2022 aimed to deliver significant new housing supply above that needed to keep pace with demand. Based on estimates at that time, it would have delivered sufficient new homes to achieve this. </w:t>
            </w:r>
          </w:p>
          <w:p w14:paraId="379DFDDA" w14:textId="34B98D5D" w:rsidR="000F104C" w:rsidRPr="009C0EA0" w:rsidRDefault="00F10657" w:rsidP="000F104C">
            <w:pPr>
              <w:pStyle w:val="BoxText"/>
            </w:pPr>
            <w:r w:rsidRPr="009C0EA0">
              <w:t>Higher interest rates</w:t>
            </w:r>
            <w:r w:rsidR="000F104C" w:rsidRPr="009C0EA0">
              <w:t xml:space="preserve"> were expected to dampen demand and slow the rate of new household formation. This would have reduced the pressure on the construction sector, allowing it to work through the large pipeline of work in progress that developed through the COVID</w:t>
            </w:r>
            <w:r w:rsidR="0004287B">
              <w:noBreakHyphen/>
            </w:r>
            <w:r w:rsidR="000F104C" w:rsidRPr="009C0EA0">
              <w:t xml:space="preserve">19 pandemic due to labour force shortages, supply chain challenges and demand stimulus. </w:t>
            </w:r>
          </w:p>
          <w:p w14:paraId="43205828" w14:textId="24A64F25" w:rsidR="000F104C" w:rsidRPr="000F104C" w:rsidRDefault="000F104C" w:rsidP="004A65C0">
            <w:pPr>
              <w:pStyle w:val="BoxText"/>
            </w:pPr>
            <w:r w:rsidRPr="009C0EA0">
              <w:t>However, the housing market remained resilient despite the changes in interest rates, and demand remained high. In part, this was driven by</w:t>
            </w:r>
            <w:r w:rsidRPr="000F104C">
              <w:t xml:space="preserve"> </w:t>
            </w:r>
            <w:r w:rsidR="00144055" w:rsidRPr="009C0EA0">
              <w:t>a recovery in</w:t>
            </w:r>
            <w:r w:rsidRPr="009C0EA0">
              <w:t xml:space="preserve"> population growth as Australia </w:t>
            </w:r>
            <w:r w:rsidR="00144055" w:rsidRPr="009C0EA0">
              <w:t>emerged</w:t>
            </w:r>
            <w:r w:rsidRPr="009C0EA0">
              <w:t xml:space="preserve"> from the pandemic and international borders reopened</w:t>
            </w:r>
            <w:r w:rsidRPr="000F104C">
              <w:t xml:space="preserve"> </w:t>
            </w:r>
            <w:r w:rsidRPr="009C0EA0">
              <w:t>and Australians demanding more space for housing to accommodate new activities, such as working from home. This higher</w:t>
            </w:r>
            <w:r w:rsidR="0004287B">
              <w:noBreakHyphen/>
            </w:r>
            <w:r w:rsidRPr="009C0EA0">
              <w:t>than</w:t>
            </w:r>
            <w:r w:rsidR="0004287B">
              <w:noBreakHyphen/>
            </w:r>
            <w:r w:rsidRPr="009C0EA0">
              <w:t xml:space="preserve">expected demand, combined with cost pressures and delays in the construction sector, has contributed to worsening affordability for many Australians. </w:t>
            </w:r>
          </w:p>
          <w:p w14:paraId="4AE2C6B4" w14:textId="265E90DF" w:rsidR="000F104C" w:rsidRPr="009C0EA0" w:rsidRDefault="000F104C" w:rsidP="0004233B">
            <w:pPr>
              <w:pStyle w:val="BoxText"/>
            </w:pPr>
            <w:r w:rsidRPr="009C0EA0">
              <w:t>As a result, the Australian Government agreed with state and territory governments to increase the target under the Accord to 1.2</w:t>
            </w:r>
            <w:r w:rsidR="00536DAD" w:rsidRPr="009C0EA0">
              <w:t> million</w:t>
            </w:r>
            <w:r w:rsidRPr="009C0EA0">
              <w:t xml:space="preserve"> new, well</w:t>
            </w:r>
            <w:r w:rsidR="0004287B">
              <w:noBreakHyphen/>
            </w:r>
            <w:r w:rsidRPr="009C0EA0">
              <w:t xml:space="preserve">located homes. This higher target will require additional policy reform to be met, but will ensure housing supply grows quickly enough to meet the needs of our population. Housing supply growth at this rate will enable more Australians to find the housing they want and will reduce pressure on prices. </w:t>
            </w:r>
          </w:p>
          <w:p w14:paraId="7FAFA473" w14:textId="6C76DDA6" w:rsidR="000F104C" w:rsidRPr="004A65C0" w:rsidRDefault="000F104C" w:rsidP="0004233B">
            <w:pPr>
              <w:pStyle w:val="BoxText"/>
            </w:pPr>
            <w:r w:rsidRPr="009C0EA0">
              <w:t xml:space="preserve">Changes to the supply side of the housing system required to meet this target will have long term benefits beyond the period of the Accord target. They will ensure Australia has a housing supply system responsive to demand as conditions change over time. </w:t>
            </w:r>
          </w:p>
        </w:tc>
      </w:tr>
    </w:tbl>
    <w:p w14:paraId="69528E20" w14:textId="77777777" w:rsidR="000F104C" w:rsidRDefault="000F104C" w:rsidP="00E151C9">
      <w:pPr>
        <w:rPr>
          <w:rFonts w:ascii="Arial Bold" w:hAnsi="Arial Bold"/>
          <w:sz w:val="26"/>
        </w:rPr>
      </w:pPr>
      <w:bookmarkStart w:id="54" w:name="_Toc166159066"/>
      <w:r>
        <w:br w:type="page"/>
      </w:r>
    </w:p>
    <w:p w14:paraId="5EF2EBD3" w14:textId="406B0579" w:rsidR="00584121" w:rsidRPr="009C0EA0" w:rsidRDefault="00584121" w:rsidP="000F104C">
      <w:pPr>
        <w:pStyle w:val="Heading2"/>
      </w:pPr>
      <w:bookmarkStart w:id="55" w:name="_Toc166253970"/>
      <w:bookmarkStart w:id="56" w:name="_Toc166254080"/>
      <w:bookmarkStart w:id="57" w:name="_Toc166355550"/>
      <w:r w:rsidRPr="009C0EA0">
        <w:lastRenderedPageBreak/>
        <w:t>The Government</w:t>
      </w:r>
      <w:r w:rsidR="0004287B">
        <w:t>’</w:t>
      </w:r>
      <w:r w:rsidRPr="009C0EA0">
        <w:t>s plan to meet Australia</w:t>
      </w:r>
      <w:r w:rsidR="0004287B">
        <w:t>’</w:t>
      </w:r>
      <w:r w:rsidRPr="009C0EA0">
        <w:t>s housing challenge</w:t>
      </w:r>
      <w:bookmarkEnd w:id="54"/>
      <w:bookmarkEnd w:id="55"/>
      <w:bookmarkEnd w:id="56"/>
      <w:bookmarkEnd w:id="57"/>
    </w:p>
    <w:p w14:paraId="284DE86D" w14:textId="5FB727AB" w:rsidR="00584121" w:rsidRPr="009C0EA0" w:rsidRDefault="00584121" w:rsidP="00584121">
      <w:r w:rsidRPr="009C0EA0">
        <w:t>The challenges in Australia</w:t>
      </w:r>
      <w:r w:rsidR="0004287B">
        <w:t>’</w:t>
      </w:r>
      <w:r w:rsidRPr="009C0EA0">
        <w:t>s housing system are caused by complex structural factors that have built up over time, and will take long term co</w:t>
      </w:r>
      <w:r w:rsidR="0004287B">
        <w:noBreakHyphen/>
      </w:r>
      <w:r w:rsidRPr="009C0EA0">
        <w:t xml:space="preserve">operative effort to address. </w:t>
      </w:r>
    </w:p>
    <w:p w14:paraId="4FDA7138" w14:textId="77777777" w:rsidR="00584121" w:rsidRPr="009C0EA0" w:rsidRDefault="00584121" w:rsidP="00584121">
      <w:r w:rsidRPr="009C0EA0">
        <w:t>That is why the Government is working with all levels of government, industry and investors to reform our housing system to make it fairer and more efficient; a system that delivers more homes and offers more assistance to those who need it. Australia needs a system more attuned to our future than our past.</w:t>
      </w:r>
    </w:p>
    <w:p w14:paraId="0A364019" w14:textId="28D67F38" w:rsidR="00584121" w:rsidRPr="009C0EA0" w:rsidRDefault="00584121" w:rsidP="00584121">
      <w:r w:rsidRPr="009C0EA0">
        <w:t>The Government</w:t>
      </w:r>
      <w:r w:rsidR="0004287B">
        <w:t>’</w:t>
      </w:r>
      <w:r w:rsidRPr="009C0EA0">
        <w:t>s vision is ambitious and deliberately designed to provoke change in the housing system. While change will take time, the Government is laying the foundations and working across all parts of the system to improve affordability and fairness.</w:t>
      </w:r>
    </w:p>
    <w:p w14:paraId="5E45AEE2" w14:textId="41C26C92" w:rsidR="00584121" w:rsidRPr="009C0EA0" w:rsidRDefault="00584121" w:rsidP="00584121">
      <w:r w:rsidRPr="009C0EA0">
        <w:t xml:space="preserve">It is in this context that the Government has a </w:t>
      </w:r>
      <w:r w:rsidR="00ED7C6F" w:rsidRPr="009C0EA0">
        <w:t xml:space="preserve">plan </w:t>
      </w:r>
      <w:r w:rsidRPr="009C0EA0">
        <w:t>to meet Australia</w:t>
      </w:r>
      <w:r w:rsidR="0004287B">
        <w:t>’</w:t>
      </w:r>
      <w:r w:rsidRPr="009C0EA0">
        <w:t>s housing challenge. It seeks to:</w:t>
      </w:r>
    </w:p>
    <w:p w14:paraId="32530FF6" w14:textId="77777777" w:rsidR="00584121" w:rsidRPr="009C0EA0" w:rsidRDefault="00584121" w:rsidP="00404B4A">
      <w:pPr>
        <w:pStyle w:val="Bullet"/>
      </w:pPr>
      <w:r w:rsidRPr="009C0EA0">
        <w:t>Kickstart construction of more homes by building infrastructure, training tradies, and cutting planning hurdles.</w:t>
      </w:r>
    </w:p>
    <w:p w14:paraId="37980D82" w14:textId="77777777" w:rsidR="00584121" w:rsidRPr="009C0EA0" w:rsidRDefault="00584121" w:rsidP="00404B4A">
      <w:pPr>
        <w:pStyle w:val="Bullet"/>
      </w:pPr>
      <w:r w:rsidRPr="009C0EA0">
        <w:t>Deliver the biggest investment in social and affordable housing in over a decade.</w:t>
      </w:r>
    </w:p>
    <w:p w14:paraId="5F4B1675" w14:textId="746B6964" w:rsidR="00584121" w:rsidRPr="009C0EA0" w:rsidRDefault="00584121" w:rsidP="00404B4A">
      <w:pPr>
        <w:pStyle w:val="Bullet"/>
      </w:pPr>
      <w:r w:rsidRPr="009C0EA0">
        <w:t>Provide more support for renters – including the biggest increase to rent assistance in more than 30 years</w:t>
      </w:r>
      <w:r w:rsidR="00B7621E" w:rsidRPr="009C0EA0">
        <w:t>.</w:t>
      </w:r>
    </w:p>
    <w:p w14:paraId="5EA9655D" w14:textId="77777777" w:rsidR="00584121" w:rsidRPr="009C0EA0" w:rsidRDefault="00584121" w:rsidP="00404B4A">
      <w:pPr>
        <w:pStyle w:val="Bullet"/>
      </w:pPr>
      <w:r w:rsidRPr="009C0EA0">
        <w:t>Help Australians buy their own home.</w:t>
      </w:r>
    </w:p>
    <w:p w14:paraId="23A278FA" w14:textId="53E9F9AF" w:rsidR="00584121" w:rsidRPr="009C0EA0" w:rsidRDefault="00584121" w:rsidP="00404B4A">
      <w:pPr>
        <w:pStyle w:val="Bullet"/>
      </w:pPr>
      <w:r w:rsidRPr="009C0EA0">
        <w:t xml:space="preserve">Double </w:t>
      </w:r>
      <w:r w:rsidR="009D37FC" w:rsidRPr="009C0EA0">
        <w:t>its dedicated</w:t>
      </w:r>
      <w:r w:rsidRPr="009C0EA0">
        <w:t xml:space="preserve"> homelessness funding and provide shelter for people in crisis – including women and children fleeing domestic violence, veterans, and youth.</w:t>
      </w:r>
    </w:p>
    <w:p w14:paraId="2B07E0A5" w14:textId="08F34AB7" w:rsidR="00584121" w:rsidRPr="009C0EA0" w:rsidRDefault="00584121" w:rsidP="00B47A8C">
      <w:r w:rsidRPr="009C0EA0">
        <w:t>This plan is backed up by $32</w:t>
      </w:r>
      <w:r w:rsidR="00536DAD" w:rsidRPr="009C0EA0">
        <w:t> billion</w:t>
      </w:r>
      <w:r w:rsidRPr="009C0EA0">
        <w:t xml:space="preserve"> in new </w:t>
      </w:r>
      <w:r w:rsidR="00F337B2">
        <w:t>commitments</w:t>
      </w:r>
      <w:r w:rsidRPr="009C0EA0">
        <w:t>. It is backed by an unprecedented level of cooperation with state, territories and local governments, industry and investors through the National Housing Accord. Actions include:</w:t>
      </w:r>
    </w:p>
    <w:p w14:paraId="6841DAE7" w14:textId="5196F3D2" w:rsidR="00584121" w:rsidRPr="00404B4A" w:rsidRDefault="00584121" w:rsidP="00404B4A">
      <w:pPr>
        <w:pStyle w:val="Bullet"/>
      </w:pPr>
      <w:r w:rsidRPr="009C0EA0">
        <w:t>A target for 1.2</w:t>
      </w:r>
      <w:r w:rsidR="00536DAD" w:rsidRPr="009C0EA0">
        <w:t> million</w:t>
      </w:r>
      <w:r w:rsidRPr="009C0EA0">
        <w:t xml:space="preserve"> new, well</w:t>
      </w:r>
      <w:r w:rsidR="0004287B">
        <w:noBreakHyphen/>
      </w:r>
      <w:r w:rsidRPr="009C0EA0">
        <w:t>located homes</w:t>
      </w:r>
      <w:r w:rsidR="00FC35DA" w:rsidRPr="009C0EA0">
        <w:t>.</w:t>
      </w:r>
    </w:p>
    <w:p w14:paraId="4177BC44" w14:textId="562D488A" w:rsidR="00584121" w:rsidRPr="009C0EA0" w:rsidRDefault="00584121" w:rsidP="00404B4A">
      <w:pPr>
        <w:pStyle w:val="Bullet"/>
      </w:pPr>
      <w:r w:rsidRPr="009C0EA0">
        <w:t xml:space="preserve">Funding </w:t>
      </w:r>
      <w:r w:rsidR="009217B9" w:rsidRPr="009C0EA0">
        <w:t>40</w:t>
      </w:r>
      <w:r w:rsidRPr="009C0EA0">
        <w:t>,000 new social and affordable homes</w:t>
      </w:r>
      <w:r w:rsidR="00FC35DA" w:rsidRPr="009C0EA0">
        <w:t>.</w:t>
      </w:r>
    </w:p>
    <w:p w14:paraId="297E4935" w14:textId="5A46EF70" w:rsidR="00584121" w:rsidRPr="009C0EA0" w:rsidRDefault="00DC5AFC" w:rsidP="00404B4A">
      <w:pPr>
        <w:pStyle w:val="Bullet"/>
      </w:pPr>
      <w:r w:rsidRPr="009C0EA0">
        <w:t>The first back</w:t>
      </w:r>
      <w:r w:rsidR="0004287B">
        <w:noBreakHyphen/>
      </w:r>
      <w:r w:rsidRPr="009C0EA0">
        <w:t>to</w:t>
      </w:r>
      <w:r w:rsidR="0004287B">
        <w:noBreakHyphen/>
      </w:r>
      <w:r w:rsidRPr="009C0EA0">
        <w:t>back</w:t>
      </w:r>
      <w:r w:rsidR="0000359B" w:rsidRPr="009C0EA0">
        <w:t xml:space="preserve"> increase</w:t>
      </w:r>
      <w:r w:rsidRPr="009C0EA0">
        <w:t xml:space="preserve"> in the maximum rates o</w:t>
      </w:r>
      <w:r w:rsidR="0000359B" w:rsidRPr="009C0EA0">
        <w:t>f</w:t>
      </w:r>
      <w:r w:rsidRPr="009C0EA0">
        <w:t xml:space="preserve"> Commonwealth Rent Assistance outside of indexation changes in three decades.</w:t>
      </w:r>
    </w:p>
    <w:p w14:paraId="6CCB3B2F" w14:textId="65C6A0EA" w:rsidR="00584121" w:rsidRPr="00404B4A" w:rsidRDefault="00584121" w:rsidP="00404B4A">
      <w:pPr>
        <w:pStyle w:val="Bullet"/>
      </w:pPr>
      <w:r w:rsidRPr="009C0EA0">
        <w:t xml:space="preserve">Helping more </w:t>
      </w:r>
      <w:r w:rsidR="009217B9" w:rsidRPr="009C0EA0">
        <w:t>Australian</w:t>
      </w:r>
      <w:r w:rsidR="00736013" w:rsidRPr="009C0EA0">
        <w:t xml:space="preserve">s </w:t>
      </w:r>
      <w:r w:rsidRPr="009C0EA0">
        <w:t>into home ownership.</w:t>
      </w:r>
      <w:r w:rsidRPr="00404B4A">
        <w:t xml:space="preserve"> </w:t>
      </w:r>
    </w:p>
    <w:p w14:paraId="0AE2BAA2" w14:textId="5EF8B9D4" w:rsidR="000A246D" w:rsidRPr="009C0EA0" w:rsidRDefault="000A246D" w:rsidP="0060679C">
      <w:r w:rsidRPr="009C0EA0">
        <w:t>The development of the</w:t>
      </w:r>
      <w:r w:rsidR="00733121" w:rsidRPr="009C0EA0">
        <w:t xml:space="preserve"> 10</w:t>
      </w:r>
      <w:r w:rsidR="0004287B">
        <w:noBreakHyphen/>
      </w:r>
      <w:r w:rsidR="00733121" w:rsidRPr="009C0EA0">
        <w:t>year</w:t>
      </w:r>
      <w:r w:rsidRPr="009C0EA0">
        <w:t xml:space="preserve"> </w:t>
      </w:r>
      <w:r w:rsidRPr="009C0EA0">
        <w:rPr>
          <w:rStyle w:val="Strong"/>
          <w:color w:val="auto"/>
        </w:rPr>
        <w:t>National Housing and Homelessness Plan (the Plan)</w:t>
      </w:r>
      <w:r w:rsidRPr="009C0EA0">
        <w:t xml:space="preserve"> is a critical component of the Government</w:t>
      </w:r>
      <w:r w:rsidR="0004287B">
        <w:t>’</w:t>
      </w:r>
      <w:r w:rsidRPr="009C0EA0">
        <w:t xml:space="preserve">s housing strategy. It seeks to set a shared vision from all levels of government </w:t>
      </w:r>
      <w:r w:rsidR="00733121" w:rsidRPr="009C0EA0">
        <w:t>and work with the private and community sector to address housing challenges</w:t>
      </w:r>
      <w:r w:rsidRPr="009C0EA0">
        <w:t>, including the need to deliver more housing supply.</w:t>
      </w:r>
    </w:p>
    <w:p w14:paraId="66C2C04C" w14:textId="2036B82F" w:rsidR="00584121" w:rsidRPr="009C0EA0" w:rsidRDefault="006732B5" w:rsidP="00584121">
      <w:pPr>
        <w:pStyle w:val="Heading3"/>
        <w:rPr>
          <w:b w:val="0"/>
          <w:sz w:val="20"/>
          <w:szCs w:val="18"/>
        </w:rPr>
      </w:pPr>
      <w:bookmarkStart w:id="58" w:name="_Toc166253971"/>
      <w:bookmarkStart w:id="59" w:name="_Toc166355551"/>
      <w:bookmarkStart w:id="60" w:name="_Toc166159067"/>
      <w:r w:rsidRPr="009C0EA0">
        <w:lastRenderedPageBreak/>
        <w:t>Kickstarting construction of more homes</w:t>
      </w:r>
      <w:bookmarkEnd w:id="58"/>
      <w:bookmarkEnd w:id="59"/>
      <w:r w:rsidR="00584121" w:rsidRPr="009C0EA0">
        <w:t xml:space="preserve"> </w:t>
      </w:r>
      <w:bookmarkEnd w:id="60"/>
    </w:p>
    <w:p w14:paraId="5858035E" w14:textId="56C8BB49" w:rsidR="00584121" w:rsidRPr="009C0EA0" w:rsidRDefault="00584121" w:rsidP="00584121">
      <w:r w:rsidRPr="009C0EA0">
        <w:t>Correcting Australia</w:t>
      </w:r>
      <w:r w:rsidR="0004287B">
        <w:t>’</w:t>
      </w:r>
      <w:r w:rsidRPr="009C0EA0">
        <w:t>s housing shortage requires governments to create a policy environment that better enables industry and investors to respond to demand. This means getting the planning system right, fixing labour and skills shortages and providing the infrastructure to enable more homes to come on</w:t>
      </w:r>
      <w:r w:rsidR="0004287B">
        <w:noBreakHyphen/>
      </w:r>
      <w:r w:rsidRPr="009C0EA0">
        <w:t>line faster and more economically. It means creating the governance arrangements for these cross</w:t>
      </w:r>
      <w:r w:rsidR="0004287B">
        <w:noBreakHyphen/>
      </w:r>
      <w:r w:rsidRPr="009C0EA0">
        <w:t>jurisdictional issues to be resolved effectively so communities can better hold their governments to account for the homes they</w:t>
      </w:r>
      <w:r w:rsidR="0060679C" w:rsidRPr="009C0EA0">
        <w:t> </w:t>
      </w:r>
      <w:r w:rsidRPr="009C0EA0">
        <w:t>deliver.</w:t>
      </w:r>
    </w:p>
    <w:p w14:paraId="08902088" w14:textId="555C307B" w:rsidR="00584121" w:rsidRPr="009C0EA0" w:rsidRDefault="00584121" w:rsidP="00584121">
      <w:r w:rsidRPr="009C0EA0">
        <w:t xml:space="preserve">The </w:t>
      </w:r>
      <w:r w:rsidRPr="009C0EA0">
        <w:rPr>
          <w:rStyle w:val="Strong"/>
          <w:color w:val="auto"/>
        </w:rPr>
        <w:t>National Housing Accord</w:t>
      </w:r>
      <w:r w:rsidRPr="009C0EA0">
        <w:t>, which creates a framework for inter</w:t>
      </w:r>
      <w:r w:rsidR="0004287B">
        <w:noBreakHyphen/>
      </w:r>
      <w:r w:rsidRPr="009C0EA0">
        <w:t>government collaboration, is central to the Government</w:t>
      </w:r>
      <w:r w:rsidR="0004287B">
        <w:t>’</w:t>
      </w:r>
      <w:r w:rsidRPr="009C0EA0">
        <w:t>s plan to address the inter</w:t>
      </w:r>
      <w:r w:rsidR="0004287B">
        <w:noBreakHyphen/>
      </w:r>
      <w:r w:rsidRPr="009C0EA0">
        <w:t xml:space="preserve">jurisdictional factors affecting supply. It brings together state, territory and local governments, along with industry and investors to work cooperatively to increase the supply of new homes. </w:t>
      </w:r>
    </w:p>
    <w:p w14:paraId="1C3CC6DE" w14:textId="0799A23C" w:rsidR="00584121" w:rsidRPr="009C0EA0" w:rsidRDefault="00584121" w:rsidP="00584121">
      <w:r w:rsidRPr="009C0EA0">
        <w:t>The Accord seeks to deliver 1.2</w:t>
      </w:r>
      <w:r w:rsidR="00536DAD" w:rsidRPr="009C0EA0">
        <w:t> million</w:t>
      </w:r>
      <w:r w:rsidRPr="009C0EA0">
        <w:t xml:space="preserve"> new, well</w:t>
      </w:r>
      <w:r w:rsidR="0004287B">
        <w:noBreakHyphen/>
      </w:r>
      <w:r w:rsidRPr="009C0EA0">
        <w:t>located homes from 1</w:t>
      </w:r>
      <w:r w:rsidR="00536DAD" w:rsidRPr="009C0EA0">
        <w:t> </w:t>
      </w:r>
      <w:r w:rsidRPr="009C0EA0">
        <w:t>July</w:t>
      </w:r>
      <w:r w:rsidR="00536DAD" w:rsidRPr="009C0EA0">
        <w:t> </w:t>
      </w:r>
      <w:r w:rsidRPr="009C0EA0">
        <w:t>2024 to 30</w:t>
      </w:r>
      <w:r w:rsidR="004A65C0" w:rsidRPr="009C0EA0">
        <w:t> </w:t>
      </w:r>
      <w:r w:rsidRPr="009C0EA0">
        <w:t>June</w:t>
      </w:r>
      <w:r w:rsidR="004A65C0" w:rsidRPr="009C0EA0">
        <w:t> </w:t>
      </w:r>
      <w:r w:rsidRPr="009C0EA0">
        <w:t xml:space="preserve">2029. It will focus on developing strategies for the planning system to support more homes, to make sure the right skills are available to build more homes and that investors supply more finance to fund more homes. The target is aimed to deliver significant new housing supply above that needed to keep pace with demand, to accommodate </w:t>
      </w:r>
      <w:r w:rsidR="005B463A" w:rsidRPr="009C0EA0">
        <w:t xml:space="preserve">our </w:t>
      </w:r>
      <w:r w:rsidRPr="009C0EA0">
        <w:t>population and support a slow but steady decline in average household size.</w:t>
      </w:r>
    </w:p>
    <w:p w14:paraId="62A5F4BC" w14:textId="7B2C64A7" w:rsidR="00584121" w:rsidRPr="00B35D17" w:rsidRDefault="00584121" w:rsidP="00584121">
      <w:r w:rsidRPr="009C0EA0">
        <w:t>Work under the National Housing Accord, including progress under its targets, is regularly monitored by Treasurers through the Council o</w:t>
      </w:r>
      <w:r w:rsidR="004F5DF9" w:rsidRPr="009C0EA0">
        <w:t>n</w:t>
      </w:r>
      <w:r w:rsidRPr="009C0EA0">
        <w:t xml:space="preserve"> Federal Financial Relations.</w:t>
      </w:r>
    </w:p>
    <w:p w14:paraId="13AAB215" w14:textId="00CBA9AA" w:rsidR="00584121" w:rsidRPr="009C0EA0" w:rsidRDefault="00584121" w:rsidP="00584121">
      <w:r w:rsidRPr="009C0EA0">
        <w:t xml:space="preserve">Delivering the enabling infrastructure to support new developments can be costly, and in some cases, uneconomical for private developers. That is why it can often act as a bottleneck preventing new supply from coming on the market. To overcome this barrier to new housing, the </w:t>
      </w:r>
      <w:r w:rsidRPr="009C0EA0">
        <w:rPr>
          <w:rStyle w:val="Strong"/>
          <w:color w:val="auto"/>
        </w:rPr>
        <w:t>Housing Support Program</w:t>
      </w:r>
      <w:r w:rsidRPr="009C0EA0">
        <w:t xml:space="preserve"> will offer state and local governments $500</w:t>
      </w:r>
      <w:r w:rsidR="00536DAD" w:rsidRPr="009C0EA0">
        <w:t> million</w:t>
      </w:r>
      <w:r w:rsidRPr="009C0EA0">
        <w:t xml:space="preserve"> to develop the infrastructure required to enable new homes to be built (for example, connecting sewerage and water and roads). This will be boosted by an additional $1</w:t>
      </w:r>
      <w:r w:rsidR="00536DAD" w:rsidRPr="009C0EA0">
        <w:t> billion</w:t>
      </w:r>
      <w:r w:rsidRPr="009C0EA0">
        <w:t xml:space="preserve"> made available in this Budget to states and territories to deliver enabling infrastructure, taking the Government</w:t>
      </w:r>
      <w:r w:rsidR="0004287B">
        <w:t>’</w:t>
      </w:r>
      <w:r w:rsidRPr="009C0EA0">
        <w:t>s total investment in the Housing Support Program to $1.5</w:t>
      </w:r>
      <w:r w:rsidR="00536DAD" w:rsidRPr="009C0EA0">
        <w:t> billion</w:t>
      </w:r>
      <w:r w:rsidRPr="009C0EA0">
        <w:t xml:space="preserve">. </w:t>
      </w:r>
    </w:p>
    <w:p w14:paraId="167E84AE" w14:textId="4F407BB4" w:rsidR="00584121" w:rsidRPr="009C0EA0" w:rsidRDefault="00584121" w:rsidP="00584121">
      <w:r w:rsidRPr="009C0EA0">
        <w:t xml:space="preserve">The </w:t>
      </w:r>
      <w:r w:rsidR="00B15148" w:rsidRPr="009C0EA0">
        <w:t>Australian Government</w:t>
      </w:r>
      <w:r w:rsidRPr="009C0EA0">
        <w:t xml:space="preserve"> has committed $3</w:t>
      </w:r>
      <w:r w:rsidR="00536DAD" w:rsidRPr="009C0EA0">
        <w:t> billion</w:t>
      </w:r>
      <w:r w:rsidRPr="009C0EA0">
        <w:t xml:space="preserve"> in incentive payments to help deliver the 1.2</w:t>
      </w:r>
      <w:r w:rsidR="00536DAD" w:rsidRPr="009C0EA0">
        <w:t> million</w:t>
      </w:r>
      <w:r w:rsidRPr="009C0EA0">
        <w:t xml:space="preserve"> new homes target through the </w:t>
      </w:r>
      <w:r w:rsidRPr="009C0EA0">
        <w:rPr>
          <w:rStyle w:val="Strong"/>
          <w:color w:val="auto"/>
        </w:rPr>
        <w:t>New Homes Bonus</w:t>
      </w:r>
      <w:r w:rsidRPr="009C0EA0">
        <w:rPr>
          <w:b/>
          <w:bCs/>
        </w:rPr>
        <w:t xml:space="preserve">. </w:t>
      </w:r>
      <w:r w:rsidRPr="009C0EA0">
        <w:t>This will give states and territories greater financial capacity to fund changes to planning and zoning systems as well as support the land release programs needed to reach the target.</w:t>
      </w:r>
    </w:p>
    <w:p w14:paraId="0EB4D1C5" w14:textId="3AD9B3D5" w:rsidR="00584121" w:rsidRPr="009C0EA0" w:rsidRDefault="00584121" w:rsidP="00584121">
      <w:r w:rsidRPr="009C0EA0">
        <w:t xml:space="preserve">Improving the planning system so it facilitates more homes will also be progressed through the </w:t>
      </w:r>
      <w:r w:rsidRPr="009C0EA0">
        <w:rPr>
          <w:rStyle w:val="Strong"/>
          <w:color w:val="auto"/>
        </w:rPr>
        <w:t>National Planning Reform Blueprint (the Blueprint).</w:t>
      </w:r>
      <w:r w:rsidRPr="009C0EA0">
        <w:rPr>
          <w:b/>
          <w:bCs/>
        </w:rPr>
        <w:t xml:space="preserve"> </w:t>
      </w:r>
      <w:r w:rsidRPr="009C0EA0">
        <w:t>The Blueprint brings planning ministers together to progress 17 reforms to deliver more homes</w:t>
      </w:r>
      <w:r w:rsidR="0006491D" w:rsidRPr="009C0EA0">
        <w:t>.</w:t>
      </w:r>
      <w:r w:rsidRPr="009C0EA0">
        <w:t xml:space="preserve"> These include: </w:t>
      </w:r>
    </w:p>
    <w:p w14:paraId="49E01BC7" w14:textId="6DFF63EF" w:rsidR="00584121" w:rsidRPr="009C0EA0" w:rsidRDefault="00584121" w:rsidP="00584121">
      <w:pPr>
        <w:pStyle w:val="Bullet"/>
      </w:pPr>
      <w:r w:rsidRPr="009C0EA0">
        <w:t>Streamlining development approvals</w:t>
      </w:r>
      <w:r w:rsidR="0006491D" w:rsidRPr="009C0EA0">
        <w:t>.</w:t>
      </w:r>
    </w:p>
    <w:p w14:paraId="35967763" w14:textId="6DBABF9D" w:rsidR="00584121" w:rsidRPr="009C0EA0" w:rsidRDefault="00584121" w:rsidP="00584121">
      <w:pPr>
        <w:pStyle w:val="Bullet"/>
      </w:pPr>
      <w:r w:rsidRPr="009C0EA0">
        <w:t>Identifying well</w:t>
      </w:r>
      <w:r w:rsidR="0004287B">
        <w:noBreakHyphen/>
      </w:r>
      <w:r w:rsidRPr="009C0EA0">
        <w:t>located development ready land</w:t>
      </w:r>
      <w:r w:rsidR="0006491D" w:rsidRPr="009C0EA0">
        <w:t>.</w:t>
      </w:r>
    </w:p>
    <w:p w14:paraId="686EDF7D" w14:textId="74773CE4" w:rsidR="00584121" w:rsidRPr="009C0EA0" w:rsidRDefault="00584121" w:rsidP="00584121">
      <w:pPr>
        <w:pStyle w:val="Bullet"/>
      </w:pPr>
      <w:r w:rsidRPr="009C0EA0">
        <w:lastRenderedPageBreak/>
        <w:t>Increasing density in target areas</w:t>
      </w:r>
      <w:r w:rsidR="0006491D" w:rsidRPr="009C0EA0">
        <w:t>.</w:t>
      </w:r>
    </w:p>
    <w:p w14:paraId="0080A60A" w14:textId="324C3E3D" w:rsidR="00584121" w:rsidRPr="009C0EA0" w:rsidRDefault="00584121" w:rsidP="00584121">
      <w:pPr>
        <w:pStyle w:val="Bullet"/>
      </w:pPr>
      <w:r w:rsidRPr="009C0EA0">
        <w:t>Identifying how housing can be built faster on sites with development approval but where development has not commenced (</w:t>
      </w:r>
      <w:r w:rsidR="005B463A" w:rsidRPr="009C0EA0">
        <w:t>i.e.</w:t>
      </w:r>
      <w:r w:rsidRPr="009C0EA0">
        <w:t xml:space="preserve"> activating </w:t>
      </w:r>
      <w:r w:rsidR="0004287B">
        <w:t>‘</w:t>
      </w:r>
      <w:r w:rsidRPr="009C0EA0">
        <w:t>zombie</w:t>
      </w:r>
      <w:r w:rsidR="0004287B">
        <w:t>’</w:t>
      </w:r>
      <w:r w:rsidRPr="009C0EA0">
        <w:t xml:space="preserve"> approvals)</w:t>
      </w:r>
      <w:r w:rsidR="0006491D" w:rsidRPr="009C0EA0">
        <w:t>.</w:t>
      </w:r>
    </w:p>
    <w:p w14:paraId="626E8920" w14:textId="7F6F7D3B" w:rsidR="00584121" w:rsidRPr="009C0EA0" w:rsidRDefault="00584121" w:rsidP="00584121">
      <w:pPr>
        <w:pStyle w:val="Bullet"/>
      </w:pPr>
      <w:r w:rsidRPr="009C0EA0">
        <w:t>Ensuring that state, regional and local strategic plans reflect their share of the national 1.2</w:t>
      </w:r>
      <w:r w:rsidR="00536DAD" w:rsidRPr="009C0EA0">
        <w:t> million</w:t>
      </w:r>
      <w:r w:rsidRPr="009C0EA0">
        <w:t xml:space="preserve"> new homes target. </w:t>
      </w:r>
    </w:p>
    <w:p w14:paraId="458F7302" w14:textId="608C3C53" w:rsidR="00584121" w:rsidRPr="00B35D17" w:rsidRDefault="00584121" w:rsidP="004A65C0">
      <w:r w:rsidRPr="009C0EA0">
        <w:t xml:space="preserve">Planning ministers will report on their progress in implementing the Blueprint </w:t>
      </w:r>
      <w:r w:rsidR="00926F1E" w:rsidRPr="009C0EA0">
        <w:t>twice a year</w:t>
      </w:r>
      <w:r w:rsidRPr="009C0EA0">
        <w:t xml:space="preserve"> to National Cabinet.</w:t>
      </w:r>
    </w:p>
    <w:p w14:paraId="4A76DD8B" w14:textId="3F696549" w:rsidR="0062031F" w:rsidRPr="00B35D17" w:rsidRDefault="00584121" w:rsidP="004A65C0">
      <w:r w:rsidRPr="009C0EA0">
        <w:t>The structural barriers to new homes will not be overcome unless the skills and labour shortages are addressed. That is why the Government is investing $8</w:t>
      </w:r>
      <w:r w:rsidR="00810D21" w:rsidRPr="009C0EA0">
        <w:t>8.8</w:t>
      </w:r>
      <w:r w:rsidR="00536DAD" w:rsidRPr="009C0EA0">
        <w:t> million</w:t>
      </w:r>
      <w:r w:rsidRPr="009C0EA0">
        <w:t xml:space="preserve"> </w:t>
      </w:r>
      <w:r w:rsidRPr="009C0EA0">
        <w:rPr>
          <w:rStyle w:val="Strong"/>
          <w:color w:val="auto"/>
        </w:rPr>
        <w:t>to grow the pipeline of construction workers</w:t>
      </w:r>
      <w:r w:rsidRPr="009C0EA0">
        <w:t xml:space="preserve"> through 20,000 additional fee</w:t>
      </w:r>
      <w:r w:rsidR="0004287B">
        <w:noBreakHyphen/>
      </w:r>
      <w:r w:rsidRPr="009C0EA0">
        <w:t xml:space="preserve">free </w:t>
      </w:r>
      <w:r w:rsidR="00C86A7F" w:rsidRPr="009C0EA0">
        <w:t xml:space="preserve">TAFE and </w:t>
      </w:r>
      <w:r w:rsidRPr="009C0EA0">
        <w:t>pre</w:t>
      </w:r>
      <w:r w:rsidR="0004287B">
        <w:noBreakHyphen/>
      </w:r>
      <w:r w:rsidRPr="009C0EA0">
        <w:t xml:space="preserve">apprenticeship </w:t>
      </w:r>
      <w:r w:rsidR="00524F42" w:rsidRPr="009C0EA0">
        <w:t>places</w:t>
      </w:r>
      <w:r w:rsidR="00B822ED" w:rsidRPr="009C0EA0">
        <w:t xml:space="preserve">. This is </w:t>
      </w:r>
      <w:r w:rsidR="00733121" w:rsidRPr="009C0EA0">
        <w:t xml:space="preserve">in addition to </w:t>
      </w:r>
      <w:r w:rsidR="00B822ED" w:rsidRPr="009C0EA0">
        <w:t xml:space="preserve">the </w:t>
      </w:r>
      <w:r w:rsidR="00A63509" w:rsidRPr="009C0EA0">
        <w:t>more than 355</w:t>
      </w:r>
      <w:r w:rsidR="00B822ED" w:rsidRPr="009C0EA0">
        <w:t>,000</w:t>
      </w:r>
      <w:r w:rsidR="00733121" w:rsidRPr="009C0EA0">
        <w:t xml:space="preserve"> fee</w:t>
      </w:r>
      <w:r w:rsidR="0004287B">
        <w:noBreakHyphen/>
      </w:r>
      <w:r w:rsidR="00733121" w:rsidRPr="009C0EA0">
        <w:t xml:space="preserve">free </w:t>
      </w:r>
      <w:r w:rsidR="00B822ED" w:rsidRPr="009C0EA0">
        <w:t xml:space="preserve">TAFE </w:t>
      </w:r>
      <w:r w:rsidR="00733121" w:rsidRPr="009C0EA0">
        <w:t>places already delivered</w:t>
      </w:r>
      <w:r w:rsidR="00B822ED" w:rsidRPr="009C0EA0">
        <w:t xml:space="preserve"> in 2023</w:t>
      </w:r>
      <w:r w:rsidR="00A63509" w:rsidRPr="009C0EA0">
        <w:t>, of which 24,200 were in the construction sector</w:t>
      </w:r>
      <w:r w:rsidRPr="009C0EA0">
        <w:t xml:space="preserve">. </w:t>
      </w:r>
      <w:r w:rsidR="00952127" w:rsidRPr="009C0EA0">
        <w:t>The Government will also provide $1.8</w:t>
      </w:r>
      <w:r w:rsidR="00536DAD" w:rsidRPr="009C0EA0">
        <w:t> million</w:t>
      </w:r>
      <w:r w:rsidR="00952127" w:rsidRPr="009C0EA0">
        <w:t xml:space="preserve"> to deliver streamlined skills assessments for</w:t>
      </w:r>
      <w:r w:rsidR="009008E0" w:rsidRPr="009C0EA0">
        <w:t xml:space="preserve"> around 1,900</w:t>
      </w:r>
      <w:r w:rsidR="00952127" w:rsidRPr="009C0EA0">
        <w:t xml:space="preserve"> migrants from comparable countries to work in Australia</w:t>
      </w:r>
      <w:r w:rsidR="0004287B">
        <w:t>’</w:t>
      </w:r>
      <w:r w:rsidR="00952127" w:rsidRPr="009C0EA0">
        <w:t>s housing construction industry.</w:t>
      </w:r>
      <w:r w:rsidR="00BD3BCC" w:rsidRPr="009C0EA0">
        <w:t xml:space="preserve"> </w:t>
      </w:r>
    </w:p>
    <w:p w14:paraId="76CE5308" w14:textId="2F3FEE8A" w:rsidR="008672AD" w:rsidRPr="00B35D17" w:rsidRDefault="00584121" w:rsidP="004A65C0">
      <w:r w:rsidRPr="009C0EA0">
        <w:t xml:space="preserve">The Government will </w:t>
      </w:r>
      <w:r w:rsidR="009008E0" w:rsidRPr="009C0EA0">
        <w:t>implement regulatory requirements to ensure</w:t>
      </w:r>
      <w:r w:rsidRPr="009C0EA0">
        <w:t xml:space="preserve"> universities </w:t>
      </w:r>
      <w:r w:rsidRPr="009C0EA0">
        <w:rPr>
          <w:rStyle w:val="Strong"/>
          <w:color w:val="auto"/>
        </w:rPr>
        <w:t>deliver more purpose</w:t>
      </w:r>
      <w:r w:rsidR="0004287B">
        <w:rPr>
          <w:rStyle w:val="Strong"/>
          <w:color w:val="auto"/>
        </w:rPr>
        <w:noBreakHyphen/>
      </w:r>
      <w:r w:rsidRPr="009C0EA0">
        <w:rPr>
          <w:rStyle w:val="Strong"/>
          <w:color w:val="auto"/>
        </w:rPr>
        <w:t>built student accommodation (PBSA)</w:t>
      </w:r>
      <w:r w:rsidRPr="009C0EA0">
        <w:t xml:space="preserve">. This will increase the level of housing supply and help to ensure that increases in international student numbers do not put pressure on the domestic housing market. </w:t>
      </w:r>
      <w:r w:rsidR="00810D21" w:rsidRPr="009C0EA0">
        <w:t>Following consultation with the sector, t</w:t>
      </w:r>
      <w:r w:rsidRPr="009C0EA0">
        <w:t xml:space="preserve">he Government will set limits for how many international students can be enrolled by each university based on </w:t>
      </w:r>
      <w:r w:rsidR="002E4A92" w:rsidRPr="009C0EA0">
        <w:t xml:space="preserve">factors including </w:t>
      </w:r>
      <w:r w:rsidRPr="009C0EA0">
        <w:t>how much student accommodation they provide</w:t>
      </w:r>
      <w:r w:rsidR="00303C2D" w:rsidRPr="009C0EA0">
        <w:t>.</w:t>
      </w:r>
      <w:r w:rsidR="0053496C" w:rsidRPr="009C0EA0">
        <w:t xml:space="preserve"> The Government</w:t>
      </w:r>
      <w:r w:rsidR="008672AD" w:rsidRPr="009C0EA0">
        <w:t xml:space="preserve"> will require universities to establish new, purpose</w:t>
      </w:r>
      <w:r w:rsidR="0004287B">
        <w:noBreakHyphen/>
      </w:r>
      <w:r w:rsidR="008672AD" w:rsidRPr="009C0EA0">
        <w:t xml:space="preserve">built student accommodation </w:t>
      </w:r>
      <w:r w:rsidR="009008E0" w:rsidRPr="009C0EA0">
        <w:t>should they wish to</w:t>
      </w:r>
      <w:r w:rsidR="008672AD" w:rsidRPr="009C0EA0">
        <w:t xml:space="preserve"> increase their international student enrolments above their initial allocation.</w:t>
      </w:r>
      <w:r w:rsidR="0053496C" w:rsidRPr="009C0EA0">
        <w:t xml:space="preserve"> </w:t>
      </w:r>
      <w:r w:rsidR="008672AD" w:rsidRPr="009C0EA0">
        <w:t>Any new accommodation built will be available to both local and international students.</w:t>
      </w:r>
      <w:r w:rsidR="0053496C" w:rsidRPr="009C0EA0">
        <w:t xml:space="preserve"> </w:t>
      </w:r>
      <w:r w:rsidR="008672AD" w:rsidRPr="009C0EA0">
        <w:t xml:space="preserve">This reform will build more student housing, </w:t>
      </w:r>
      <w:r w:rsidR="004A2C18" w:rsidRPr="009C0EA0">
        <w:t>reduce pressure on</w:t>
      </w:r>
      <w:r w:rsidR="008672AD" w:rsidRPr="009C0EA0">
        <w:t xml:space="preserve"> house prices and rents in our cities and ensure universities continue to be</w:t>
      </w:r>
      <w:r w:rsidR="001C2009" w:rsidRPr="009C0EA0">
        <w:t>nefit</w:t>
      </w:r>
      <w:r w:rsidR="000F78B5" w:rsidRPr="009C0EA0">
        <w:t xml:space="preserve"> from </w:t>
      </w:r>
      <w:r w:rsidR="00775335" w:rsidRPr="009C0EA0">
        <w:t xml:space="preserve">the </w:t>
      </w:r>
      <w:r w:rsidR="008672AD" w:rsidRPr="009C0EA0">
        <w:t>overseas student</w:t>
      </w:r>
      <w:r w:rsidR="00775335" w:rsidRPr="009C0EA0">
        <w:t xml:space="preserve"> market</w:t>
      </w:r>
      <w:r w:rsidR="0004287B">
        <w:t xml:space="preserve">. </w:t>
      </w:r>
    </w:p>
    <w:p w14:paraId="714D484F" w14:textId="60E8F3CC" w:rsidR="00584121" w:rsidRPr="009C0EA0" w:rsidRDefault="00584121" w:rsidP="00345656">
      <w:pPr>
        <w:pStyle w:val="Heading3"/>
      </w:pPr>
      <w:bookmarkStart w:id="61" w:name="_Toc166355552"/>
      <w:bookmarkStart w:id="62" w:name="_Toc166159068"/>
      <w:r w:rsidRPr="009C0EA0">
        <w:t xml:space="preserve">Deliver </w:t>
      </w:r>
      <w:r w:rsidR="006732B5" w:rsidRPr="009C0EA0">
        <w:t>the biggest investment in social and affordable housing in a decade</w:t>
      </w:r>
      <w:bookmarkEnd w:id="61"/>
      <w:r w:rsidR="006732B5" w:rsidRPr="009C0EA0">
        <w:t xml:space="preserve"> </w:t>
      </w:r>
      <w:bookmarkEnd w:id="62"/>
    </w:p>
    <w:p w14:paraId="5CDD6C1D" w14:textId="6D20C035" w:rsidR="00584121" w:rsidRPr="009C0EA0" w:rsidRDefault="00584121" w:rsidP="004A65C0">
      <w:r w:rsidRPr="009C0EA0">
        <w:t>The Government has been working to address the long</w:t>
      </w:r>
      <w:r w:rsidR="0004287B">
        <w:noBreakHyphen/>
      </w:r>
      <w:r w:rsidRPr="009C0EA0">
        <w:t xml:space="preserve">term decline in the delivery of social and affordable housing and to increase support for vulnerable Australians, including women and children </w:t>
      </w:r>
      <w:r w:rsidR="00775946" w:rsidRPr="009C0EA0">
        <w:t>leaving</w:t>
      </w:r>
      <w:r w:rsidRPr="009C0EA0">
        <w:t xml:space="preserve"> family and domestic violence. This would increase the stock of social and affordable housing by over 1</w:t>
      </w:r>
      <w:r w:rsidR="00295EEC" w:rsidRPr="009C0EA0">
        <w:t>2</w:t>
      </w:r>
      <w:r w:rsidR="0079584A" w:rsidRPr="009C0EA0">
        <w:t> per cent</w:t>
      </w:r>
      <w:r w:rsidR="005971FB" w:rsidRPr="009C0EA0">
        <w:t xml:space="preserve"> from 2022 levels</w:t>
      </w:r>
      <w:r w:rsidRPr="009C0EA0">
        <w:t xml:space="preserve">. It is a significant investment and would mean that the Government would be adding one new social and affordable home for every </w:t>
      </w:r>
      <w:r w:rsidR="006B07FD" w:rsidRPr="009C0EA0">
        <w:t xml:space="preserve">eight </w:t>
      </w:r>
      <w:r w:rsidRPr="009C0EA0">
        <w:t>currently available. This would also be the equivalent of adding a city the size of Darwin to Australia</w:t>
      </w:r>
      <w:r w:rsidR="0004287B">
        <w:t>’</w:t>
      </w:r>
      <w:r w:rsidRPr="009C0EA0">
        <w:t>s housing stock.</w:t>
      </w:r>
    </w:p>
    <w:p w14:paraId="4C610CC9" w14:textId="2644F1E0" w:rsidR="00584121" w:rsidRPr="00B35D17" w:rsidRDefault="00584121" w:rsidP="00E757C0">
      <w:pPr>
        <w:keepLines/>
      </w:pPr>
      <w:r w:rsidRPr="009C0EA0">
        <w:lastRenderedPageBreak/>
        <w:t>The Government</w:t>
      </w:r>
      <w:r w:rsidR="0004287B">
        <w:t>’</w:t>
      </w:r>
      <w:r w:rsidRPr="009C0EA0">
        <w:t xml:space="preserve">s investment will help to overcome the liquidity challenges some construction firms are facing because of the current cyclical downturn in residential building approvals. It will also help to reduce demand at the lower end of the private rental market, which will help to reduce the pressures that some other renters are feeling because of the current low rental vacancy rates. </w:t>
      </w:r>
    </w:p>
    <w:p w14:paraId="423447E5" w14:textId="299FDCD7" w:rsidR="00584121" w:rsidRPr="009C0EA0" w:rsidRDefault="00584121" w:rsidP="004A65C0">
      <w:r w:rsidRPr="009C0EA0">
        <w:t>Central to the Government</w:t>
      </w:r>
      <w:r w:rsidR="0004287B">
        <w:t>’</w:t>
      </w:r>
      <w:r w:rsidRPr="009C0EA0">
        <w:t>s plan to deliver more social and affordable housing is the $10</w:t>
      </w:r>
      <w:r w:rsidR="00536DAD" w:rsidRPr="009C0EA0">
        <w:t> billion</w:t>
      </w:r>
      <w:r w:rsidRPr="009C0EA0">
        <w:t xml:space="preserve"> </w:t>
      </w:r>
      <w:r w:rsidRPr="009C0EA0">
        <w:rPr>
          <w:rStyle w:val="Strong"/>
          <w:color w:val="auto"/>
        </w:rPr>
        <w:t>Housing Australia Future Fund (HAFF)</w:t>
      </w:r>
      <w:r w:rsidRPr="009C0EA0">
        <w:t>, which seeks to deliver 30,000 new social and affordable homes over its first five years. Disbursements from the HAFF will also be used to deliver the Government</w:t>
      </w:r>
      <w:r w:rsidR="0004287B">
        <w:t>’</w:t>
      </w:r>
      <w:r w:rsidRPr="009C0EA0">
        <w:t>s commitments to help address acute housing needs. This includes $200</w:t>
      </w:r>
      <w:r w:rsidR="00536DAD" w:rsidRPr="009C0EA0">
        <w:t> million</w:t>
      </w:r>
      <w:r w:rsidRPr="009C0EA0">
        <w:t xml:space="preserve"> for the repair, maintenance and improvement of housing in remote Indigenous communities, $100</w:t>
      </w:r>
      <w:r w:rsidR="00536DAD" w:rsidRPr="009C0EA0">
        <w:t> million</w:t>
      </w:r>
      <w:r w:rsidRPr="009C0EA0">
        <w:t xml:space="preserve"> for crisis and transitional housing options for women and children impacted by family and domestic violence and for older women at risk of homelessness</w:t>
      </w:r>
      <w:r w:rsidR="00925EF8" w:rsidRPr="009C0EA0">
        <w:t>,</w:t>
      </w:r>
      <w:r w:rsidRPr="009C0EA0">
        <w:t xml:space="preserve"> and $30</w:t>
      </w:r>
      <w:r w:rsidR="00536DAD" w:rsidRPr="009C0EA0">
        <w:t> million</w:t>
      </w:r>
      <w:r w:rsidRPr="009C0EA0">
        <w:t xml:space="preserve"> for veterans who are experiencing or are at risk of homelessness.</w:t>
      </w:r>
    </w:p>
    <w:p w14:paraId="6AB703F7" w14:textId="40A6BC3B" w:rsidR="00584121" w:rsidRPr="009C0EA0" w:rsidRDefault="00584121" w:rsidP="004A65C0">
      <w:r w:rsidRPr="009C0EA0">
        <w:t xml:space="preserve">This will be supported by the </w:t>
      </w:r>
      <w:r w:rsidRPr="009C0EA0">
        <w:rPr>
          <w:rStyle w:val="Strong"/>
          <w:color w:val="auto"/>
        </w:rPr>
        <w:t>National Housing Accord</w:t>
      </w:r>
      <w:r w:rsidRPr="009C0EA0">
        <w:t>. In addition to the actions being progressed to increase supply, the Government has agreed to deliver 10,000 affordable homes under the National Housing Accord, which will be matched by states and territories</w:t>
      </w:r>
      <w:r w:rsidR="00247AED" w:rsidRPr="009C0EA0">
        <w:t xml:space="preserve">. </w:t>
      </w:r>
    </w:p>
    <w:p w14:paraId="0A200A87" w14:textId="7C49FD72" w:rsidR="00584121" w:rsidRPr="00B35D17" w:rsidRDefault="00584121" w:rsidP="004A65C0">
      <w:r w:rsidRPr="009C0EA0">
        <w:t xml:space="preserve">This Budget </w:t>
      </w:r>
      <w:r w:rsidR="0023230D" w:rsidRPr="009C0EA0">
        <w:t>provides additional</w:t>
      </w:r>
      <w:r w:rsidRPr="009C0EA0">
        <w:rPr>
          <w:b/>
          <w:bCs/>
        </w:rPr>
        <w:t xml:space="preserve"> </w:t>
      </w:r>
      <w:r w:rsidRPr="009C0EA0">
        <w:rPr>
          <w:rStyle w:val="Strong"/>
          <w:color w:val="auto"/>
        </w:rPr>
        <w:t xml:space="preserve">concessional financing </w:t>
      </w:r>
      <w:r w:rsidR="0023230D" w:rsidRPr="009C0EA0">
        <w:rPr>
          <w:rStyle w:val="Strong"/>
          <w:color w:val="auto"/>
        </w:rPr>
        <w:t>of up</w:t>
      </w:r>
      <w:r w:rsidRPr="009C0EA0">
        <w:rPr>
          <w:rStyle w:val="Strong"/>
          <w:color w:val="auto"/>
        </w:rPr>
        <w:t xml:space="preserve"> to $1.9</w:t>
      </w:r>
      <w:r w:rsidR="00536DAD" w:rsidRPr="009C0EA0">
        <w:rPr>
          <w:rStyle w:val="Strong"/>
          <w:color w:val="auto"/>
        </w:rPr>
        <w:t> billion</w:t>
      </w:r>
      <w:r w:rsidRPr="009C0EA0">
        <w:t xml:space="preserve"> for community housing providers and other charities</w:t>
      </w:r>
      <w:r w:rsidR="002F0445" w:rsidRPr="009C0EA0">
        <w:t xml:space="preserve"> to</w:t>
      </w:r>
      <w:r w:rsidRPr="009C0EA0">
        <w:t xml:space="preserve"> support delivery of </w:t>
      </w:r>
      <w:r w:rsidR="00AF5092" w:rsidRPr="009C0EA0">
        <w:t>new social and affordable dwellings</w:t>
      </w:r>
      <w:r w:rsidRPr="009C0EA0">
        <w:t xml:space="preserve"> </w:t>
      </w:r>
      <w:r w:rsidR="0023230D" w:rsidRPr="009C0EA0">
        <w:t>under</w:t>
      </w:r>
      <w:r w:rsidRPr="009C0EA0">
        <w:t xml:space="preserve"> the HAFF and the National Housing Accord.</w:t>
      </w:r>
    </w:p>
    <w:p w14:paraId="5C13A2FA" w14:textId="03481B9E" w:rsidR="002E5E33" w:rsidRPr="009C0EA0" w:rsidRDefault="00584121" w:rsidP="002E5E33">
      <w:r w:rsidRPr="009C0EA0">
        <w:t>The Government will supplement these initiatives by enhancing the programs administered by Housing Australia that provide concessional financing arrangements to facilitate the delivery of more social and affordable homes. This includes an additional $1</w:t>
      </w:r>
      <w:r w:rsidR="00536DAD" w:rsidRPr="009C0EA0">
        <w:t> billion</w:t>
      </w:r>
      <w:r w:rsidRPr="009C0EA0">
        <w:t xml:space="preserve"> for the </w:t>
      </w:r>
      <w:r w:rsidRPr="009C0EA0">
        <w:rPr>
          <w:rStyle w:val="Strong"/>
          <w:color w:val="auto"/>
        </w:rPr>
        <w:t>National Housing Infrastructure Facility (NHIF),</w:t>
      </w:r>
      <w:r w:rsidRPr="009C0EA0">
        <w:rPr>
          <w:b/>
        </w:rPr>
        <w:t xml:space="preserve"> </w:t>
      </w:r>
      <w:r w:rsidRPr="009C0EA0">
        <w:t xml:space="preserve">which </w:t>
      </w:r>
      <w:r w:rsidR="002D7F0B" w:rsidRPr="009C0EA0">
        <w:t xml:space="preserve">will be targeted towards </w:t>
      </w:r>
      <w:r w:rsidR="00BF63D2" w:rsidRPr="009C0EA0">
        <w:t xml:space="preserve">crisis and transitional </w:t>
      </w:r>
      <w:r w:rsidR="002D7F0B" w:rsidRPr="009C0EA0">
        <w:t>housing for women and children experienc</w:t>
      </w:r>
      <w:r w:rsidR="002239F1" w:rsidRPr="009C0EA0">
        <w:t>ing</w:t>
      </w:r>
      <w:r w:rsidR="002D7F0B" w:rsidRPr="009C0EA0">
        <w:t xml:space="preserve"> domestic violence and youth. </w:t>
      </w:r>
      <w:r w:rsidRPr="009C0EA0">
        <w:t xml:space="preserve">The NHIF </w:t>
      </w:r>
      <w:r w:rsidR="002239F1" w:rsidRPr="009C0EA0">
        <w:t xml:space="preserve">provides </w:t>
      </w:r>
      <w:r w:rsidR="00CB41AF" w:rsidRPr="009C0EA0">
        <w:t>concessional loans and grants</w:t>
      </w:r>
      <w:r w:rsidR="002239F1" w:rsidRPr="009C0EA0">
        <w:t xml:space="preserve"> for eligible housing enabling infrastructure and </w:t>
      </w:r>
      <w:r w:rsidR="000D7C0C" w:rsidRPr="009C0EA0">
        <w:t>social and affordable housing</w:t>
      </w:r>
      <w:r w:rsidRPr="009C0EA0">
        <w:t>.</w:t>
      </w:r>
      <w:r w:rsidR="002E5E33" w:rsidRPr="009C0EA0">
        <w:t xml:space="preserve"> This assistance is also part of the Government</w:t>
      </w:r>
      <w:r w:rsidR="0004287B">
        <w:t>’</w:t>
      </w:r>
      <w:r w:rsidR="002E5E33" w:rsidRPr="009C0EA0">
        <w:t xml:space="preserve">s plan to </w:t>
      </w:r>
      <w:r w:rsidR="0092632D" w:rsidRPr="009C0EA0">
        <w:t xml:space="preserve">provide shelter for people in crisis. </w:t>
      </w:r>
    </w:p>
    <w:p w14:paraId="6A008F78" w14:textId="4F6E55DD" w:rsidR="00584121" w:rsidRPr="009C0EA0" w:rsidRDefault="00584121" w:rsidP="004A65C0">
      <w:r w:rsidRPr="009C0EA0">
        <w:t xml:space="preserve">The Government </w:t>
      </w:r>
      <w:r w:rsidR="000E142C" w:rsidRPr="009C0EA0">
        <w:t>is</w:t>
      </w:r>
      <w:r w:rsidR="00431C18" w:rsidRPr="009C0EA0">
        <w:t xml:space="preserve"> </w:t>
      </w:r>
      <w:r w:rsidRPr="009C0EA0">
        <w:t>also expand</w:t>
      </w:r>
      <w:r w:rsidR="000E142C" w:rsidRPr="009C0EA0">
        <w:t>ing</w:t>
      </w:r>
      <w:r w:rsidRPr="009C0EA0">
        <w:t xml:space="preserve"> the </w:t>
      </w:r>
      <w:r w:rsidRPr="009C0EA0">
        <w:rPr>
          <w:rStyle w:val="Strong"/>
          <w:color w:val="auto"/>
        </w:rPr>
        <w:t>Affordable Housing Bond Aggregator</w:t>
      </w:r>
      <w:r w:rsidRPr="009C0EA0">
        <w:t xml:space="preserve"> by increasing Housing Australia</w:t>
      </w:r>
      <w:r w:rsidR="0004287B">
        <w:t>’</w:t>
      </w:r>
      <w:r w:rsidRPr="009C0EA0">
        <w:t>s liability cap to $10</w:t>
      </w:r>
      <w:r w:rsidR="00536DAD" w:rsidRPr="009C0EA0">
        <w:t> billion</w:t>
      </w:r>
      <w:r w:rsidRPr="009C0EA0">
        <w:t xml:space="preserve"> from $5.5</w:t>
      </w:r>
      <w:r w:rsidR="00536DAD" w:rsidRPr="009C0EA0">
        <w:t> billion</w:t>
      </w:r>
      <w:r w:rsidR="00D77B2A" w:rsidRPr="009C0EA0">
        <w:t xml:space="preserve"> and lending an additional $3 billion to Housing Australia to support ongoing delivery of the program</w:t>
      </w:r>
      <w:r w:rsidRPr="009C0EA0">
        <w:t>.</w:t>
      </w:r>
    </w:p>
    <w:p w14:paraId="57E200EE" w14:textId="486EE5B9" w:rsidR="00C24951" w:rsidRPr="009C0EA0" w:rsidRDefault="00C24951" w:rsidP="00584121">
      <w:r w:rsidRPr="009C0EA0">
        <w:t>These init</w:t>
      </w:r>
      <w:r w:rsidR="00881C53" w:rsidRPr="009C0EA0">
        <w:t>i</w:t>
      </w:r>
      <w:r w:rsidRPr="009C0EA0">
        <w:t>atives will be supp</w:t>
      </w:r>
      <w:r w:rsidR="009C4BDC" w:rsidRPr="009C0EA0">
        <w:t xml:space="preserve">lemented by existing </w:t>
      </w:r>
      <w:r w:rsidR="00BD2C42" w:rsidRPr="009C0EA0">
        <w:t xml:space="preserve">Housing Australia programs </w:t>
      </w:r>
      <w:r w:rsidR="00881C53" w:rsidRPr="009C0EA0">
        <w:t xml:space="preserve">that provide concessional finance </w:t>
      </w:r>
      <w:r w:rsidR="00D1641B" w:rsidRPr="009C0EA0">
        <w:t xml:space="preserve">to support more social and affordable homes. </w:t>
      </w:r>
    </w:p>
    <w:p w14:paraId="5ED32BC1" w14:textId="013782BD" w:rsidR="00584121" w:rsidRPr="00B35D17" w:rsidRDefault="00584121" w:rsidP="00584121">
      <w:r w:rsidRPr="009C0EA0">
        <w:t>The Government has provided states and territories with $2</w:t>
      </w:r>
      <w:r w:rsidR="00536DAD" w:rsidRPr="009C0EA0">
        <w:t> billion</w:t>
      </w:r>
      <w:r w:rsidRPr="009C0EA0">
        <w:t xml:space="preserve"> through the </w:t>
      </w:r>
      <w:r w:rsidRPr="009C0EA0">
        <w:rPr>
          <w:rStyle w:val="Strong"/>
          <w:color w:val="auto"/>
        </w:rPr>
        <w:t>Social Housing Accelerator P</w:t>
      </w:r>
      <w:r w:rsidR="00CB05F4" w:rsidRPr="009C0EA0">
        <w:rPr>
          <w:rStyle w:val="Strong"/>
          <w:color w:val="auto"/>
        </w:rPr>
        <w:t>ayment</w:t>
      </w:r>
      <w:r w:rsidRPr="009C0EA0">
        <w:t>. It will deliver around 4,000 new and refurbished social homes.</w:t>
      </w:r>
      <w:r w:rsidRPr="00B35D17">
        <w:t xml:space="preserve"> </w:t>
      </w:r>
    </w:p>
    <w:p w14:paraId="4DE14BE0" w14:textId="1FAB8663" w:rsidR="008F7AAD" w:rsidRPr="009C0EA0" w:rsidRDefault="00584121" w:rsidP="007974F6">
      <w:r w:rsidRPr="009C0EA0">
        <w:t>As part of the $4</w:t>
      </w:r>
      <w:r w:rsidR="00536DAD" w:rsidRPr="009C0EA0">
        <w:t> billion</w:t>
      </w:r>
      <w:r w:rsidRPr="009C0EA0">
        <w:t xml:space="preserve">, </w:t>
      </w:r>
      <w:r w:rsidR="0020124E" w:rsidRPr="009C0EA0">
        <w:t>10</w:t>
      </w:r>
      <w:r w:rsidR="0004287B">
        <w:noBreakHyphen/>
      </w:r>
      <w:r w:rsidRPr="009C0EA0">
        <w:t xml:space="preserve">year </w:t>
      </w:r>
      <w:r w:rsidRPr="009C0EA0">
        <w:rPr>
          <w:rStyle w:val="Strong"/>
          <w:color w:val="auto"/>
        </w:rPr>
        <w:t xml:space="preserve">Northern Territory </w:t>
      </w:r>
      <w:r w:rsidR="006F3183" w:rsidRPr="009C0EA0">
        <w:rPr>
          <w:rStyle w:val="Strong"/>
          <w:color w:val="auto"/>
        </w:rPr>
        <w:t>Homelands and</w:t>
      </w:r>
      <w:r w:rsidR="00382BF9" w:rsidRPr="009C0EA0">
        <w:rPr>
          <w:rStyle w:val="Strong"/>
          <w:color w:val="auto"/>
        </w:rPr>
        <w:t xml:space="preserve"> </w:t>
      </w:r>
      <w:r w:rsidRPr="009C0EA0">
        <w:rPr>
          <w:rStyle w:val="Strong"/>
          <w:color w:val="auto"/>
        </w:rPr>
        <w:t>Housing package</w:t>
      </w:r>
      <w:r w:rsidRPr="009C0EA0">
        <w:t>, the Australian and Northern Territory Governments are working towards a commitment to halve overcrowding in the Northern Territory from 55</w:t>
      </w:r>
      <w:r w:rsidR="0079584A" w:rsidRPr="009C0EA0">
        <w:t> per cent</w:t>
      </w:r>
      <w:r w:rsidRPr="009C0EA0">
        <w:t xml:space="preserve"> to 23</w:t>
      </w:r>
      <w:r w:rsidR="0079584A" w:rsidRPr="009C0EA0">
        <w:t> per cent</w:t>
      </w:r>
      <w:r w:rsidRPr="009C0EA0">
        <w:t xml:space="preserve"> by 2034. The </w:t>
      </w:r>
      <w:r w:rsidRPr="009C0EA0">
        <w:lastRenderedPageBreak/>
        <w:t>investment package will deliver up to 270 homes each year and continue urgent repairs and maintenance of existing housing and essential infrastructure on homelands.</w:t>
      </w:r>
    </w:p>
    <w:p w14:paraId="664277C2" w14:textId="0702B9B7" w:rsidR="00584121" w:rsidRPr="00B35D17" w:rsidRDefault="008F7AAD" w:rsidP="00584121">
      <w:r w:rsidRPr="009C0EA0">
        <w:t xml:space="preserve">The Government is also </w:t>
      </w:r>
      <w:r w:rsidR="00081F0A" w:rsidRPr="009C0EA0">
        <w:t>s</w:t>
      </w:r>
      <w:r w:rsidR="001C3C54" w:rsidRPr="009C0EA0">
        <w:t>pending $7</w:t>
      </w:r>
      <w:r w:rsidR="00536DAD" w:rsidRPr="009C0EA0">
        <w:t> million</w:t>
      </w:r>
      <w:r w:rsidR="001C3C54" w:rsidRPr="009C0EA0">
        <w:t xml:space="preserve"> to support</w:t>
      </w:r>
      <w:r w:rsidR="00584121" w:rsidRPr="009C0EA0">
        <w:t xml:space="preserve"> </w:t>
      </w:r>
      <w:r w:rsidR="001C3C54" w:rsidRPr="009C0EA0">
        <w:t xml:space="preserve">building and construction industry firms to gain </w:t>
      </w:r>
      <w:r w:rsidR="00754C68" w:rsidRPr="009C0EA0">
        <w:t>Work Health and Safety (WHS)</w:t>
      </w:r>
      <w:r w:rsidR="001C3C54" w:rsidRPr="009C0EA0">
        <w:t xml:space="preserve"> accreditation</w:t>
      </w:r>
      <w:r w:rsidR="009470CA" w:rsidRPr="009C0EA0">
        <w:t xml:space="preserve"> and $6.2</w:t>
      </w:r>
      <w:r w:rsidR="00536DAD" w:rsidRPr="009C0EA0">
        <w:t> million</w:t>
      </w:r>
      <w:r w:rsidR="009470CA" w:rsidRPr="009C0EA0">
        <w:t xml:space="preserve"> to support building industry peak </w:t>
      </w:r>
      <w:r w:rsidR="00CB05F4" w:rsidRPr="009C0EA0">
        <w:t>employer associations</w:t>
      </w:r>
      <w:r w:rsidR="009470CA" w:rsidRPr="009C0EA0">
        <w:t xml:space="preserve"> to assist their members</w:t>
      </w:r>
      <w:r w:rsidR="001C3C54" w:rsidRPr="009C0EA0">
        <w:t xml:space="preserve"> </w:t>
      </w:r>
      <w:r w:rsidR="007157F2" w:rsidRPr="009C0EA0">
        <w:t xml:space="preserve">in </w:t>
      </w:r>
      <w:r w:rsidR="009470CA" w:rsidRPr="009C0EA0">
        <w:t>gain</w:t>
      </w:r>
      <w:r w:rsidR="007157F2" w:rsidRPr="009C0EA0">
        <w:t>ing</w:t>
      </w:r>
      <w:r w:rsidR="00473238" w:rsidRPr="009C0EA0">
        <w:t xml:space="preserve"> the</w:t>
      </w:r>
      <w:r w:rsidR="009470CA" w:rsidRPr="009C0EA0">
        <w:t xml:space="preserve"> WHS accreditation required to participate in</w:t>
      </w:r>
      <w:r w:rsidR="00CB05F4" w:rsidRPr="009C0EA0">
        <w:t xml:space="preserve"> Government</w:t>
      </w:r>
      <w:r w:rsidR="0004287B">
        <w:noBreakHyphen/>
      </w:r>
      <w:r w:rsidR="00CB05F4" w:rsidRPr="009C0EA0">
        <w:t xml:space="preserve">funded </w:t>
      </w:r>
      <w:r w:rsidR="001C3C54" w:rsidRPr="009C0EA0">
        <w:t>housing projects</w:t>
      </w:r>
      <w:r w:rsidR="009470CA" w:rsidRPr="009C0EA0">
        <w:t>.</w:t>
      </w:r>
    </w:p>
    <w:p w14:paraId="5993C702" w14:textId="0DAAB3C8" w:rsidR="00584121" w:rsidRPr="00B35D17" w:rsidRDefault="0047608F" w:rsidP="00345656">
      <w:pPr>
        <w:pStyle w:val="Heading3"/>
      </w:pPr>
      <w:bookmarkStart w:id="63" w:name="_Toc166159069"/>
      <w:bookmarkStart w:id="64" w:name="_Toc166355553"/>
      <w:r w:rsidRPr="00B35D17">
        <w:t>Provide</w:t>
      </w:r>
      <w:r w:rsidR="00584121" w:rsidRPr="00B35D17">
        <w:t xml:space="preserve"> more support to renters</w:t>
      </w:r>
      <w:bookmarkEnd w:id="63"/>
      <w:bookmarkEnd w:id="64"/>
      <w:r w:rsidR="00584121" w:rsidRPr="00B35D17">
        <w:t xml:space="preserve"> </w:t>
      </w:r>
    </w:p>
    <w:p w14:paraId="15467743" w14:textId="4E392C89" w:rsidR="00584121" w:rsidRPr="009C0EA0" w:rsidRDefault="00584121" w:rsidP="004A65C0">
      <w:r w:rsidRPr="009C0EA0">
        <w:t xml:space="preserve">While new housing supply is being brought online, affordability pressures are likely to remain a challenge for many Australians who are renting or looking to rent. The Government recognises that many renters are under pressure and that rising </w:t>
      </w:r>
      <w:r w:rsidR="00BF63D2" w:rsidRPr="009C0EA0">
        <w:t>rents</w:t>
      </w:r>
      <w:r w:rsidRPr="009C0EA0">
        <w:t xml:space="preserve"> are causing hardship for some Australians and pushing some into insecure housing arrangements. The Government is committed to providing more support to the third of Australians who rent. This is being delivered through greater levels of financial assistance, working with states and territories to deliver stronger protections for renters and facilitating the supply of new rental housing.</w:t>
      </w:r>
    </w:p>
    <w:p w14:paraId="4B5A0F85" w14:textId="3825205A" w:rsidR="00584121" w:rsidRPr="007974F6" w:rsidRDefault="00584121" w:rsidP="007974F6">
      <w:r w:rsidRPr="009C0EA0">
        <w:t>As part of the Government</w:t>
      </w:r>
      <w:r w:rsidR="0004287B">
        <w:t>’</w:t>
      </w:r>
      <w:r w:rsidRPr="009C0EA0">
        <w:t>s broader responsible and affordable cost</w:t>
      </w:r>
      <w:r w:rsidR="0004287B">
        <w:noBreakHyphen/>
      </w:r>
      <w:r w:rsidRPr="009C0EA0">
        <w:t>of</w:t>
      </w:r>
      <w:r w:rsidR="0004287B">
        <w:noBreakHyphen/>
      </w:r>
      <w:r w:rsidRPr="009C0EA0">
        <w:t>living relief package</w:t>
      </w:r>
      <w:r w:rsidRPr="009C0EA0">
        <w:rPr>
          <w:rStyle w:val="Strong"/>
          <w:color w:val="auto"/>
        </w:rPr>
        <w:t>, Commonwealth Rent Assistance</w:t>
      </w:r>
      <w:r w:rsidRPr="009C0EA0">
        <w:t xml:space="preserve"> </w:t>
      </w:r>
      <w:r w:rsidR="000650DE" w:rsidRPr="009C0EA0">
        <w:t>(CRA</w:t>
      </w:r>
      <w:r w:rsidR="003153FD" w:rsidRPr="009C0EA0">
        <w:t xml:space="preserve">) </w:t>
      </w:r>
      <w:r w:rsidR="00002F04" w:rsidRPr="009C0EA0">
        <w:t>is</w:t>
      </w:r>
      <w:r w:rsidRPr="009C0EA0">
        <w:t xml:space="preserve"> increas</w:t>
      </w:r>
      <w:r w:rsidR="00002F04" w:rsidRPr="009C0EA0">
        <w:t>ing</w:t>
      </w:r>
      <w:r w:rsidRPr="009C0EA0">
        <w:t xml:space="preserve"> by 10</w:t>
      </w:r>
      <w:r w:rsidR="0079584A" w:rsidRPr="009C0EA0">
        <w:t> per cent</w:t>
      </w:r>
      <w:r w:rsidRPr="009C0EA0">
        <w:t xml:space="preserve"> in this Budget. Taken alongside the increases in last year</w:t>
      </w:r>
      <w:r w:rsidR="0004287B">
        <w:t>’</w:t>
      </w:r>
      <w:r w:rsidRPr="009C0EA0">
        <w:t>s Budget and indexation, this will increase the maximum rates of assistance by over 40</w:t>
      </w:r>
      <w:r w:rsidR="0079584A" w:rsidRPr="009C0EA0">
        <w:t> per cent</w:t>
      </w:r>
      <w:r w:rsidRPr="009C0EA0">
        <w:t>.</w:t>
      </w:r>
      <w:r w:rsidR="009E6674" w:rsidRPr="009C0EA0">
        <w:t xml:space="preserve"> </w:t>
      </w:r>
      <w:r w:rsidR="00B3224B" w:rsidRPr="009C0EA0">
        <w:t>Outside of regular indexation, the 2023</w:t>
      </w:r>
      <w:r w:rsidR="00C364FB" w:rsidRPr="009C0EA0">
        <w:t>–</w:t>
      </w:r>
      <w:r w:rsidR="00B3224B" w:rsidRPr="009C0EA0">
        <w:t>24 Budget and 2024</w:t>
      </w:r>
      <w:r w:rsidR="00C364FB" w:rsidRPr="009C0EA0">
        <w:t>–</w:t>
      </w:r>
      <w:r w:rsidR="00B3224B" w:rsidRPr="009C0EA0">
        <w:t>25 Budget C</w:t>
      </w:r>
      <w:r w:rsidR="003153FD" w:rsidRPr="009C0EA0">
        <w:t xml:space="preserve">RA </w:t>
      </w:r>
      <w:r w:rsidR="00B3224B" w:rsidRPr="009C0EA0">
        <w:t>increases are the first back</w:t>
      </w:r>
      <w:r w:rsidR="0004287B">
        <w:noBreakHyphen/>
      </w:r>
      <w:r w:rsidR="00B3224B" w:rsidRPr="009C0EA0">
        <w:t>to</w:t>
      </w:r>
      <w:r w:rsidR="0004287B">
        <w:noBreakHyphen/>
      </w:r>
      <w:r w:rsidR="00B3224B" w:rsidRPr="009C0EA0">
        <w:t>back increases to maximum rates of CRA in three decades</w:t>
      </w:r>
      <w:r w:rsidRPr="009C0EA0">
        <w:t>. It is also higher than the average increase in market rents in this period. It will provide eligible renters with greater opportunities to participate in the private rental market.</w:t>
      </w:r>
    </w:p>
    <w:p w14:paraId="59123469" w14:textId="1CB966E5" w:rsidR="00584121" w:rsidRPr="009C0EA0" w:rsidRDefault="00584121" w:rsidP="007974F6">
      <w:pPr>
        <w:rPr>
          <w:rStyle w:val="ui-provider"/>
        </w:rPr>
      </w:pPr>
      <w:r w:rsidRPr="009C0EA0">
        <w:t>Low rental vacancy rates are posing unique challenges for renters. In addition to being harder to find a suitable place and placing upward pressures on prices, it limits tenants</w:t>
      </w:r>
      <w:r w:rsidR="0004287B">
        <w:t>’</w:t>
      </w:r>
      <w:r w:rsidRPr="009C0EA0">
        <w:t xml:space="preserve"> bargaining power with landlords. In recognition of these unique challenges, the Government is working with states and territories to strengthen renters</w:t>
      </w:r>
      <w:r w:rsidR="0004287B">
        <w:t>’</w:t>
      </w:r>
      <w:r w:rsidRPr="009C0EA0">
        <w:t xml:space="preserve"> rights through the</w:t>
      </w:r>
      <w:r w:rsidRPr="009C0EA0">
        <w:rPr>
          <w:rStyle w:val="ui-provider"/>
        </w:rPr>
        <w:t xml:space="preserve"> </w:t>
      </w:r>
      <w:r w:rsidRPr="009C0EA0">
        <w:rPr>
          <w:rStyle w:val="Strong"/>
          <w:color w:val="auto"/>
        </w:rPr>
        <w:t>Better Deal for Renters package</w:t>
      </w:r>
      <w:r w:rsidRPr="009C0EA0">
        <w:rPr>
          <w:rStyle w:val="ui-provider"/>
          <w:b/>
          <w:bCs/>
        </w:rPr>
        <w:t xml:space="preserve">. </w:t>
      </w:r>
      <w:r w:rsidRPr="009C0EA0">
        <w:t>As part of this package, all levels of government have agreed to implement a 9</w:t>
      </w:r>
      <w:r w:rsidR="0004287B">
        <w:noBreakHyphen/>
      </w:r>
      <w:r w:rsidRPr="009C0EA0">
        <w:t>point plan that includes:</w:t>
      </w:r>
    </w:p>
    <w:p w14:paraId="2A718AD8" w14:textId="3D07E002" w:rsidR="00584121" w:rsidRPr="009C0EA0" w:rsidRDefault="00584121" w:rsidP="007974F6">
      <w:pPr>
        <w:pStyle w:val="Bullet"/>
      </w:pPr>
      <w:r w:rsidRPr="009C0EA0">
        <w:t>Developing a nationally consistent policy to implement a requirement for genuine reasonable grounds for eviction</w:t>
      </w:r>
      <w:r w:rsidR="00DB1094" w:rsidRPr="009C0EA0">
        <w:t>.</w:t>
      </w:r>
    </w:p>
    <w:p w14:paraId="60E84D1E" w14:textId="61394C15" w:rsidR="00584121" w:rsidRPr="009C0EA0" w:rsidRDefault="00584121" w:rsidP="007974F6">
      <w:pPr>
        <w:pStyle w:val="Bullet"/>
      </w:pPr>
      <w:r w:rsidRPr="009C0EA0">
        <w:t>Moving towards limiting rent increases to once a year</w:t>
      </w:r>
      <w:r w:rsidR="00DB1094" w:rsidRPr="009C0EA0">
        <w:t>.</w:t>
      </w:r>
    </w:p>
    <w:p w14:paraId="4AE37122" w14:textId="77777777" w:rsidR="00584121" w:rsidRPr="009C0EA0" w:rsidRDefault="00584121" w:rsidP="007974F6">
      <w:pPr>
        <w:pStyle w:val="Bullet"/>
      </w:pPr>
      <w:r w:rsidRPr="009C0EA0">
        <w:t>Phasing in minimum rental standards.</w:t>
      </w:r>
    </w:p>
    <w:p w14:paraId="1277FB26" w14:textId="77777777" w:rsidR="00584121" w:rsidRPr="009C0EA0" w:rsidRDefault="00584121" w:rsidP="007974F6">
      <w:r w:rsidRPr="009C0EA0">
        <w:t xml:space="preserve">In addition to the broader supply measures the Government is pursuing, the Government has a plan to increase the supply of specialist rental accommodation. This will help to moderate affordability pressures and introduced more equilibrium between renters and landlords. </w:t>
      </w:r>
    </w:p>
    <w:p w14:paraId="1FEA9375" w14:textId="2C85E009" w:rsidR="00584121" w:rsidRPr="009C0EA0" w:rsidRDefault="00584121" w:rsidP="0029493D">
      <w:r w:rsidRPr="009C0EA0">
        <w:lastRenderedPageBreak/>
        <w:t>Build</w:t>
      </w:r>
      <w:r w:rsidR="0004287B">
        <w:noBreakHyphen/>
      </w:r>
      <w:r w:rsidRPr="009C0EA0">
        <w:t>to</w:t>
      </w:r>
      <w:r w:rsidR="0004287B">
        <w:noBreakHyphen/>
      </w:r>
      <w:r w:rsidRPr="009C0EA0">
        <w:t>rent accommodation is designed to be supplied exclusively to the rental market. This model, which is much more common in overseas market, is less prevalent in Australia where most new developments are build</w:t>
      </w:r>
      <w:r w:rsidR="0004287B">
        <w:noBreakHyphen/>
      </w:r>
      <w:r w:rsidRPr="009C0EA0">
        <w:t>to</w:t>
      </w:r>
      <w:r w:rsidR="0004287B">
        <w:noBreakHyphen/>
      </w:r>
      <w:r w:rsidRPr="009C0EA0">
        <w:t>sell properties (i.e. they are built and sold to investors or owner</w:t>
      </w:r>
      <w:r w:rsidR="0004287B">
        <w:noBreakHyphen/>
      </w:r>
      <w:r w:rsidRPr="009C0EA0">
        <w:t>occupiers). To encourage more build</w:t>
      </w:r>
      <w:r w:rsidR="0004287B">
        <w:noBreakHyphen/>
      </w:r>
      <w:r w:rsidRPr="009C0EA0">
        <w:t>to</w:t>
      </w:r>
      <w:r w:rsidR="0004287B">
        <w:noBreakHyphen/>
      </w:r>
      <w:r w:rsidRPr="009C0EA0">
        <w:t xml:space="preserve">rent developments, the Government will introduce legislation to offer concessional tax treatment for these developments. </w:t>
      </w:r>
    </w:p>
    <w:p w14:paraId="0527C141" w14:textId="3504996F" w:rsidR="00584121" w:rsidRPr="00B35D17" w:rsidRDefault="00584121" w:rsidP="0029493D">
      <w:r w:rsidRPr="009C0EA0">
        <w:t xml:space="preserve">The </w:t>
      </w:r>
      <w:r w:rsidRPr="009C0EA0">
        <w:rPr>
          <w:rStyle w:val="Strong"/>
          <w:color w:val="auto"/>
        </w:rPr>
        <w:t>build</w:t>
      </w:r>
      <w:r w:rsidR="0004287B">
        <w:rPr>
          <w:rStyle w:val="Strong"/>
          <w:color w:val="auto"/>
        </w:rPr>
        <w:noBreakHyphen/>
      </w:r>
      <w:r w:rsidRPr="009C0EA0">
        <w:rPr>
          <w:rStyle w:val="Strong"/>
          <w:color w:val="auto"/>
        </w:rPr>
        <w:t>to</w:t>
      </w:r>
      <w:r w:rsidR="0004287B">
        <w:rPr>
          <w:rStyle w:val="Strong"/>
          <w:color w:val="auto"/>
        </w:rPr>
        <w:noBreakHyphen/>
      </w:r>
      <w:r w:rsidRPr="009C0EA0">
        <w:rPr>
          <w:rStyle w:val="Strong"/>
          <w:color w:val="auto"/>
        </w:rPr>
        <w:t>rent incentives</w:t>
      </w:r>
      <w:r w:rsidRPr="009C0EA0">
        <w:t xml:space="preserve"> includes halving the managed investment trust withholding tax rate from 30</w:t>
      </w:r>
      <w:r w:rsidR="0079584A" w:rsidRPr="009C0EA0">
        <w:t> per cent</w:t>
      </w:r>
      <w:r w:rsidRPr="009C0EA0">
        <w:t xml:space="preserve"> to 15</w:t>
      </w:r>
      <w:r w:rsidR="0079584A" w:rsidRPr="009C0EA0">
        <w:t> per cent</w:t>
      </w:r>
      <w:r w:rsidRPr="009C0EA0">
        <w:t xml:space="preserve"> and increasing the capital works tax deduction (depreciation) rate from 2.5 to 4</w:t>
      </w:r>
      <w:r w:rsidR="0079584A" w:rsidRPr="009C0EA0">
        <w:t> per cent</w:t>
      </w:r>
      <w:r w:rsidRPr="009C0EA0">
        <w:t xml:space="preserve"> per year for newly constructed build</w:t>
      </w:r>
      <w:r w:rsidR="0004287B">
        <w:noBreakHyphen/>
      </w:r>
      <w:r w:rsidRPr="009C0EA0">
        <w:t>to</w:t>
      </w:r>
      <w:r w:rsidR="0004287B">
        <w:noBreakHyphen/>
      </w:r>
      <w:r w:rsidRPr="009C0EA0">
        <w:t>rent properties. Analysis commissioned by the Property Council of Australia suggest this could unlock 150,000 apartments over the next decade.</w:t>
      </w:r>
      <w:r w:rsidRPr="009C0EA0">
        <w:rPr>
          <w:rStyle w:val="FootnoteReference"/>
        </w:rPr>
        <w:footnoteReference w:id="36"/>
      </w:r>
      <w:r w:rsidRPr="009C0EA0">
        <w:t xml:space="preserve"> </w:t>
      </w:r>
      <w:r w:rsidR="00AD30D4" w:rsidRPr="009C0EA0">
        <w:t>The Government has also lowered foreign investment application fees for new Build to Rent developments and will also allow foreign investors to purchase established Build to Rent developments and apply lower fees to these applications, conditional on the property continuing to be operated as a Build to Rent development.</w:t>
      </w:r>
    </w:p>
    <w:p w14:paraId="612D949B" w14:textId="11CD8A76" w:rsidR="00584121" w:rsidRPr="009C0EA0" w:rsidRDefault="00584121" w:rsidP="00345656">
      <w:pPr>
        <w:pStyle w:val="Heading3"/>
      </w:pPr>
      <w:bookmarkStart w:id="65" w:name="_Toc166355554"/>
      <w:r w:rsidRPr="009C0EA0">
        <w:t xml:space="preserve">Help Australians </w:t>
      </w:r>
      <w:r w:rsidR="0047608F" w:rsidRPr="009C0EA0">
        <w:t>buy their own homes</w:t>
      </w:r>
      <w:bookmarkEnd w:id="65"/>
      <w:r w:rsidR="0047608F" w:rsidRPr="009C0EA0">
        <w:t xml:space="preserve"> </w:t>
      </w:r>
    </w:p>
    <w:p w14:paraId="2CAAEEC7" w14:textId="01AAD582" w:rsidR="00584121" w:rsidRPr="00B35D17" w:rsidRDefault="00584121" w:rsidP="00584121">
      <w:r w:rsidRPr="009C0EA0">
        <w:t>The Government recognises that affordability pressures are being felt by people seeking to transition from renting into home ownership. Rising house prices have led to rising deposits. This means more Australians are renting for longer, increasing pressure on the already constrained rental market. It is harder for people to save enough to clear the deposit hurdle and seek the finance necessary to enter home ownership.</w:t>
      </w:r>
      <w:r w:rsidRPr="00B35D17">
        <w:t xml:space="preserve"> </w:t>
      </w:r>
    </w:p>
    <w:p w14:paraId="3497146C" w14:textId="4141501A" w:rsidR="00584121" w:rsidRPr="009C0EA0" w:rsidRDefault="00584121" w:rsidP="00584121">
      <w:r w:rsidRPr="009C0EA0">
        <w:t xml:space="preserve">To help overcome this challenge, the Government offers potential home buyers the </w:t>
      </w:r>
      <w:r w:rsidRPr="009C0EA0">
        <w:rPr>
          <w:rStyle w:val="Strong"/>
          <w:color w:val="auto"/>
        </w:rPr>
        <w:t>Home Guarantee Scheme (the Scheme)</w:t>
      </w:r>
      <w:r w:rsidRPr="009C0EA0">
        <w:t>. It gives prospective home buyers support to purchase a home sooner by reducing the deposit they need to save to buy a house. Participants can access the Scheme with a deposit as little as 2</w:t>
      </w:r>
      <w:r w:rsidR="0079584A" w:rsidRPr="009C0EA0">
        <w:t> per cent</w:t>
      </w:r>
      <w:r w:rsidRPr="009C0EA0">
        <w:t xml:space="preserve">. Around </w:t>
      </w:r>
      <w:r w:rsidR="004D57C7" w:rsidRPr="009C0EA0">
        <w:t>one</w:t>
      </w:r>
      <w:r w:rsidRPr="009C0EA0">
        <w:t xml:space="preserve"> in </w:t>
      </w:r>
      <w:r w:rsidR="004D57C7" w:rsidRPr="009C0EA0">
        <w:t>three</w:t>
      </w:r>
      <w:r w:rsidRPr="009C0EA0">
        <w:t xml:space="preserve"> </w:t>
      </w:r>
      <w:r w:rsidR="00451206" w:rsidRPr="009C0EA0">
        <w:t>first</w:t>
      </w:r>
      <w:r w:rsidRPr="009C0EA0">
        <w:t xml:space="preserve"> homebuyers in 2022</w:t>
      </w:r>
      <w:r w:rsidR="00C364FB" w:rsidRPr="009C0EA0">
        <w:t>–</w:t>
      </w:r>
      <w:r w:rsidRPr="009C0EA0">
        <w:t xml:space="preserve">23 were supported by the Scheme. </w:t>
      </w:r>
    </w:p>
    <w:p w14:paraId="22F73BB1" w14:textId="76FF7F44" w:rsidR="00584121" w:rsidRPr="009C0EA0" w:rsidRDefault="00584121" w:rsidP="00584121">
      <w:r w:rsidRPr="009C0EA0">
        <w:t>The First Home Guarantee component of the Scheme was heavily subscribed by teachers (32</w:t>
      </w:r>
      <w:r w:rsidR="0079584A" w:rsidRPr="009C0EA0">
        <w:t> per cent</w:t>
      </w:r>
      <w:r w:rsidRPr="009C0EA0">
        <w:t xml:space="preserve"> of recipients), nurses (24</w:t>
      </w:r>
      <w:r w:rsidR="0079584A" w:rsidRPr="009C0EA0">
        <w:t> per cent</w:t>
      </w:r>
      <w:r w:rsidRPr="009C0EA0">
        <w:t xml:space="preserve"> of recipients) and social workers (19</w:t>
      </w:r>
      <w:r w:rsidR="0079584A" w:rsidRPr="009C0EA0">
        <w:t> per cent</w:t>
      </w:r>
      <w:r w:rsidRPr="009C0EA0">
        <w:t xml:space="preserve"> of recipients)</w:t>
      </w:r>
      <w:r w:rsidR="00247AED" w:rsidRPr="009C0EA0">
        <w:t xml:space="preserve">. </w:t>
      </w:r>
    </w:p>
    <w:p w14:paraId="01B9C195" w14:textId="63A4B85A" w:rsidR="00584121" w:rsidRPr="00B35D17" w:rsidRDefault="00584121" w:rsidP="00584121">
      <w:r w:rsidRPr="009C0EA0">
        <w:t>Since May</w:t>
      </w:r>
      <w:r w:rsidR="00536DAD" w:rsidRPr="009C0EA0">
        <w:t> </w:t>
      </w:r>
      <w:r w:rsidRPr="009C0EA0">
        <w:t xml:space="preserve">2022, the Scheme has </w:t>
      </w:r>
      <w:r w:rsidR="00F67C84" w:rsidRPr="009C0EA0">
        <w:t xml:space="preserve">already </w:t>
      </w:r>
      <w:r w:rsidRPr="009C0EA0">
        <w:t xml:space="preserve">supported </w:t>
      </w:r>
      <w:r w:rsidR="00681DB1" w:rsidRPr="009C0EA0">
        <w:t>more than 110</w:t>
      </w:r>
      <w:r w:rsidRPr="009C0EA0">
        <w:t>,000 Australians into home ownership</w:t>
      </w:r>
      <w:r w:rsidR="00B16D6A" w:rsidRPr="009C0EA0">
        <w:t xml:space="preserve"> and with an expansion to the eligibility of the Scheme this will continue to grow</w:t>
      </w:r>
      <w:r w:rsidRPr="009C0EA0">
        <w:t>.</w:t>
      </w:r>
    </w:p>
    <w:p w14:paraId="4E442128" w14:textId="7DA95166" w:rsidR="00584121" w:rsidRPr="00B35D17" w:rsidRDefault="00584121" w:rsidP="00584121">
      <w:r w:rsidRPr="009C0EA0">
        <w:t xml:space="preserve">But the Government wants more renters who wish to transition to home ownership to have the opportunity to do so. That is why the government has introduced legislation to establish </w:t>
      </w:r>
      <w:r w:rsidRPr="009C0EA0">
        <w:rPr>
          <w:rStyle w:val="Strong"/>
          <w:color w:val="auto"/>
        </w:rPr>
        <w:t>Help to Buy</w:t>
      </w:r>
      <w:r w:rsidRPr="009C0EA0">
        <w:t>. Help to Buy will support up to 40,000 eligible households to purchase a home by providing them an equity contribution of up to 40</w:t>
      </w:r>
      <w:r w:rsidR="0079584A" w:rsidRPr="009C0EA0">
        <w:t> per cent</w:t>
      </w:r>
      <w:r w:rsidRPr="009C0EA0">
        <w:t xml:space="preserve"> of the purchase price for new homes and 30</w:t>
      </w:r>
      <w:r w:rsidR="0079584A" w:rsidRPr="009C0EA0">
        <w:t> per cent</w:t>
      </w:r>
      <w:r w:rsidRPr="009C0EA0">
        <w:t xml:space="preserve"> for existing homes. </w:t>
      </w:r>
      <w:r w:rsidR="00F67C84" w:rsidRPr="009C0EA0">
        <w:t>P</w:t>
      </w:r>
      <w:r w:rsidRPr="009C0EA0">
        <w:t xml:space="preserve">articipants would also </w:t>
      </w:r>
      <w:r w:rsidRPr="009C0EA0">
        <w:lastRenderedPageBreak/>
        <w:t>not be required to pay Lenders Mortgage Insurance, as the equity contribution and their deposit would decrease the loan to value ratio to 80</w:t>
      </w:r>
      <w:r w:rsidR="0079584A" w:rsidRPr="009C0EA0">
        <w:t> per cent</w:t>
      </w:r>
      <w:r w:rsidRPr="009C0EA0">
        <w:t xml:space="preserve"> or below. </w:t>
      </w:r>
    </w:p>
    <w:p w14:paraId="212ED6AA" w14:textId="4E9D7754" w:rsidR="00C95FF3" w:rsidRPr="009C0EA0" w:rsidRDefault="00C95FF3" w:rsidP="00345656">
      <w:pPr>
        <w:pStyle w:val="Heading3"/>
      </w:pPr>
      <w:bookmarkStart w:id="66" w:name="_Toc166355555"/>
      <w:r w:rsidRPr="009C0EA0">
        <w:t xml:space="preserve">Double </w:t>
      </w:r>
      <w:r w:rsidR="0047608F" w:rsidRPr="009C0EA0">
        <w:t>ded</w:t>
      </w:r>
      <w:r w:rsidR="00BC0349" w:rsidRPr="009C0EA0">
        <w:t>i</w:t>
      </w:r>
      <w:r w:rsidR="0047608F" w:rsidRPr="009C0EA0">
        <w:t xml:space="preserve">cated </w:t>
      </w:r>
      <w:r w:rsidRPr="009C0EA0">
        <w:t>homelessness funding and provide shelter for people in crisis</w:t>
      </w:r>
      <w:bookmarkEnd w:id="66"/>
    </w:p>
    <w:p w14:paraId="277FCE37" w14:textId="624732DC" w:rsidR="004F09DC" w:rsidRPr="009C0EA0" w:rsidRDefault="00831BB2" w:rsidP="00386C81">
      <w:r w:rsidRPr="009C0EA0">
        <w:t xml:space="preserve">The Government </w:t>
      </w:r>
      <w:r w:rsidR="00E21A78" w:rsidRPr="009C0EA0">
        <w:t>is taking action to</w:t>
      </w:r>
      <w:r w:rsidR="00D627AE" w:rsidRPr="009C0EA0">
        <w:t xml:space="preserve"> </w:t>
      </w:r>
      <w:r w:rsidR="00451657" w:rsidRPr="009C0EA0">
        <w:t>support</w:t>
      </w:r>
      <w:r w:rsidR="00D627AE" w:rsidRPr="009C0EA0">
        <w:t xml:space="preserve"> </w:t>
      </w:r>
      <w:r w:rsidR="006B2075" w:rsidRPr="009C0EA0">
        <w:t>people experiencing</w:t>
      </w:r>
      <w:r w:rsidR="00D627AE" w:rsidRPr="009C0EA0">
        <w:t xml:space="preserve"> </w:t>
      </w:r>
      <w:r w:rsidR="00451657" w:rsidRPr="009C0EA0">
        <w:t>hom</w:t>
      </w:r>
      <w:r w:rsidR="00D776A2" w:rsidRPr="009C0EA0">
        <w:t>eless</w:t>
      </w:r>
      <w:r w:rsidR="006B2075" w:rsidRPr="009C0EA0">
        <w:t>ness</w:t>
      </w:r>
      <w:r w:rsidR="00D776A2" w:rsidRPr="009C0EA0">
        <w:t xml:space="preserve"> and </w:t>
      </w:r>
      <w:r w:rsidR="002B5A39" w:rsidRPr="009C0EA0">
        <w:t xml:space="preserve">help people in crisis who are finding it difficult to </w:t>
      </w:r>
      <w:r w:rsidR="005146AD" w:rsidRPr="009C0EA0">
        <w:t>access</w:t>
      </w:r>
      <w:r w:rsidR="002071E1" w:rsidRPr="009C0EA0">
        <w:t xml:space="preserve"> </w:t>
      </w:r>
      <w:r w:rsidR="00541BFC" w:rsidRPr="009C0EA0">
        <w:t>shelter and safety</w:t>
      </w:r>
      <w:r w:rsidR="00F81B6F" w:rsidRPr="009C0EA0">
        <w:t xml:space="preserve">, </w:t>
      </w:r>
      <w:r w:rsidR="000323B5" w:rsidRPr="009C0EA0">
        <w:t>including women and children fleeing domestic violence, veterans, and youth</w:t>
      </w:r>
      <w:r w:rsidR="00EA0657" w:rsidRPr="009C0EA0">
        <w:t>.</w:t>
      </w:r>
    </w:p>
    <w:p w14:paraId="09B48F4E" w14:textId="01AB8E04" w:rsidR="00386C81" w:rsidRPr="00B35D17" w:rsidRDefault="000F12BC" w:rsidP="00386C81">
      <w:r w:rsidRPr="009C0EA0">
        <w:t>T</w:t>
      </w:r>
      <w:r w:rsidR="00B2335A" w:rsidRPr="009C0EA0">
        <w:t xml:space="preserve">he </w:t>
      </w:r>
      <w:r w:rsidR="00D30D50" w:rsidRPr="009C0EA0">
        <w:t xml:space="preserve">Government has included </w:t>
      </w:r>
      <w:r w:rsidR="00D6366D" w:rsidRPr="009C0EA0">
        <w:t>$9.3</w:t>
      </w:r>
      <w:r w:rsidR="00536DAD" w:rsidRPr="009C0EA0">
        <w:t> billion</w:t>
      </w:r>
      <w:r w:rsidR="00D6366D" w:rsidRPr="009C0EA0">
        <w:t xml:space="preserve"> </w:t>
      </w:r>
      <w:r w:rsidR="00D30D50" w:rsidRPr="009C0EA0">
        <w:t xml:space="preserve">in the Budget </w:t>
      </w:r>
      <w:r w:rsidR="0012703E" w:rsidRPr="009C0EA0">
        <w:t xml:space="preserve">for a </w:t>
      </w:r>
      <w:r w:rsidR="00654191" w:rsidRPr="009C0EA0">
        <w:t>new</w:t>
      </w:r>
      <w:r w:rsidR="00386C81" w:rsidRPr="009C0EA0">
        <w:t xml:space="preserve"> </w:t>
      </w:r>
      <w:r w:rsidR="00386C81" w:rsidRPr="009C0EA0">
        <w:rPr>
          <w:rStyle w:val="Strong"/>
          <w:color w:val="auto"/>
        </w:rPr>
        <w:t>National Agreement on Social Housing and Homelessness</w:t>
      </w:r>
      <w:r w:rsidR="00386C81" w:rsidRPr="009C0EA0">
        <w:t xml:space="preserve"> with the states and territories</w:t>
      </w:r>
      <w:r w:rsidR="0012703E" w:rsidRPr="009C0EA0">
        <w:t>.</w:t>
      </w:r>
      <w:r w:rsidR="00B2335A" w:rsidRPr="009C0EA0">
        <w:t xml:space="preserve"> </w:t>
      </w:r>
      <w:r w:rsidR="00CA5F47" w:rsidRPr="009C0EA0">
        <w:t xml:space="preserve">This </w:t>
      </w:r>
      <w:r w:rsidR="00386C81" w:rsidRPr="009C0EA0">
        <w:t xml:space="preserve">includes a doubling </w:t>
      </w:r>
      <w:r w:rsidR="002E7A22" w:rsidRPr="009C0EA0">
        <w:t xml:space="preserve">of </w:t>
      </w:r>
      <w:r w:rsidR="00386C81" w:rsidRPr="009C0EA0">
        <w:t xml:space="preserve">the </w:t>
      </w:r>
      <w:r w:rsidR="00B15148" w:rsidRPr="009C0EA0">
        <w:t>Australian Government</w:t>
      </w:r>
      <w:r w:rsidR="0004287B">
        <w:t>’</w:t>
      </w:r>
      <w:r w:rsidR="00386C81" w:rsidRPr="009C0EA0">
        <w:t>s dedicated homelessness funding to $400</w:t>
      </w:r>
      <w:r w:rsidR="00536DAD" w:rsidRPr="009C0EA0">
        <w:t> million</w:t>
      </w:r>
      <w:r w:rsidR="00386C81" w:rsidRPr="009C0EA0">
        <w:t xml:space="preserve"> a year</w:t>
      </w:r>
      <w:r w:rsidR="0004287B">
        <w:t xml:space="preserve">. </w:t>
      </w:r>
    </w:p>
    <w:p w14:paraId="4ABC4939" w14:textId="519C18B9" w:rsidR="00383648" w:rsidRPr="00B35D17" w:rsidRDefault="00856765" w:rsidP="00383648">
      <w:r w:rsidRPr="009C0EA0">
        <w:t xml:space="preserve">Further support will be provided </w:t>
      </w:r>
      <w:r w:rsidR="008F1385" w:rsidRPr="009C0EA0">
        <w:t xml:space="preserve">through the </w:t>
      </w:r>
      <w:r w:rsidR="00383648" w:rsidRPr="009C0EA0">
        <w:t>additional $1</w:t>
      </w:r>
      <w:r w:rsidR="00536DAD" w:rsidRPr="009C0EA0">
        <w:t> billion</w:t>
      </w:r>
      <w:r w:rsidR="00383648" w:rsidRPr="009C0EA0">
        <w:t xml:space="preserve"> for the </w:t>
      </w:r>
      <w:r w:rsidR="00383648" w:rsidRPr="009C0EA0">
        <w:rPr>
          <w:rStyle w:val="Strong"/>
          <w:color w:val="auto"/>
        </w:rPr>
        <w:t>National Housing Infrastructure Facility (NHIF),</w:t>
      </w:r>
      <w:r w:rsidR="00383648" w:rsidRPr="009C0EA0">
        <w:rPr>
          <w:b/>
        </w:rPr>
        <w:t xml:space="preserve"> </w:t>
      </w:r>
      <w:r w:rsidR="00383648" w:rsidRPr="009C0EA0">
        <w:t>which will be targeted towards crisis and transitional housing for women and children experiencing domestic violence and youth. The NHIF provides concessional loans and grants for eligible housing enabling infrastructure and social and affordable housing.</w:t>
      </w:r>
      <w:r w:rsidR="00F1333B" w:rsidRPr="009C0EA0">
        <w:t xml:space="preserve"> This assistance is also </w:t>
      </w:r>
      <w:r w:rsidR="00675BAD" w:rsidRPr="009C0EA0">
        <w:t>part of the Governm</w:t>
      </w:r>
      <w:r w:rsidR="002E5E33" w:rsidRPr="009C0EA0">
        <w:t>e</w:t>
      </w:r>
      <w:r w:rsidR="00675BAD" w:rsidRPr="009C0EA0">
        <w:t>nt</w:t>
      </w:r>
      <w:r w:rsidR="0004287B">
        <w:t>’</w:t>
      </w:r>
      <w:r w:rsidR="00675BAD" w:rsidRPr="009C0EA0">
        <w:t xml:space="preserve">s plan </w:t>
      </w:r>
      <w:r w:rsidR="002E5E33" w:rsidRPr="009C0EA0">
        <w:t>to deliver more social and affordable homes.</w:t>
      </w:r>
    </w:p>
    <w:p w14:paraId="7058B3CC" w14:textId="0C63AB6E" w:rsidR="000D5451" w:rsidRPr="00B35D17" w:rsidRDefault="000F4D61" w:rsidP="00E14A51">
      <w:pPr>
        <w:sectPr w:rsidR="000D5451" w:rsidRPr="00B35D17" w:rsidSect="009B36E5">
          <w:headerReference w:type="even" r:id="rId39"/>
          <w:footerReference w:type="even" r:id="rId40"/>
          <w:headerReference w:type="first" r:id="rId41"/>
          <w:footerReference w:type="first" r:id="rId42"/>
          <w:type w:val="oddPage"/>
          <w:pgSz w:w="11906" w:h="16838" w:code="9"/>
          <w:pgMar w:top="2835" w:right="2098" w:bottom="2466" w:left="2098" w:header="1814" w:footer="1814" w:gutter="0"/>
          <w:cols w:space="708"/>
          <w:titlePg/>
          <w:docGrid w:linePitch="360"/>
        </w:sectPr>
      </w:pPr>
      <w:r w:rsidRPr="009C0EA0">
        <w:t xml:space="preserve">The </w:t>
      </w:r>
      <w:r w:rsidRPr="009C0EA0">
        <w:rPr>
          <w:rStyle w:val="Strong"/>
          <w:color w:val="auto"/>
        </w:rPr>
        <w:t>Safe Places</w:t>
      </w:r>
      <w:r w:rsidRPr="009C0EA0">
        <w:t xml:space="preserve"> program provides capital works grants to support the renovation, building or purchase of new emergency accommodation for women and children experiencing family and domestic violence. The Safe Places inclusion round grant opportunity will provide up to 720 new safe places, bringing the total number of safe places to be delivered by the program to around 1,480 across Australia. Projects are expected to commence from mid</w:t>
      </w:r>
      <w:r w:rsidR="00C364FB" w:rsidRPr="009C0EA0">
        <w:t>–</w:t>
      </w:r>
      <w:r w:rsidRPr="009C0EA0">
        <w:t>2024.</w:t>
      </w:r>
    </w:p>
    <w:p w14:paraId="5DC6B60D" w14:textId="77777777" w:rsidR="00E14A51" w:rsidRPr="00B35D17" w:rsidRDefault="00E14A51" w:rsidP="00E14A51">
      <w:pPr>
        <w:pStyle w:val="Heading2"/>
      </w:pPr>
      <w:bookmarkStart w:id="67" w:name="_Toc166253972"/>
      <w:bookmarkStart w:id="68" w:name="_Toc166254081"/>
      <w:bookmarkStart w:id="69" w:name="_Toc166355556"/>
      <w:bookmarkEnd w:id="6"/>
      <w:bookmarkEnd w:id="7"/>
      <w:bookmarkEnd w:id="8"/>
      <w:bookmarkEnd w:id="9"/>
      <w:r w:rsidRPr="00B35D17">
        <w:lastRenderedPageBreak/>
        <w:t xml:space="preserve">Australian Government housing </w:t>
      </w:r>
      <w:r w:rsidRPr="00A064BE">
        <w:t>measures</w:t>
      </w:r>
      <w:r w:rsidRPr="00B35D17">
        <w:t xml:space="preserve"> since May 2022</w:t>
      </w:r>
      <w:bookmarkEnd w:id="67"/>
      <w:bookmarkEnd w:id="68"/>
      <w:bookmarkEnd w:id="69"/>
      <w:r w:rsidRPr="00B35D17">
        <w:t xml:space="preserve"> </w:t>
      </w:r>
      <w:bookmarkStart w:id="70" w:name="_Toc166159070"/>
    </w:p>
    <w:tbl>
      <w:tblPr>
        <w:tblStyle w:val="TableGrid1"/>
        <w:tblW w:w="0" w:type="auto"/>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633"/>
        <w:gridCol w:w="3919"/>
        <w:gridCol w:w="1819"/>
        <w:gridCol w:w="3156"/>
      </w:tblGrid>
      <w:tr w:rsidR="00E14A51" w:rsidRPr="00B35D17" w14:paraId="3EBE2FEE" w14:textId="77777777" w:rsidTr="00A952E9">
        <w:trPr>
          <w:cantSplit/>
          <w:tblHeader/>
        </w:trPr>
        <w:tc>
          <w:tcPr>
            <w:tcW w:w="0" w:type="auto"/>
            <w:vAlign w:val="center"/>
          </w:tcPr>
          <w:p w14:paraId="2B42E877" w14:textId="77777777" w:rsidR="00E14A51" w:rsidRPr="00187014" w:rsidRDefault="00E14A51" w:rsidP="00DA45A6">
            <w:pPr>
              <w:pStyle w:val="TableColumnHeadingLeft"/>
              <w:rPr>
                <w:rFonts w:eastAsiaTheme="minorHAnsi"/>
                <w:lang w:eastAsia="en-US"/>
              </w:rPr>
            </w:pPr>
            <w:bookmarkStart w:id="71" w:name="_Hlk166235087"/>
            <w:r w:rsidRPr="00187014">
              <w:rPr>
                <w:rFonts w:eastAsiaTheme="minorHAnsi"/>
                <w:noProof/>
                <w:lang w:eastAsia="en-US"/>
              </w:rPr>
              <w:t>Measure</w:t>
            </w:r>
          </w:p>
        </w:tc>
        <w:tc>
          <w:tcPr>
            <w:tcW w:w="0" w:type="auto"/>
            <w:vAlign w:val="center"/>
          </w:tcPr>
          <w:p w14:paraId="40DCEB9B" w14:textId="77777777" w:rsidR="00E14A51" w:rsidRPr="00B35D17" w:rsidRDefault="00E14A51" w:rsidP="00DA45A6">
            <w:pPr>
              <w:pStyle w:val="TableColumnHeadingLeft"/>
              <w:rPr>
                <w:rFonts w:eastAsiaTheme="minorHAnsi"/>
                <w:lang w:eastAsia="en-US"/>
              </w:rPr>
            </w:pPr>
            <w:r w:rsidRPr="00B35D17">
              <w:rPr>
                <w:rFonts w:eastAsiaTheme="minorHAnsi"/>
                <w:noProof/>
                <w:lang w:eastAsia="en-US"/>
              </w:rPr>
              <w:t>Description</w:t>
            </w:r>
          </w:p>
        </w:tc>
        <w:tc>
          <w:tcPr>
            <w:tcW w:w="0" w:type="auto"/>
            <w:vAlign w:val="center"/>
          </w:tcPr>
          <w:p w14:paraId="764772FF" w14:textId="5C241E2B" w:rsidR="00E14A51" w:rsidRPr="00B35D17" w:rsidRDefault="00BA0A2A" w:rsidP="00DA45A6">
            <w:pPr>
              <w:pStyle w:val="TableColumnHeadingLeft"/>
              <w:rPr>
                <w:rFonts w:eastAsiaTheme="minorHAnsi"/>
                <w:lang w:eastAsia="en-US"/>
              </w:rPr>
            </w:pPr>
            <w:r>
              <w:rPr>
                <w:rFonts w:eastAsiaTheme="minorHAnsi"/>
                <w:noProof/>
                <w:lang w:eastAsia="en-US"/>
              </w:rPr>
              <w:t xml:space="preserve">New </w:t>
            </w:r>
            <w:r w:rsidR="00F31EE6">
              <w:rPr>
                <w:rFonts w:eastAsiaTheme="minorHAnsi"/>
                <w:noProof/>
                <w:lang w:eastAsia="en-US"/>
              </w:rPr>
              <w:t>Commitments</w:t>
            </w:r>
          </w:p>
        </w:tc>
        <w:tc>
          <w:tcPr>
            <w:tcW w:w="0" w:type="auto"/>
            <w:vAlign w:val="center"/>
          </w:tcPr>
          <w:p w14:paraId="2E138ABD" w14:textId="2CB7F631" w:rsidR="00E14A51" w:rsidRPr="00B35D17" w:rsidRDefault="00E14A51" w:rsidP="00DA45A6">
            <w:pPr>
              <w:pStyle w:val="TableColumnHeadingLeft"/>
              <w:rPr>
                <w:rFonts w:eastAsiaTheme="minorHAnsi"/>
                <w:lang w:eastAsia="en-US"/>
              </w:rPr>
            </w:pPr>
            <w:r w:rsidRPr="00B35D17">
              <w:rPr>
                <w:rFonts w:eastAsiaTheme="minorHAnsi"/>
                <w:noProof/>
                <w:lang w:eastAsia="en-US"/>
              </w:rPr>
              <w:t>Impact</w:t>
            </w:r>
          </w:p>
        </w:tc>
      </w:tr>
      <w:bookmarkEnd w:id="71"/>
      <w:tr w:rsidR="00E14A51" w:rsidRPr="00B35D17" w14:paraId="6A7BEBFB" w14:textId="77777777" w:rsidTr="00A952E9">
        <w:trPr>
          <w:cantSplit/>
        </w:trPr>
        <w:tc>
          <w:tcPr>
            <w:tcW w:w="0" w:type="auto"/>
            <w:gridSpan w:val="4"/>
          </w:tcPr>
          <w:p w14:paraId="21418AF0" w14:textId="7CA48E8C" w:rsidR="00E14A51" w:rsidRPr="00187014" w:rsidRDefault="00E14A51" w:rsidP="00666260">
            <w:pPr>
              <w:pStyle w:val="TableColumnHeadingCentred"/>
              <w:rPr>
                <w:rFonts w:eastAsiaTheme="minorHAnsi"/>
                <w:noProof/>
                <w:lang w:eastAsia="en-US"/>
              </w:rPr>
            </w:pPr>
            <w:r w:rsidRPr="00187014">
              <w:rPr>
                <w:rFonts w:eastAsiaTheme="minorHAnsi"/>
                <w:noProof/>
                <w:lang w:eastAsia="en-US"/>
              </w:rPr>
              <w:t>2024</w:t>
            </w:r>
            <w:r w:rsidR="0004287B">
              <w:rPr>
                <w:rFonts w:eastAsiaTheme="minorHAnsi"/>
                <w:noProof/>
                <w:lang w:eastAsia="en-US"/>
              </w:rPr>
              <w:noBreakHyphen/>
            </w:r>
            <w:r w:rsidRPr="00187014">
              <w:rPr>
                <w:rFonts w:eastAsiaTheme="minorHAnsi"/>
                <w:noProof/>
                <w:lang w:eastAsia="en-US"/>
              </w:rPr>
              <w:t xml:space="preserve">25 </w:t>
            </w:r>
            <w:r w:rsidRPr="00187014">
              <w:rPr>
                <w:rFonts w:eastAsiaTheme="minorHAnsi"/>
              </w:rPr>
              <w:t>Budget</w:t>
            </w:r>
            <w:r w:rsidRPr="00187014">
              <w:rPr>
                <w:rFonts w:eastAsiaTheme="minorHAnsi"/>
                <w:noProof/>
                <w:lang w:eastAsia="en-US"/>
              </w:rPr>
              <w:t xml:space="preserve"> Measures</w:t>
            </w:r>
          </w:p>
        </w:tc>
      </w:tr>
      <w:tr w:rsidR="00E14A51" w:rsidRPr="00B35D17" w14:paraId="6AF0A6A5" w14:textId="77777777" w:rsidTr="00A952E9">
        <w:trPr>
          <w:cantSplit/>
        </w:trPr>
        <w:tc>
          <w:tcPr>
            <w:tcW w:w="0" w:type="auto"/>
            <w:gridSpan w:val="4"/>
          </w:tcPr>
          <w:p w14:paraId="2F18F15F" w14:textId="77777777" w:rsidR="00E14A51" w:rsidRPr="00187014" w:rsidRDefault="00E14A51" w:rsidP="00DA45A6">
            <w:pPr>
              <w:pStyle w:val="TableColumnHeadingLeft"/>
              <w:rPr>
                <w:rFonts w:eastAsiaTheme="minorHAnsi"/>
                <w:noProof/>
                <w:lang w:eastAsia="en-US"/>
              </w:rPr>
            </w:pPr>
            <w:r w:rsidRPr="00187014">
              <w:rPr>
                <w:rFonts w:eastAsiaTheme="minorHAnsi"/>
                <w:noProof/>
                <w:lang w:eastAsia="en-US"/>
              </w:rPr>
              <w:t>Removing barriers preventing new homes being built</w:t>
            </w:r>
          </w:p>
        </w:tc>
      </w:tr>
      <w:tr w:rsidR="00E14A51" w:rsidRPr="00B35D17" w14:paraId="6CA0D191" w14:textId="77777777" w:rsidTr="00A952E9">
        <w:trPr>
          <w:cantSplit/>
        </w:trPr>
        <w:tc>
          <w:tcPr>
            <w:tcW w:w="0" w:type="auto"/>
          </w:tcPr>
          <w:p w14:paraId="2D35FFAE" w14:textId="14A113AF" w:rsidR="00E14A51" w:rsidRPr="001F67EA" w:rsidRDefault="00E14A51" w:rsidP="00DA45A6">
            <w:pPr>
              <w:pStyle w:val="TableTextLeft"/>
              <w:rPr>
                <w:rFonts w:eastAsiaTheme="minorHAnsi"/>
                <w:noProof/>
                <w:color w:val="FFFF00"/>
                <w:highlight w:val="red"/>
                <w:lang w:eastAsia="en-US"/>
              </w:rPr>
            </w:pPr>
            <w:r w:rsidRPr="009C0EA0">
              <w:rPr>
                <w:rFonts w:eastAsiaTheme="minorHAnsi"/>
                <w:noProof/>
                <w:lang w:eastAsia="en-US"/>
              </w:rPr>
              <w:t xml:space="preserve">Housing Support Program – additional funding for enabling infrastructure (linked to </w:t>
            </w:r>
            <w:r w:rsidR="00382648" w:rsidRPr="009C0EA0">
              <w:rPr>
                <w:rFonts w:eastAsiaTheme="minorHAnsi"/>
                <w:noProof/>
                <w:lang w:eastAsia="en-US"/>
              </w:rPr>
              <w:t>later</w:t>
            </w:r>
            <w:r w:rsidRPr="009C0EA0">
              <w:rPr>
                <w:rFonts w:eastAsiaTheme="minorHAnsi"/>
                <w:noProof/>
                <w:lang w:eastAsia="en-US"/>
              </w:rPr>
              <w:t xml:space="preserve"> Housing Support Program measure)</w:t>
            </w:r>
          </w:p>
        </w:tc>
        <w:tc>
          <w:tcPr>
            <w:tcW w:w="0" w:type="auto"/>
          </w:tcPr>
          <w:p w14:paraId="0B9E73E1" w14:textId="4E22FF97" w:rsidR="00E14A51" w:rsidRPr="009C0EA0" w:rsidRDefault="00E14A51" w:rsidP="00DA45A6">
            <w:pPr>
              <w:pStyle w:val="TableTextLeft"/>
              <w:rPr>
                <w:rFonts w:eastAsiaTheme="minorHAnsi"/>
                <w:noProof/>
                <w:lang w:eastAsia="en-US"/>
              </w:rPr>
            </w:pPr>
            <w:r w:rsidRPr="009C0EA0">
              <w:rPr>
                <w:rFonts w:eastAsiaTheme="minorHAnsi"/>
                <w:noProof/>
                <w:lang w:eastAsia="en-US"/>
              </w:rPr>
              <w:t>Additional funding for states and territories to deliver more housing</w:t>
            </w:r>
            <w:r w:rsidR="0004287B">
              <w:rPr>
                <w:rFonts w:eastAsiaTheme="minorHAnsi"/>
                <w:noProof/>
                <w:lang w:eastAsia="en-US"/>
              </w:rPr>
              <w:noBreakHyphen/>
            </w:r>
            <w:r w:rsidRPr="009C0EA0">
              <w:rPr>
                <w:rFonts w:eastAsiaTheme="minorHAnsi"/>
                <w:noProof/>
                <w:lang w:eastAsia="en-US"/>
              </w:rPr>
              <w:t>enabling infrastructure.</w:t>
            </w:r>
          </w:p>
          <w:p w14:paraId="58D04505" w14:textId="77777777" w:rsidR="00E14A51" w:rsidRPr="001F67EA" w:rsidRDefault="00E14A51" w:rsidP="00DA45A6">
            <w:pPr>
              <w:pStyle w:val="TableTextLeft"/>
              <w:rPr>
                <w:rFonts w:eastAsiaTheme="minorHAnsi"/>
                <w:noProof/>
                <w:color w:val="FFFF00"/>
                <w:highlight w:val="red"/>
                <w:lang w:eastAsia="en-US"/>
              </w:rPr>
            </w:pPr>
          </w:p>
        </w:tc>
        <w:tc>
          <w:tcPr>
            <w:tcW w:w="0" w:type="auto"/>
          </w:tcPr>
          <w:p w14:paraId="48F4B931" w14:textId="2CD29C9A" w:rsidR="00E14A51" w:rsidRPr="001F67EA" w:rsidRDefault="00E14A51" w:rsidP="00DA45A6">
            <w:pPr>
              <w:pStyle w:val="TableTextLeft"/>
              <w:rPr>
                <w:rFonts w:eastAsiaTheme="minorHAnsi"/>
                <w:noProof/>
                <w:color w:val="FFFF00"/>
                <w:highlight w:val="red"/>
                <w:lang w:eastAsia="en-US"/>
              </w:rPr>
            </w:pPr>
            <w:r w:rsidRPr="009C0EA0">
              <w:rPr>
                <w:rFonts w:eastAsiaTheme="minorHAnsi"/>
                <w:noProof/>
                <w:lang w:eastAsia="en-US"/>
              </w:rPr>
              <w:t>$1</w:t>
            </w:r>
            <w:r w:rsidR="00536DAD" w:rsidRPr="009C0EA0">
              <w:rPr>
                <w:rFonts w:eastAsiaTheme="minorHAnsi"/>
                <w:noProof/>
                <w:lang w:eastAsia="en-US"/>
              </w:rPr>
              <w:t> billion</w:t>
            </w:r>
            <w:r w:rsidRPr="009C0EA0">
              <w:rPr>
                <w:rFonts w:eastAsiaTheme="minorHAnsi"/>
                <w:noProof/>
                <w:lang w:eastAsia="en-US"/>
              </w:rPr>
              <w:t xml:space="preserve"> (in 2023</w:t>
            </w:r>
            <w:r w:rsidR="0004287B">
              <w:rPr>
                <w:rFonts w:eastAsiaTheme="minorHAnsi"/>
                <w:noProof/>
                <w:lang w:eastAsia="en-US"/>
              </w:rPr>
              <w:noBreakHyphen/>
            </w:r>
            <w:r w:rsidRPr="009C0EA0">
              <w:rPr>
                <w:rFonts w:eastAsiaTheme="minorHAnsi"/>
                <w:noProof/>
                <w:lang w:eastAsia="en-US"/>
              </w:rPr>
              <w:t>24)</w:t>
            </w:r>
          </w:p>
        </w:tc>
        <w:tc>
          <w:tcPr>
            <w:tcW w:w="0" w:type="auto"/>
          </w:tcPr>
          <w:p w14:paraId="6F71679C" w14:textId="76256BAF" w:rsidR="00E14A51" w:rsidRPr="009C0EA0" w:rsidRDefault="00E14A51" w:rsidP="00DA45A6">
            <w:pPr>
              <w:pStyle w:val="TableTextLeft"/>
              <w:rPr>
                <w:rFonts w:eastAsiaTheme="minorHAnsi"/>
                <w:noProof/>
                <w:lang w:eastAsia="en-US"/>
              </w:rPr>
            </w:pPr>
            <w:r w:rsidRPr="009C0EA0">
              <w:rPr>
                <w:rFonts w:eastAsiaTheme="minorHAnsi"/>
                <w:noProof/>
                <w:lang w:eastAsia="en-US"/>
              </w:rPr>
              <w:t>Will support the supply of new homes through delivering enabling infrastructure earlier.</w:t>
            </w:r>
          </w:p>
        </w:tc>
      </w:tr>
      <w:tr w:rsidR="00E14A51" w:rsidRPr="001F67EA" w14:paraId="6CC0A1BB" w14:textId="77777777" w:rsidTr="00A952E9">
        <w:trPr>
          <w:cantSplit/>
        </w:trPr>
        <w:tc>
          <w:tcPr>
            <w:tcW w:w="0" w:type="auto"/>
          </w:tcPr>
          <w:p w14:paraId="7094984A" w14:textId="6DB28F04"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Skilling the construction workforce to support housing supply</w:t>
            </w:r>
          </w:p>
        </w:tc>
        <w:tc>
          <w:tcPr>
            <w:tcW w:w="0" w:type="auto"/>
          </w:tcPr>
          <w:p w14:paraId="0FA34F63" w14:textId="77777777"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Additional funding to develop the future construction workforce, with a focus on additional training and incentives.</w:t>
            </w:r>
          </w:p>
        </w:tc>
        <w:tc>
          <w:tcPr>
            <w:tcW w:w="0" w:type="auto"/>
          </w:tcPr>
          <w:p w14:paraId="0729503A" w14:textId="5F58E0E8"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$88.8</w:t>
            </w:r>
            <w:r w:rsidR="00536DAD" w:rsidRPr="009C0EA0">
              <w:rPr>
                <w:rFonts w:eastAsiaTheme="minorHAnsi"/>
                <w:noProof/>
                <w:lang w:eastAsia="en-US"/>
              </w:rPr>
              <w:t> million</w:t>
            </w:r>
            <w:r w:rsidRPr="009C0EA0">
              <w:rPr>
                <w:rFonts w:eastAsiaTheme="minorHAnsi"/>
                <w:noProof/>
                <w:lang w:eastAsia="en-US"/>
              </w:rPr>
              <w:t xml:space="preserve"> (over three years from 2024</w:t>
            </w:r>
            <w:r w:rsidR="0004287B">
              <w:rPr>
                <w:rFonts w:eastAsiaTheme="minorHAnsi"/>
                <w:noProof/>
                <w:lang w:eastAsia="en-US"/>
              </w:rPr>
              <w:noBreakHyphen/>
            </w:r>
            <w:r w:rsidRPr="009C0EA0">
              <w:rPr>
                <w:rFonts w:eastAsiaTheme="minorHAnsi"/>
                <w:noProof/>
                <w:lang w:eastAsia="en-US"/>
              </w:rPr>
              <w:t>25)</w:t>
            </w:r>
          </w:p>
        </w:tc>
        <w:tc>
          <w:tcPr>
            <w:tcW w:w="0" w:type="auto"/>
          </w:tcPr>
          <w:p w14:paraId="56F76A94" w14:textId="5C210CE2" w:rsidR="00E14A51" w:rsidRPr="009C0EA0" w:rsidRDefault="00E14A51" w:rsidP="00DA45A6">
            <w:pPr>
              <w:pStyle w:val="TableTextLeft"/>
              <w:rPr>
                <w:rFonts w:eastAsiaTheme="minorHAnsi"/>
                <w:noProof/>
                <w:lang w:eastAsia="en-US"/>
              </w:rPr>
            </w:pPr>
            <w:r w:rsidRPr="009C0EA0">
              <w:rPr>
                <w:rFonts w:eastAsiaTheme="minorHAnsi"/>
                <w:noProof/>
                <w:lang w:eastAsia="en-US"/>
              </w:rPr>
              <w:t>Will build the pipeline of critical skills in the construction sector.</w:t>
            </w:r>
          </w:p>
        </w:tc>
      </w:tr>
      <w:tr w:rsidR="00E14A51" w:rsidRPr="00B35D17" w14:paraId="63A3555F" w14:textId="77777777" w:rsidTr="00A952E9">
        <w:trPr>
          <w:cantSplit/>
        </w:trPr>
        <w:tc>
          <w:tcPr>
            <w:tcW w:w="0" w:type="auto"/>
          </w:tcPr>
          <w:p w14:paraId="35096757" w14:textId="270DDC08"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Increasing the availability of purpose</w:t>
            </w:r>
            <w:r w:rsidR="0004287B">
              <w:rPr>
                <w:rFonts w:eastAsiaTheme="minorHAnsi"/>
                <w:noProof/>
                <w:lang w:eastAsia="en-US"/>
              </w:rPr>
              <w:noBreakHyphen/>
            </w:r>
            <w:r w:rsidRPr="009C0EA0">
              <w:rPr>
                <w:rFonts w:eastAsiaTheme="minorHAnsi"/>
                <w:noProof/>
                <w:lang w:eastAsia="en-US"/>
              </w:rPr>
              <w:t>built student accommodation</w:t>
            </w:r>
          </w:p>
        </w:tc>
        <w:tc>
          <w:tcPr>
            <w:tcW w:w="0" w:type="auto"/>
          </w:tcPr>
          <w:p w14:paraId="44CE375E" w14:textId="77777777"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As part of the response to the Australian Universities Accord, the Government will work with universities to increase the availability of student housing, by limiting international student enrolments based on factors including how much student accommodation they provide.</w:t>
            </w:r>
          </w:p>
        </w:tc>
        <w:tc>
          <w:tcPr>
            <w:tcW w:w="0" w:type="auto"/>
          </w:tcPr>
          <w:p w14:paraId="362EE4EB" w14:textId="09F87B80" w:rsidR="00E14A51" w:rsidRPr="001F67EA" w:rsidRDefault="00E14A51" w:rsidP="00DA45A6">
            <w:pPr>
              <w:pStyle w:val="TableTextLeft"/>
              <w:rPr>
                <w:rFonts w:eastAsiaTheme="minorHAnsi"/>
                <w:noProof/>
                <w:highlight w:val="yellow"/>
                <w:lang w:eastAsia="en-US"/>
              </w:rPr>
            </w:pPr>
            <w:r w:rsidRPr="009C0EA0">
              <w:rPr>
                <w:rFonts w:eastAsiaTheme="minorHAnsi"/>
                <w:noProof/>
                <w:lang w:eastAsia="en-US"/>
              </w:rPr>
              <w:t>$2.1</w:t>
            </w:r>
            <w:r w:rsidR="00536DAD" w:rsidRPr="009C0EA0">
              <w:rPr>
                <w:rFonts w:eastAsiaTheme="minorHAnsi"/>
                <w:noProof/>
                <w:lang w:eastAsia="en-US"/>
              </w:rPr>
              <w:t> million</w:t>
            </w:r>
            <w:r w:rsidRPr="009C0EA0">
              <w:rPr>
                <w:rFonts w:eastAsiaTheme="minorHAnsi"/>
                <w:noProof/>
                <w:lang w:eastAsia="en-US"/>
              </w:rPr>
              <w:t xml:space="preserve"> over four years from 2024</w:t>
            </w:r>
            <w:r w:rsidR="0004287B">
              <w:rPr>
                <w:rFonts w:eastAsiaTheme="minorHAnsi"/>
                <w:noProof/>
                <w:lang w:eastAsia="en-US"/>
              </w:rPr>
              <w:noBreakHyphen/>
            </w:r>
            <w:r w:rsidRPr="009C0EA0">
              <w:rPr>
                <w:rFonts w:eastAsiaTheme="minorHAnsi"/>
                <w:noProof/>
                <w:lang w:eastAsia="en-US"/>
              </w:rPr>
              <w:t>25</w:t>
            </w:r>
          </w:p>
        </w:tc>
        <w:tc>
          <w:tcPr>
            <w:tcW w:w="0" w:type="auto"/>
          </w:tcPr>
          <w:p w14:paraId="4010E80F" w14:textId="56329608" w:rsidR="00E14A51" w:rsidRPr="009C0EA0" w:rsidRDefault="00E14A51" w:rsidP="00DA45A6">
            <w:pPr>
              <w:pStyle w:val="TableTextLeft"/>
              <w:rPr>
                <w:rFonts w:eastAsiaTheme="minorHAnsi"/>
                <w:noProof/>
                <w:lang w:eastAsia="en-US"/>
              </w:rPr>
            </w:pPr>
            <w:r w:rsidRPr="009C0EA0">
              <w:rPr>
                <w:rFonts w:eastAsiaTheme="minorHAnsi"/>
                <w:noProof/>
                <w:lang w:eastAsia="en-US"/>
              </w:rPr>
              <w:t xml:space="preserve">Will ensure better provision of student accommodation and help reduce pressure on local housing markets. </w:t>
            </w:r>
          </w:p>
        </w:tc>
      </w:tr>
      <w:tr w:rsidR="00E14A51" w:rsidRPr="00B35D17" w14:paraId="09D7D064" w14:textId="77777777" w:rsidTr="00A952E9">
        <w:trPr>
          <w:cantSplit/>
        </w:trPr>
        <w:tc>
          <w:tcPr>
            <w:tcW w:w="0" w:type="auto"/>
          </w:tcPr>
          <w:p w14:paraId="0C0F1A1F" w14:textId="45D6A2DB" w:rsidR="00E14A51" w:rsidRPr="001F67EA" w:rsidRDefault="00E14A51" w:rsidP="00DA45A6">
            <w:pPr>
              <w:pStyle w:val="TableTextLeft"/>
              <w:rPr>
                <w:rFonts w:eastAsiaTheme="minorHAnsi"/>
                <w:noProof/>
                <w:color w:val="FFFF00"/>
                <w:highlight w:val="magenta"/>
                <w:lang w:eastAsia="en-US"/>
              </w:rPr>
            </w:pPr>
            <w:r w:rsidRPr="009C0EA0">
              <w:rPr>
                <w:rFonts w:eastAsiaTheme="minorHAnsi"/>
                <w:noProof/>
                <w:lang w:eastAsia="en-US"/>
              </w:rPr>
              <w:t>National Housing Accord – Commonwealth land release</w:t>
            </w:r>
          </w:p>
        </w:tc>
        <w:tc>
          <w:tcPr>
            <w:tcW w:w="0" w:type="auto"/>
          </w:tcPr>
          <w:p w14:paraId="3A69CD5C" w14:textId="3C682041" w:rsidR="00E14A51" w:rsidRPr="001F67EA" w:rsidRDefault="00E14A51" w:rsidP="00DA45A6">
            <w:pPr>
              <w:pStyle w:val="TableTextLeft"/>
              <w:rPr>
                <w:rFonts w:eastAsiaTheme="minorHAnsi"/>
                <w:noProof/>
                <w:color w:val="FFFF00"/>
                <w:highlight w:val="magenta"/>
                <w:lang w:eastAsia="en-US"/>
              </w:rPr>
            </w:pPr>
            <w:r w:rsidRPr="009C0EA0">
              <w:rPr>
                <w:rFonts w:eastAsiaTheme="minorHAnsi"/>
                <w:noProof/>
                <w:lang w:eastAsia="en-US"/>
              </w:rPr>
              <w:t>The Government will undertake feasibility studies on a number of surplus Commonwealth</w:t>
            </w:r>
            <w:r w:rsidR="0004287B">
              <w:rPr>
                <w:rFonts w:eastAsiaTheme="minorHAnsi"/>
                <w:noProof/>
                <w:lang w:eastAsia="en-US"/>
              </w:rPr>
              <w:noBreakHyphen/>
            </w:r>
            <w:r w:rsidRPr="009C0EA0">
              <w:rPr>
                <w:rFonts w:eastAsiaTheme="minorHAnsi"/>
                <w:noProof/>
                <w:lang w:eastAsia="en-US"/>
              </w:rPr>
              <w:t>owned land holdings to determine their suitability for release as housing to support the 1.2</w:t>
            </w:r>
            <w:r w:rsidR="00536DAD" w:rsidRPr="009C0EA0">
              <w:rPr>
                <w:rFonts w:eastAsiaTheme="minorHAnsi"/>
                <w:noProof/>
                <w:lang w:eastAsia="en-US"/>
              </w:rPr>
              <w:t> million</w:t>
            </w:r>
            <w:r w:rsidRPr="009C0EA0">
              <w:rPr>
                <w:rFonts w:eastAsiaTheme="minorHAnsi"/>
                <w:noProof/>
                <w:lang w:eastAsia="en-US"/>
              </w:rPr>
              <w:t xml:space="preserve"> new, well located homes target under the Accord.</w:t>
            </w:r>
          </w:p>
        </w:tc>
        <w:tc>
          <w:tcPr>
            <w:tcW w:w="0" w:type="auto"/>
          </w:tcPr>
          <w:p w14:paraId="07F821CF" w14:textId="77777777" w:rsidR="00E14A51" w:rsidRPr="001F67EA" w:rsidRDefault="00E14A51" w:rsidP="00DA45A6">
            <w:pPr>
              <w:pStyle w:val="TableTextLeft"/>
              <w:rPr>
                <w:rFonts w:eastAsiaTheme="minorHAnsi"/>
                <w:noProof/>
                <w:color w:val="FFFF00"/>
                <w:highlight w:val="magenta"/>
                <w:lang w:eastAsia="en-US"/>
              </w:rPr>
            </w:pPr>
            <w:r w:rsidRPr="009C0EA0">
              <w:rPr>
                <w:rFonts w:eastAsiaTheme="minorHAnsi"/>
                <w:noProof/>
                <w:lang w:eastAsia="en-US"/>
              </w:rPr>
              <w:t>Nil</w:t>
            </w:r>
          </w:p>
        </w:tc>
        <w:tc>
          <w:tcPr>
            <w:tcW w:w="0" w:type="auto"/>
          </w:tcPr>
          <w:p w14:paraId="5535BE71" w14:textId="48F9946D" w:rsidR="00E14A51" w:rsidRPr="009C0EA0" w:rsidRDefault="00E14A51" w:rsidP="00DA45A6">
            <w:pPr>
              <w:pStyle w:val="TableTextLeft"/>
              <w:rPr>
                <w:rFonts w:eastAsiaTheme="minorHAnsi"/>
                <w:noProof/>
                <w:lang w:eastAsia="en-US"/>
              </w:rPr>
            </w:pPr>
            <w:r w:rsidRPr="009C0EA0">
              <w:rPr>
                <w:rFonts w:eastAsiaTheme="minorHAnsi"/>
                <w:noProof/>
                <w:lang w:eastAsia="en-US"/>
              </w:rPr>
              <w:t>Subject to findings of the feasibility studies, will support delivery of new housing to meet the Accord</w:t>
            </w:r>
            <w:r w:rsidR="0004287B">
              <w:rPr>
                <w:rFonts w:eastAsiaTheme="minorHAnsi"/>
                <w:noProof/>
                <w:lang w:eastAsia="en-US"/>
              </w:rPr>
              <w:t>’</w:t>
            </w:r>
            <w:r w:rsidRPr="009C0EA0">
              <w:rPr>
                <w:rFonts w:eastAsiaTheme="minorHAnsi"/>
                <w:noProof/>
                <w:lang w:eastAsia="en-US"/>
              </w:rPr>
              <w:t>s housing supply target.</w:t>
            </w:r>
          </w:p>
        </w:tc>
      </w:tr>
      <w:tr w:rsidR="00E14A51" w:rsidRPr="00B35D17" w14:paraId="51A097B4" w14:textId="77777777" w:rsidTr="00A952E9">
        <w:trPr>
          <w:cantSplit/>
        </w:trPr>
        <w:tc>
          <w:tcPr>
            <w:tcW w:w="0" w:type="auto"/>
            <w:gridSpan w:val="4"/>
          </w:tcPr>
          <w:p w14:paraId="37624FEA" w14:textId="77777777" w:rsidR="00E14A51" w:rsidRPr="00187014" w:rsidRDefault="00E14A51" w:rsidP="00144742">
            <w:pPr>
              <w:pStyle w:val="TableColumnHeadingLeft"/>
              <w:rPr>
                <w:rFonts w:eastAsiaTheme="minorHAnsi"/>
                <w:noProof/>
                <w:lang w:eastAsia="en-US"/>
              </w:rPr>
            </w:pPr>
            <w:r w:rsidRPr="00187014">
              <w:rPr>
                <w:rFonts w:eastAsiaTheme="minorHAnsi"/>
                <w:noProof/>
                <w:lang w:eastAsia="en-US"/>
              </w:rPr>
              <w:t>Delivering more social and affordable homes for those who need them</w:t>
            </w:r>
          </w:p>
        </w:tc>
      </w:tr>
      <w:tr w:rsidR="00E14A51" w:rsidRPr="00B35D17" w14:paraId="3F4DB383" w14:textId="77777777" w:rsidTr="00A952E9">
        <w:trPr>
          <w:cantSplit/>
        </w:trPr>
        <w:tc>
          <w:tcPr>
            <w:tcW w:w="0" w:type="auto"/>
          </w:tcPr>
          <w:p w14:paraId="18E8AA1C" w14:textId="07F58D4D" w:rsidR="00E14A51" w:rsidRPr="001F67EA" w:rsidRDefault="00E14A51">
            <w:pPr>
              <w:spacing w:before="0" w:after="0" w:line="240" w:lineRule="auto"/>
              <w:contextualSpacing/>
              <w:rPr>
                <w:rFonts w:ascii="Arial" w:eastAsiaTheme="minorHAnsi" w:hAnsi="Arial" w:cs="Arial"/>
                <w:noProof/>
                <w:color w:val="FFFF00"/>
                <w:sz w:val="16"/>
                <w:szCs w:val="16"/>
                <w:highlight w:val="red"/>
                <w:lang w:eastAsia="en-US"/>
              </w:rPr>
            </w:pPr>
            <w:r w:rsidRPr="009C0EA0">
              <w:rPr>
                <w:rFonts w:ascii="Arial" w:eastAsiaTheme="minorHAnsi" w:hAnsi="Arial" w:cs="Arial"/>
                <w:noProof/>
                <w:sz w:val="16"/>
                <w:szCs w:val="16"/>
                <w:lang w:eastAsia="en-US"/>
              </w:rPr>
              <w:t xml:space="preserve">National Agreement on Social Housing and Homelessness </w:t>
            </w:r>
          </w:p>
        </w:tc>
        <w:tc>
          <w:tcPr>
            <w:tcW w:w="0" w:type="auto"/>
          </w:tcPr>
          <w:p w14:paraId="30D2C638" w14:textId="43F560E5" w:rsidR="00E14A51" w:rsidRPr="001F67EA" w:rsidRDefault="00E14A51">
            <w:pPr>
              <w:spacing w:before="0" w:after="0" w:line="240" w:lineRule="auto"/>
              <w:contextualSpacing/>
              <w:rPr>
                <w:rFonts w:ascii="Arial" w:eastAsiaTheme="minorHAnsi" w:hAnsi="Arial" w:cs="Arial"/>
                <w:noProof/>
                <w:color w:val="FFFF00"/>
                <w:sz w:val="16"/>
                <w:szCs w:val="16"/>
                <w:highlight w:val="red"/>
                <w:lang w:eastAsia="en-US"/>
              </w:rPr>
            </w:pPr>
            <w:r w:rsidRPr="009C0EA0">
              <w:rPr>
                <w:rFonts w:ascii="Arial" w:eastAsiaTheme="minorHAnsi" w:hAnsi="Arial" w:cs="Arial"/>
                <w:noProof/>
                <w:sz w:val="16"/>
                <w:szCs w:val="16"/>
                <w:lang w:eastAsia="en-US"/>
              </w:rPr>
              <w:t>Under the new National Agreement on Social Housing and Homelessness, the states and territories will receive $9.3</w:t>
            </w:r>
            <w:r w:rsidR="00536DAD" w:rsidRPr="009C0EA0">
              <w:rPr>
                <w:rFonts w:ascii="Arial" w:eastAsiaTheme="minorHAnsi" w:hAnsi="Arial" w:cs="Arial"/>
                <w:noProof/>
                <w:sz w:val="16"/>
                <w:szCs w:val="16"/>
                <w:lang w:eastAsia="en-US"/>
              </w:rPr>
              <w:t> billion</w:t>
            </w:r>
            <w:r w:rsidRPr="009C0EA0">
              <w:rPr>
                <w:rFonts w:ascii="Arial" w:eastAsiaTheme="minorHAnsi" w:hAnsi="Arial" w:cs="Arial"/>
                <w:noProof/>
                <w:sz w:val="16"/>
                <w:szCs w:val="16"/>
                <w:lang w:eastAsia="en-US"/>
              </w:rPr>
              <w:t xml:space="preserve"> over five years. The new agreement provides $423.1</w:t>
            </w:r>
            <w:r w:rsidR="00536DAD" w:rsidRPr="009C0EA0">
              <w:rPr>
                <w:rFonts w:ascii="Arial" w:eastAsiaTheme="minorHAnsi" w:hAnsi="Arial" w:cs="Arial"/>
                <w:noProof/>
                <w:sz w:val="16"/>
                <w:szCs w:val="16"/>
                <w:lang w:eastAsia="en-US"/>
              </w:rPr>
              <w:t> million</w:t>
            </w:r>
            <w:r w:rsidRPr="009C0EA0">
              <w:rPr>
                <w:rFonts w:ascii="Arial" w:eastAsiaTheme="minorHAnsi" w:hAnsi="Arial" w:cs="Arial"/>
                <w:noProof/>
                <w:sz w:val="16"/>
                <w:szCs w:val="16"/>
                <w:lang w:eastAsia="en-US"/>
              </w:rPr>
              <w:t xml:space="preserve"> in additional funding.</w:t>
            </w:r>
          </w:p>
        </w:tc>
        <w:tc>
          <w:tcPr>
            <w:tcW w:w="0" w:type="auto"/>
          </w:tcPr>
          <w:p w14:paraId="210B2837" w14:textId="76DC9450" w:rsidR="00E14A51" w:rsidRPr="009C0EA0" w:rsidRDefault="00E14A51">
            <w:pPr>
              <w:spacing w:before="0" w:after="0" w:line="240" w:lineRule="auto"/>
              <w:contextualSpacing/>
              <w:rPr>
                <w:rFonts w:ascii="Arial" w:eastAsiaTheme="minorHAnsi" w:hAnsi="Arial" w:cs="Arial"/>
                <w:noProof/>
                <w:sz w:val="16"/>
                <w:szCs w:val="16"/>
                <w:lang w:eastAsia="en-US"/>
              </w:rPr>
            </w:pPr>
            <w:r w:rsidRPr="009C0EA0">
              <w:rPr>
                <w:rFonts w:ascii="Arial" w:eastAsiaTheme="minorHAnsi" w:hAnsi="Arial" w:cs="Arial"/>
                <w:noProof/>
                <w:sz w:val="16"/>
                <w:szCs w:val="16"/>
                <w:lang w:eastAsia="en-US"/>
              </w:rPr>
              <w:t>$423.1</w:t>
            </w:r>
            <w:r w:rsidR="00536DAD" w:rsidRPr="009C0EA0">
              <w:rPr>
                <w:rFonts w:ascii="Arial" w:eastAsiaTheme="minorHAnsi" w:hAnsi="Arial" w:cs="Arial"/>
                <w:noProof/>
                <w:sz w:val="16"/>
                <w:szCs w:val="16"/>
                <w:lang w:eastAsia="en-US"/>
              </w:rPr>
              <w:t> million</w:t>
            </w:r>
            <w:r w:rsidRPr="009C0EA0">
              <w:rPr>
                <w:rFonts w:ascii="Arial" w:eastAsiaTheme="minorHAnsi" w:hAnsi="Arial" w:cs="Arial"/>
                <w:noProof/>
                <w:sz w:val="16"/>
                <w:szCs w:val="16"/>
                <w:lang w:eastAsia="en-US"/>
              </w:rPr>
              <w:t xml:space="preserve"> (over </w:t>
            </w:r>
            <w:r w:rsidR="009F325A" w:rsidRPr="009C0EA0">
              <w:rPr>
                <w:rFonts w:ascii="Arial" w:eastAsiaTheme="minorHAnsi" w:hAnsi="Arial" w:cs="Arial"/>
                <w:noProof/>
                <w:sz w:val="16"/>
                <w:szCs w:val="16"/>
                <w:lang w:eastAsia="en-US"/>
              </w:rPr>
              <w:t>five</w:t>
            </w:r>
            <w:r w:rsidRPr="009C0EA0">
              <w:rPr>
                <w:rFonts w:ascii="Arial" w:eastAsiaTheme="minorHAnsi" w:hAnsi="Arial" w:cs="Arial"/>
                <w:noProof/>
                <w:sz w:val="16"/>
                <w:szCs w:val="16"/>
                <w:lang w:eastAsia="en-US"/>
              </w:rPr>
              <w:t> years from 2024</w:t>
            </w:r>
            <w:r w:rsidR="0004287B">
              <w:rPr>
                <w:rFonts w:ascii="Arial" w:eastAsiaTheme="minorHAnsi" w:hAnsi="Arial" w:cs="Arial"/>
                <w:noProof/>
                <w:sz w:val="16"/>
                <w:szCs w:val="16"/>
                <w:lang w:eastAsia="en-US"/>
              </w:rPr>
              <w:noBreakHyphen/>
            </w:r>
            <w:r w:rsidRPr="009C0EA0">
              <w:rPr>
                <w:rFonts w:ascii="Arial" w:eastAsiaTheme="minorHAnsi" w:hAnsi="Arial" w:cs="Arial"/>
                <w:noProof/>
                <w:sz w:val="16"/>
                <w:szCs w:val="16"/>
                <w:lang w:eastAsia="en-US"/>
              </w:rPr>
              <w:t xml:space="preserve">25) in additional funding. </w:t>
            </w:r>
          </w:p>
          <w:p w14:paraId="44127F9A" w14:textId="77777777" w:rsidR="00E14A51" w:rsidRPr="009C0EA0" w:rsidRDefault="00E14A51">
            <w:pPr>
              <w:spacing w:before="0" w:after="0" w:line="240" w:lineRule="auto"/>
              <w:contextualSpacing/>
              <w:rPr>
                <w:rFonts w:ascii="Arial" w:eastAsiaTheme="minorHAnsi" w:hAnsi="Arial" w:cs="Arial"/>
                <w:noProof/>
                <w:sz w:val="16"/>
                <w:szCs w:val="16"/>
                <w:lang w:eastAsia="en-US"/>
              </w:rPr>
            </w:pPr>
          </w:p>
          <w:p w14:paraId="14B60493" w14:textId="41FC21AD" w:rsidR="00E14A51" w:rsidRPr="001F67EA" w:rsidRDefault="00E14A51">
            <w:pPr>
              <w:spacing w:before="0" w:after="0" w:line="240" w:lineRule="auto"/>
              <w:contextualSpacing/>
              <w:rPr>
                <w:rFonts w:ascii="Arial" w:eastAsiaTheme="minorHAnsi" w:hAnsi="Arial" w:cs="Arial"/>
                <w:noProof/>
                <w:color w:val="FFFF00"/>
                <w:sz w:val="16"/>
                <w:szCs w:val="16"/>
                <w:highlight w:val="red"/>
                <w:lang w:eastAsia="en-US"/>
              </w:rPr>
            </w:pPr>
            <w:r w:rsidRPr="009C0EA0">
              <w:rPr>
                <w:rFonts w:ascii="Arial" w:eastAsiaTheme="minorHAnsi" w:hAnsi="Arial" w:cs="Arial"/>
                <w:noProof/>
                <w:sz w:val="16"/>
                <w:szCs w:val="16"/>
                <w:lang w:eastAsia="en-US"/>
              </w:rPr>
              <w:t>Total funding of $9.3</w:t>
            </w:r>
            <w:r w:rsidR="00536DAD" w:rsidRPr="009C0EA0">
              <w:rPr>
                <w:rFonts w:ascii="Arial" w:eastAsiaTheme="minorHAnsi" w:hAnsi="Arial" w:cs="Arial"/>
                <w:noProof/>
                <w:sz w:val="16"/>
                <w:szCs w:val="16"/>
                <w:lang w:eastAsia="en-US"/>
              </w:rPr>
              <w:t> billion</w:t>
            </w:r>
            <w:r w:rsidRPr="009C0EA0">
              <w:rPr>
                <w:rFonts w:ascii="Arial" w:eastAsiaTheme="minorHAnsi" w:hAnsi="Arial" w:cs="Arial"/>
                <w:noProof/>
                <w:sz w:val="16"/>
                <w:szCs w:val="16"/>
                <w:lang w:eastAsia="en-US"/>
              </w:rPr>
              <w:t xml:space="preserve"> over </w:t>
            </w:r>
            <w:r w:rsidR="009F325A" w:rsidRPr="009C0EA0">
              <w:rPr>
                <w:rFonts w:ascii="Arial" w:eastAsiaTheme="minorHAnsi" w:hAnsi="Arial" w:cs="Arial"/>
                <w:noProof/>
                <w:sz w:val="16"/>
                <w:szCs w:val="16"/>
                <w:lang w:eastAsia="en-US"/>
              </w:rPr>
              <w:t>five</w:t>
            </w:r>
            <w:r w:rsidR="00536DAD" w:rsidRPr="009C0EA0">
              <w:rPr>
                <w:rFonts w:ascii="Arial" w:eastAsiaTheme="minorHAnsi" w:hAnsi="Arial" w:cs="Arial"/>
                <w:noProof/>
                <w:sz w:val="16"/>
                <w:szCs w:val="16"/>
                <w:lang w:eastAsia="en-US"/>
              </w:rPr>
              <w:t> </w:t>
            </w:r>
            <w:r w:rsidRPr="009C0EA0">
              <w:rPr>
                <w:rFonts w:ascii="Arial" w:eastAsiaTheme="minorHAnsi" w:hAnsi="Arial" w:cs="Arial"/>
                <w:noProof/>
                <w:sz w:val="16"/>
                <w:szCs w:val="16"/>
                <w:lang w:eastAsia="en-US"/>
              </w:rPr>
              <w:t>years from 2024</w:t>
            </w:r>
            <w:r w:rsidR="0004287B">
              <w:rPr>
                <w:rFonts w:ascii="Arial" w:eastAsiaTheme="minorHAnsi" w:hAnsi="Arial" w:cs="Arial"/>
                <w:noProof/>
                <w:sz w:val="16"/>
                <w:szCs w:val="16"/>
                <w:lang w:eastAsia="en-US"/>
              </w:rPr>
              <w:noBreakHyphen/>
            </w:r>
            <w:r w:rsidRPr="009C0EA0">
              <w:rPr>
                <w:rFonts w:ascii="Arial" w:eastAsiaTheme="minorHAnsi" w:hAnsi="Arial" w:cs="Arial"/>
                <w:noProof/>
                <w:sz w:val="16"/>
                <w:szCs w:val="16"/>
                <w:lang w:eastAsia="en-US"/>
              </w:rPr>
              <w:t>25</w:t>
            </w:r>
          </w:p>
        </w:tc>
        <w:tc>
          <w:tcPr>
            <w:tcW w:w="0" w:type="auto"/>
          </w:tcPr>
          <w:p w14:paraId="25DA35C6" w14:textId="4E4CCD94" w:rsidR="00E14A51" w:rsidRPr="009C0EA0" w:rsidRDefault="00E14A51">
            <w:pPr>
              <w:spacing w:before="0" w:after="0" w:line="240" w:lineRule="auto"/>
              <w:contextualSpacing/>
              <w:rPr>
                <w:rFonts w:ascii="Arial" w:eastAsiaTheme="minorHAnsi" w:hAnsi="Arial" w:cs="Arial"/>
                <w:noProof/>
                <w:sz w:val="16"/>
                <w:szCs w:val="16"/>
                <w:lang w:eastAsia="en-US"/>
              </w:rPr>
            </w:pPr>
            <w:r w:rsidRPr="009C0EA0">
              <w:rPr>
                <w:rFonts w:ascii="Arial" w:eastAsiaTheme="minorHAnsi" w:hAnsi="Arial" w:cs="Arial"/>
                <w:noProof/>
                <w:sz w:val="16"/>
                <w:szCs w:val="16"/>
                <w:lang w:eastAsia="en-US"/>
              </w:rPr>
              <w:t>The new agreement is outcomes</w:t>
            </w:r>
            <w:r w:rsidR="0004287B">
              <w:rPr>
                <w:rFonts w:ascii="Arial" w:eastAsiaTheme="minorHAnsi" w:hAnsi="Arial" w:cs="Arial"/>
                <w:noProof/>
                <w:sz w:val="16"/>
                <w:szCs w:val="16"/>
                <w:lang w:eastAsia="en-US"/>
              </w:rPr>
              <w:noBreakHyphen/>
            </w:r>
            <w:r w:rsidRPr="009C0EA0">
              <w:rPr>
                <w:rFonts w:ascii="Arial" w:eastAsiaTheme="minorHAnsi" w:hAnsi="Arial" w:cs="Arial"/>
                <w:noProof/>
                <w:sz w:val="16"/>
                <w:szCs w:val="16"/>
                <w:lang w:eastAsia="en-US"/>
              </w:rPr>
              <w:t>focused and will enhance support for social housing and homelessness services, in conjunction with other investments by both Commonwealth and state governments.</w:t>
            </w:r>
          </w:p>
        </w:tc>
      </w:tr>
      <w:tr w:rsidR="00E14A51" w:rsidRPr="00B35D17" w14:paraId="06927A6F" w14:textId="77777777" w:rsidTr="00A952E9">
        <w:trPr>
          <w:cantSplit/>
        </w:trPr>
        <w:tc>
          <w:tcPr>
            <w:tcW w:w="0" w:type="auto"/>
          </w:tcPr>
          <w:p w14:paraId="22EC867A" w14:textId="22D8650A" w:rsidR="00E14A51" w:rsidRPr="001F67EA" w:rsidRDefault="00E14A51" w:rsidP="00DF69B6">
            <w:pPr>
              <w:pStyle w:val="TableTextLeft"/>
              <w:rPr>
                <w:rFonts w:eastAsiaTheme="minorHAnsi"/>
                <w:highlight w:val="darkYellow"/>
              </w:rPr>
            </w:pPr>
            <w:r w:rsidRPr="009C0EA0">
              <w:rPr>
                <w:rFonts w:eastAsiaTheme="minorHAnsi"/>
              </w:rPr>
              <w:lastRenderedPageBreak/>
              <w:t>Housing Australia Future Fund and National Housing Accord – additional finance – concessional Commonwealth loans</w:t>
            </w:r>
          </w:p>
        </w:tc>
        <w:tc>
          <w:tcPr>
            <w:tcW w:w="0" w:type="auto"/>
          </w:tcPr>
          <w:p w14:paraId="66EFC0A6" w14:textId="08B7B1B5" w:rsidR="00E14A51" w:rsidRPr="001F67EA" w:rsidRDefault="00101393" w:rsidP="006E05BC">
            <w:pPr>
              <w:pStyle w:val="TableTextLeft"/>
              <w:rPr>
                <w:rFonts w:eastAsiaTheme="minorHAnsi"/>
                <w:highlight w:val="darkYellow"/>
              </w:rPr>
            </w:pPr>
            <w:r w:rsidRPr="009C0EA0">
              <w:rPr>
                <w:rFonts w:eastAsiaTheme="minorHAnsi"/>
              </w:rPr>
              <w:t>Provide additional concessional financing of up to $1.9 billion for community housing providers and other charities to support the delivery of new homes under the HAFF and Accord.</w:t>
            </w:r>
          </w:p>
        </w:tc>
        <w:tc>
          <w:tcPr>
            <w:tcW w:w="0" w:type="auto"/>
          </w:tcPr>
          <w:p w14:paraId="16BE8157" w14:textId="41B78F15" w:rsidR="00E14A51" w:rsidRPr="001F67EA" w:rsidRDefault="00E14A51" w:rsidP="006E05BC">
            <w:pPr>
              <w:pStyle w:val="TableTextLeft"/>
              <w:rPr>
                <w:rFonts w:eastAsiaTheme="minorHAnsi"/>
                <w:highlight w:val="darkYellow"/>
              </w:rPr>
            </w:pPr>
            <w:r w:rsidRPr="009C0EA0">
              <w:rPr>
                <w:rFonts w:eastAsiaTheme="minorHAnsi"/>
              </w:rPr>
              <w:t>$1.9</w:t>
            </w:r>
            <w:r w:rsidR="00536DAD" w:rsidRPr="009C0EA0">
              <w:rPr>
                <w:rFonts w:eastAsiaTheme="minorHAnsi"/>
              </w:rPr>
              <w:t> </w:t>
            </w:r>
            <w:r w:rsidRPr="009C0EA0">
              <w:rPr>
                <w:rFonts w:eastAsiaTheme="minorHAnsi"/>
              </w:rPr>
              <w:t>billion (up to)</w:t>
            </w:r>
          </w:p>
        </w:tc>
        <w:tc>
          <w:tcPr>
            <w:tcW w:w="0" w:type="auto"/>
          </w:tcPr>
          <w:p w14:paraId="2574A2B3" w14:textId="63AA99BA" w:rsidR="00E14A51" w:rsidRPr="009C0EA0" w:rsidRDefault="00E14A51" w:rsidP="006E05BC">
            <w:pPr>
              <w:pStyle w:val="TableTextLeft"/>
              <w:rPr>
                <w:rFonts w:eastAsiaTheme="minorHAnsi"/>
              </w:rPr>
            </w:pPr>
            <w:r w:rsidRPr="009C0EA0">
              <w:rPr>
                <w:rFonts w:eastAsiaTheme="minorHAnsi"/>
              </w:rPr>
              <w:t>Will support delivery of the 40,000 social and affordable homes the Government committed to under the Housing Australia Future Fund and Accord.</w:t>
            </w:r>
          </w:p>
        </w:tc>
      </w:tr>
      <w:tr w:rsidR="00E14A51" w:rsidRPr="001F67EA" w14:paraId="24A27610" w14:textId="77777777" w:rsidTr="00A952E9">
        <w:trPr>
          <w:cantSplit/>
        </w:trPr>
        <w:tc>
          <w:tcPr>
            <w:tcW w:w="0" w:type="auto"/>
          </w:tcPr>
          <w:p w14:paraId="3C6F99CA" w14:textId="61786AEB" w:rsidR="00E14A51" w:rsidRPr="001F67EA" w:rsidRDefault="00E14A51" w:rsidP="00144742">
            <w:pPr>
              <w:pStyle w:val="TableTextLeft"/>
              <w:rPr>
                <w:rFonts w:eastAsiaTheme="minorHAnsi"/>
                <w:highlight w:val="darkCyan"/>
                <w:lang w:eastAsia="en-US"/>
              </w:rPr>
            </w:pPr>
            <w:r w:rsidRPr="009C0EA0">
              <w:rPr>
                <w:rFonts w:eastAsiaTheme="minorHAnsi"/>
                <w:lang w:eastAsia="en-US"/>
              </w:rPr>
              <w:t>Capacity building support for the social and affordable housing sector</w:t>
            </w:r>
          </w:p>
        </w:tc>
        <w:tc>
          <w:tcPr>
            <w:tcW w:w="0" w:type="auto"/>
          </w:tcPr>
          <w:p w14:paraId="206BAD55" w14:textId="77777777" w:rsidR="00E14A51" w:rsidRPr="001F67EA" w:rsidRDefault="00E14A51" w:rsidP="00144742">
            <w:pPr>
              <w:pStyle w:val="TableTextLeft"/>
              <w:rPr>
                <w:rFonts w:eastAsiaTheme="minorHAnsi"/>
                <w:highlight w:val="darkCyan"/>
                <w:lang w:eastAsia="en-US"/>
              </w:rPr>
            </w:pPr>
            <w:r w:rsidRPr="009C0EA0">
              <w:rPr>
                <w:rFonts w:eastAsiaTheme="minorHAnsi"/>
                <w:lang w:eastAsia="en-US"/>
              </w:rPr>
              <w:t>Support to build the capacity of Community Housing Providers and Aboriginal and Torres Strait Islander Community Controlled Housing Organisations to enable them to better engage with available support and improve their delivery of new housing</w:t>
            </w:r>
          </w:p>
        </w:tc>
        <w:tc>
          <w:tcPr>
            <w:tcW w:w="0" w:type="auto"/>
          </w:tcPr>
          <w:p w14:paraId="5DE54C46" w14:textId="4DA413E1" w:rsidR="00E14A51" w:rsidRPr="001F67EA" w:rsidRDefault="00E14A51" w:rsidP="00144742">
            <w:pPr>
              <w:pStyle w:val="TableTextLeft"/>
              <w:rPr>
                <w:rFonts w:eastAsiaTheme="minorHAnsi"/>
                <w:highlight w:val="darkCyan"/>
                <w:lang w:eastAsia="en-US"/>
              </w:rPr>
            </w:pPr>
            <w:r w:rsidRPr="009C0EA0">
              <w:rPr>
                <w:rFonts w:eastAsiaTheme="minorHAnsi"/>
                <w:lang w:eastAsia="en-US"/>
              </w:rPr>
              <w:t>$2</w:t>
            </w:r>
            <w:r w:rsidR="00536DAD" w:rsidRPr="009C0EA0">
              <w:rPr>
                <w:rFonts w:eastAsiaTheme="minorHAnsi"/>
                <w:lang w:eastAsia="en-US"/>
              </w:rPr>
              <w:t> million</w:t>
            </w:r>
            <w:r w:rsidRPr="009C0EA0">
              <w:rPr>
                <w:rFonts w:eastAsiaTheme="minorHAnsi"/>
                <w:lang w:eastAsia="en-US"/>
              </w:rPr>
              <w:t xml:space="preserve"> (over </w:t>
            </w:r>
            <w:r w:rsidR="007118E6" w:rsidRPr="009C0EA0">
              <w:rPr>
                <w:rFonts w:eastAsiaTheme="minorHAnsi"/>
                <w:lang w:eastAsia="en-US"/>
              </w:rPr>
              <w:t>three</w:t>
            </w:r>
            <w:r w:rsidRPr="009C0EA0">
              <w:rPr>
                <w:rFonts w:eastAsiaTheme="minorHAnsi"/>
                <w:lang w:eastAsia="en-US"/>
              </w:rPr>
              <w:t> years from 2024</w:t>
            </w:r>
            <w:r w:rsidR="0004287B">
              <w:rPr>
                <w:rFonts w:eastAsiaTheme="minorHAnsi"/>
                <w:lang w:eastAsia="en-US"/>
              </w:rPr>
              <w:noBreakHyphen/>
            </w:r>
            <w:r w:rsidRPr="009C0EA0">
              <w:rPr>
                <w:rFonts w:eastAsiaTheme="minorHAnsi"/>
                <w:lang w:eastAsia="en-US"/>
              </w:rPr>
              <w:t>25)</w:t>
            </w:r>
          </w:p>
        </w:tc>
        <w:tc>
          <w:tcPr>
            <w:tcW w:w="0" w:type="auto"/>
          </w:tcPr>
          <w:p w14:paraId="40AC14B0" w14:textId="37AA9D3A" w:rsidR="00E14A51" w:rsidRPr="009C0EA0" w:rsidRDefault="00E14A51" w:rsidP="00144742">
            <w:pPr>
              <w:pStyle w:val="TableTextLeft"/>
              <w:rPr>
                <w:rFonts w:eastAsiaTheme="minorHAnsi"/>
                <w:lang w:eastAsia="en-US"/>
              </w:rPr>
            </w:pPr>
            <w:r w:rsidRPr="009C0EA0">
              <w:rPr>
                <w:rFonts w:eastAsiaTheme="minorHAnsi"/>
                <w:lang w:eastAsia="en-US"/>
              </w:rPr>
              <w:t>Supports eligible organisations to better engage with available support.</w:t>
            </w:r>
          </w:p>
        </w:tc>
      </w:tr>
      <w:tr w:rsidR="00E14A51" w:rsidRPr="00B35D17" w14:paraId="7F487EBD" w14:textId="77777777" w:rsidTr="00A952E9">
        <w:trPr>
          <w:cantSplit/>
        </w:trPr>
        <w:tc>
          <w:tcPr>
            <w:tcW w:w="0" w:type="auto"/>
          </w:tcPr>
          <w:p w14:paraId="0797FA4A" w14:textId="77777777" w:rsidR="00E14A51" w:rsidRPr="001F67EA" w:rsidRDefault="00E14A51" w:rsidP="00144742">
            <w:pPr>
              <w:pStyle w:val="TableTextLeft"/>
              <w:rPr>
                <w:rFonts w:eastAsiaTheme="minorHAnsi"/>
                <w:highlight w:val="darkCyan"/>
                <w:lang w:eastAsia="en-US"/>
              </w:rPr>
            </w:pPr>
            <w:r w:rsidRPr="009C0EA0">
              <w:rPr>
                <w:rFonts w:eastAsiaTheme="minorHAnsi"/>
                <w:lang w:eastAsia="en-US"/>
              </w:rPr>
              <w:t>Expanding the Affordable Housing Bond Aggregator to support Community Housing Providers</w:t>
            </w:r>
          </w:p>
        </w:tc>
        <w:tc>
          <w:tcPr>
            <w:tcW w:w="0" w:type="auto"/>
          </w:tcPr>
          <w:p w14:paraId="6C699E61" w14:textId="026C7CCB" w:rsidR="00E14A51" w:rsidRPr="001F67EA" w:rsidRDefault="00E14A51" w:rsidP="00144742">
            <w:pPr>
              <w:pStyle w:val="TableTextLeft"/>
              <w:rPr>
                <w:rFonts w:eastAsiaTheme="minorHAnsi"/>
                <w:highlight w:val="darkCyan"/>
                <w:lang w:eastAsia="en-US"/>
              </w:rPr>
            </w:pPr>
            <w:r w:rsidRPr="009C0EA0">
              <w:rPr>
                <w:rFonts w:eastAsiaTheme="minorHAnsi"/>
                <w:lang w:eastAsia="en-US"/>
              </w:rPr>
              <w:t>Building on the previous increase, a $2.5 billion increase in the liability cap on the Commonwealth guarantee of Housing Australia</w:t>
            </w:r>
            <w:r w:rsidR="0004287B">
              <w:rPr>
                <w:rFonts w:eastAsiaTheme="minorHAnsi"/>
                <w:lang w:eastAsia="en-US"/>
              </w:rPr>
              <w:t>’</w:t>
            </w:r>
            <w:r w:rsidRPr="009C0EA0">
              <w:rPr>
                <w:rFonts w:eastAsiaTheme="minorHAnsi"/>
                <w:lang w:eastAsia="en-US"/>
              </w:rPr>
              <w:t>s liabilities to $10</w:t>
            </w:r>
            <w:r w:rsidR="00536DAD" w:rsidRPr="009C0EA0">
              <w:rPr>
                <w:rFonts w:eastAsiaTheme="minorHAnsi"/>
                <w:lang w:eastAsia="en-US"/>
              </w:rPr>
              <w:t> billion</w:t>
            </w:r>
            <w:r w:rsidRPr="009C0EA0">
              <w:rPr>
                <w:rFonts w:eastAsiaTheme="minorHAnsi"/>
                <w:lang w:eastAsia="en-US"/>
              </w:rPr>
              <w:t xml:space="preserve"> and a $3</w:t>
            </w:r>
            <w:r w:rsidR="00536DAD" w:rsidRPr="009C0EA0">
              <w:rPr>
                <w:rFonts w:eastAsiaTheme="minorHAnsi"/>
                <w:lang w:eastAsia="en-US"/>
              </w:rPr>
              <w:t> billion</w:t>
            </w:r>
            <w:r w:rsidRPr="009C0EA0">
              <w:rPr>
                <w:rFonts w:eastAsiaTheme="minorHAnsi"/>
                <w:lang w:eastAsia="en-US"/>
              </w:rPr>
              <w:t xml:space="preserve"> increase in Housing Australia</w:t>
            </w:r>
            <w:r w:rsidR="0004287B">
              <w:rPr>
                <w:rFonts w:eastAsiaTheme="minorHAnsi"/>
                <w:lang w:eastAsia="en-US"/>
              </w:rPr>
              <w:t>’</w:t>
            </w:r>
            <w:r w:rsidRPr="009C0EA0">
              <w:rPr>
                <w:rFonts w:eastAsiaTheme="minorHAnsi"/>
                <w:lang w:eastAsia="en-US"/>
              </w:rPr>
              <w:t>s line of credit.</w:t>
            </w:r>
          </w:p>
        </w:tc>
        <w:tc>
          <w:tcPr>
            <w:tcW w:w="0" w:type="auto"/>
          </w:tcPr>
          <w:p w14:paraId="2AEDE39B" w14:textId="77777777" w:rsidR="00E14A51" w:rsidRPr="001F67EA" w:rsidRDefault="00E14A51" w:rsidP="00144742">
            <w:pPr>
              <w:pStyle w:val="TableTextLeft"/>
              <w:rPr>
                <w:rFonts w:eastAsiaTheme="minorHAnsi"/>
                <w:highlight w:val="darkCyan"/>
                <w:lang w:eastAsia="en-US"/>
              </w:rPr>
            </w:pPr>
            <w:r w:rsidRPr="009C0EA0">
              <w:rPr>
                <w:rFonts w:eastAsiaTheme="minorHAnsi"/>
                <w:lang w:eastAsia="en-US"/>
              </w:rPr>
              <w:t>Increased Commonwealth balance sheet support for the lending program</w:t>
            </w:r>
          </w:p>
        </w:tc>
        <w:tc>
          <w:tcPr>
            <w:tcW w:w="0" w:type="auto"/>
          </w:tcPr>
          <w:p w14:paraId="0341683C" w14:textId="60F693B1" w:rsidR="00E14A51" w:rsidRPr="009C0EA0" w:rsidRDefault="00E14A51" w:rsidP="00144742">
            <w:pPr>
              <w:pStyle w:val="TableTextLeft"/>
              <w:rPr>
                <w:rFonts w:eastAsiaTheme="minorHAnsi"/>
                <w:lang w:eastAsia="en-US"/>
              </w:rPr>
            </w:pPr>
            <w:r w:rsidRPr="009C0EA0">
              <w:rPr>
                <w:rFonts w:eastAsiaTheme="minorHAnsi"/>
                <w:lang w:eastAsia="en-US"/>
              </w:rPr>
              <w:t>Continues Housing Australia</w:t>
            </w:r>
            <w:r w:rsidR="0004287B">
              <w:rPr>
                <w:rFonts w:eastAsiaTheme="minorHAnsi"/>
                <w:lang w:eastAsia="en-US"/>
              </w:rPr>
              <w:t>’</w:t>
            </w:r>
            <w:r w:rsidRPr="009C0EA0">
              <w:rPr>
                <w:rFonts w:eastAsiaTheme="minorHAnsi"/>
                <w:lang w:eastAsia="en-US"/>
              </w:rPr>
              <w:t>s support to Community Housing Providers through provision of low</w:t>
            </w:r>
            <w:r w:rsidR="0004287B">
              <w:rPr>
                <w:rFonts w:eastAsiaTheme="minorHAnsi"/>
                <w:lang w:eastAsia="en-US"/>
              </w:rPr>
              <w:noBreakHyphen/>
            </w:r>
            <w:r w:rsidRPr="009C0EA0">
              <w:rPr>
                <w:rFonts w:eastAsiaTheme="minorHAnsi"/>
                <w:lang w:eastAsia="en-US"/>
              </w:rPr>
              <w:t>cost financing.</w:t>
            </w:r>
          </w:p>
        </w:tc>
      </w:tr>
      <w:tr w:rsidR="00E14A51" w:rsidRPr="001F67EA" w14:paraId="50A8101B" w14:textId="77777777" w:rsidTr="00A952E9">
        <w:trPr>
          <w:cantSplit/>
        </w:trPr>
        <w:tc>
          <w:tcPr>
            <w:tcW w:w="0" w:type="auto"/>
          </w:tcPr>
          <w:p w14:paraId="3158E138" w14:textId="0C5D0FA3"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10</w:t>
            </w:r>
            <w:r w:rsidR="0004287B">
              <w:rPr>
                <w:rFonts w:eastAsiaTheme="minorHAnsi"/>
                <w:noProof/>
                <w:lang w:eastAsia="en-US"/>
              </w:rPr>
              <w:noBreakHyphen/>
            </w:r>
            <w:r w:rsidRPr="009C0EA0">
              <w:rPr>
                <w:rFonts w:eastAsiaTheme="minorHAnsi"/>
                <w:noProof/>
                <w:lang w:eastAsia="en-US"/>
              </w:rPr>
              <w:t>year Northern Territory Housing and Homelands Agreement</w:t>
            </w:r>
          </w:p>
        </w:tc>
        <w:tc>
          <w:tcPr>
            <w:tcW w:w="0" w:type="auto"/>
          </w:tcPr>
          <w:p w14:paraId="39C4E53B" w14:textId="2C7E8003" w:rsidR="00E14A51" w:rsidRPr="001F67EA" w:rsidRDefault="006B15FD" w:rsidP="00144742">
            <w:pPr>
              <w:pStyle w:val="TableTextLeft"/>
              <w:rPr>
                <w:rFonts w:eastAsiaTheme="minorHAnsi"/>
                <w:noProof/>
                <w:highlight w:val="green"/>
                <w:lang w:eastAsia="en-US"/>
              </w:rPr>
            </w:pPr>
            <w:r w:rsidRPr="009C0EA0">
              <w:rPr>
                <w:rFonts w:eastAsiaTheme="minorHAnsi"/>
                <w:noProof/>
                <w:lang w:eastAsia="en-US"/>
              </w:rPr>
              <w:t>10</w:t>
            </w:r>
            <w:r w:rsidR="0004287B">
              <w:rPr>
                <w:rFonts w:eastAsiaTheme="minorHAnsi"/>
                <w:noProof/>
                <w:lang w:eastAsia="en-US"/>
              </w:rPr>
              <w:noBreakHyphen/>
            </w:r>
            <w:r w:rsidR="00E14A51" w:rsidRPr="009C0EA0">
              <w:rPr>
                <w:rFonts w:eastAsiaTheme="minorHAnsi"/>
                <w:noProof/>
                <w:lang w:eastAsia="en-US"/>
              </w:rPr>
              <w:t xml:space="preserve">year Agreement to fund delivery of housing and property and tenancy management measures in remote communities when the current </w:t>
            </w:r>
            <w:r w:rsidR="00CB76A5" w:rsidRPr="009C0EA0">
              <w:rPr>
                <w:rFonts w:eastAsiaTheme="minorHAnsi"/>
                <w:noProof/>
                <w:lang w:eastAsia="en-US"/>
              </w:rPr>
              <w:t>one</w:t>
            </w:r>
            <w:r w:rsidR="0004287B">
              <w:rPr>
                <w:rFonts w:eastAsiaTheme="minorHAnsi"/>
                <w:noProof/>
                <w:lang w:eastAsia="en-US"/>
              </w:rPr>
              <w:noBreakHyphen/>
            </w:r>
            <w:r w:rsidR="00E14A51" w:rsidRPr="009C0EA0">
              <w:rPr>
                <w:rFonts w:eastAsiaTheme="minorHAnsi"/>
                <w:noProof/>
                <w:lang w:eastAsia="en-US"/>
              </w:rPr>
              <w:t>year NT Remote Housing FFA schedule expires.</w:t>
            </w:r>
          </w:p>
        </w:tc>
        <w:tc>
          <w:tcPr>
            <w:tcW w:w="0" w:type="auto"/>
          </w:tcPr>
          <w:p w14:paraId="519AD1A3" w14:textId="3B731FE5"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$698.4</w:t>
            </w:r>
            <w:r w:rsidR="00536DAD" w:rsidRPr="009C0EA0">
              <w:rPr>
                <w:rFonts w:eastAsiaTheme="minorHAnsi"/>
                <w:noProof/>
                <w:lang w:eastAsia="en-US"/>
              </w:rPr>
              <w:t> million</w:t>
            </w:r>
            <w:r w:rsidRPr="009C0EA0">
              <w:rPr>
                <w:rFonts w:eastAsiaTheme="minorHAnsi"/>
                <w:noProof/>
                <w:lang w:eastAsia="en-US"/>
              </w:rPr>
              <w:t xml:space="preserve"> (over </w:t>
            </w:r>
            <w:r w:rsidR="00FF00E9" w:rsidRPr="009C0EA0">
              <w:rPr>
                <w:rFonts w:eastAsiaTheme="minorHAnsi"/>
                <w:noProof/>
                <w:lang w:eastAsia="en-US"/>
              </w:rPr>
              <w:t>four</w:t>
            </w:r>
            <w:r w:rsidRPr="009C0EA0">
              <w:rPr>
                <w:rFonts w:eastAsiaTheme="minorHAnsi"/>
                <w:noProof/>
                <w:lang w:eastAsia="en-US"/>
              </w:rPr>
              <w:t xml:space="preserve"> years from 2024</w:t>
            </w:r>
            <w:r w:rsidR="0004287B">
              <w:rPr>
                <w:rFonts w:eastAsiaTheme="minorHAnsi"/>
                <w:noProof/>
                <w:lang w:eastAsia="en-US"/>
              </w:rPr>
              <w:noBreakHyphen/>
            </w:r>
            <w:r w:rsidRPr="009C0EA0">
              <w:rPr>
                <w:rFonts w:eastAsiaTheme="minorHAnsi"/>
                <w:noProof/>
                <w:lang w:eastAsia="en-US"/>
              </w:rPr>
              <w:t>25 and $2</w:t>
            </w:r>
            <w:r w:rsidR="00536DAD" w:rsidRPr="009C0EA0">
              <w:rPr>
                <w:rFonts w:eastAsiaTheme="minorHAnsi"/>
                <w:noProof/>
                <w:lang w:eastAsia="en-US"/>
              </w:rPr>
              <w:t> billion</w:t>
            </w:r>
            <w:r w:rsidRPr="009C0EA0">
              <w:rPr>
                <w:rFonts w:eastAsiaTheme="minorHAnsi"/>
                <w:noProof/>
                <w:lang w:eastAsia="en-US"/>
              </w:rPr>
              <w:t xml:space="preserve"> over </w:t>
            </w:r>
            <w:r w:rsidR="00C72070" w:rsidRPr="009C0EA0">
              <w:rPr>
                <w:rFonts w:eastAsiaTheme="minorHAnsi"/>
                <w:noProof/>
                <w:lang w:eastAsia="en-US"/>
              </w:rPr>
              <w:t>ten</w:t>
            </w:r>
            <w:r w:rsidRPr="009C0EA0">
              <w:rPr>
                <w:rFonts w:eastAsiaTheme="minorHAnsi"/>
                <w:noProof/>
                <w:lang w:eastAsia="en-US"/>
              </w:rPr>
              <w:t xml:space="preserve"> years)</w:t>
            </w:r>
          </w:p>
        </w:tc>
        <w:tc>
          <w:tcPr>
            <w:tcW w:w="0" w:type="auto"/>
          </w:tcPr>
          <w:p w14:paraId="3B6945D0" w14:textId="77777777" w:rsidR="00E14A51" w:rsidRPr="009C0EA0" w:rsidRDefault="00E14A51" w:rsidP="00144742">
            <w:pPr>
              <w:pStyle w:val="TableTextLeft"/>
              <w:rPr>
                <w:rFonts w:eastAsiaTheme="minorHAnsi"/>
                <w:noProof/>
                <w:lang w:eastAsia="en-US"/>
              </w:rPr>
            </w:pPr>
            <w:r w:rsidRPr="009C0EA0">
              <w:rPr>
                <w:rFonts w:eastAsiaTheme="minorHAnsi"/>
                <w:noProof/>
                <w:lang w:eastAsia="en-US"/>
              </w:rPr>
              <w:t>Deliver up to 270 houses a year to reduce the proportion of overcrowded dwellings.</w:t>
            </w:r>
          </w:p>
        </w:tc>
      </w:tr>
      <w:tr w:rsidR="00E14A51" w:rsidRPr="001F67EA" w14:paraId="18E0624C" w14:textId="77777777" w:rsidTr="00A952E9">
        <w:trPr>
          <w:cantSplit/>
        </w:trPr>
        <w:tc>
          <w:tcPr>
            <w:tcW w:w="0" w:type="auto"/>
          </w:tcPr>
          <w:p w14:paraId="5A7EC9F4" w14:textId="77777777"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Remote Housing Northern Territory Federation Funding Agreement</w:t>
            </w:r>
          </w:p>
        </w:tc>
        <w:tc>
          <w:tcPr>
            <w:tcW w:w="0" w:type="auto"/>
          </w:tcPr>
          <w:p w14:paraId="4D166FEE" w14:textId="44976015"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Deliver an additional 49 houses under the existing Remote Housing Northern Territory Federation Funding Agreement, in partnership with and jointly funded by the Northern Territory Government, delivering a total of 206 houses under the one</w:t>
            </w:r>
            <w:r w:rsidR="0004287B">
              <w:rPr>
                <w:rFonts w:eastAsiaTheme="minorHAnsi"/>
                <w:noProof/>
                <w:lang w:eastAsia="en-US"/>
              </w:rPr>
              <w:noBreakHyphen/>
            </w:r>
            <w:r w:rsidRPr="009C0EA0">
              <w:rPr>
                <w:rFonts w:eastAsiaTheme="minorHAnsi"/>
                <w:noProof/>
                <w:lang w:eastAsia="en-US"/>
              </w:rPr>
              <w:t>year agreement</w:t>
            </w:r>
          </w:p>
        </w:tc>
        <w:tc>
          <w:tcPr>
            <w:tcW w:w="0" w:type="auto"/>
          </w:tcPr>
          <w:p w14:paraId="70D0D294" w14:textId="0D51C6F5"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$20</w:t>
            </w:r>
            <w:r w:rsidR="00536DAD" w:rsidRPr="009C0EA0">
              <w:rPr>
                <w:rFonts w:eastAsiaTheme="minorHAnsi"/>
                <w:noProof/>
                <w:lang w:eastAsia="en-US"/>
              </w:rPr>
              <w:t> million</w:t>
            </w:r>
            <w:r w:rsidRPr="009C0EA0">
              <w:rPr>
                <w:rFonts w:eastAsiaTheme="minorHAnsi"/>
                <w:noProof/>
                <w:lang w:eastAsia="en-US"/>
              </w:rPr>
              <w:t xml:space="preserve"> in 2023</w:t>
            </w:r>
            <w:r w:rsidR="0004287B">
              <w:rPr>
                <w:rFonts w:eastAsiaTheme="minorHAnsi"/>
                <w:noProof/>
                <w:lang w:eastAsia="en-US"/>
              </w:rPr>
              <w:noBreakHyphen/>
            </w:r>
            <w:r w:rsidRPr="009C0EA0">
              <w:rPr>
                <w:rFonts w:eastAsiaTheme="minorHAnsi"/>
                <w:noProof/>
                <w:lang w:eastAsia="en-US"/>
              </w:rPr>
              <w:t>24</w:t>
            </w:r>
          </w:p>
        </w:tc>
        <w:tc>
          <w:tcPr>
            <w:tcW w:w="0" w:type="auto"/>
          </w:tcPr>
          <w:p w14:paraId="162B5ECB" w14:textId="77777777" w:rsidR="00E14A51" w:rsidRPr="009C0EA0" w:rsidRDefault="00E14A51" w:rsidP="00144742">
            <w:pPr>
              <w:pStyle w:val="TableTextLeft"/>
              <w:rPr>
                <w:rFonts w:eastAsiaTheme="minorHAnsi"/>
                <w:noProof/>
                <w:lang w:eastAsia="en-US"/>
              </w:rPr>
            </w:pPr>
            <w:r w:rsidRPr="009C0EA0">
              <w:rPr>
                <w:rFonts w:eastAsiaTheme="minorHAnsi"/>
                <w:noProof/>
                <w:lang w:eastAsia="en-US"/>
              </w:rPr>
              <w:t>Deliver an additional 49 houses in the current financial year to reduce overcrowding</w:t>
            </w:r>
          </w:p>
        </w:tc>
      </w:tr>
      <w:tr w:rsidR="00E14A51" w:rsidRPr="001F67EA" w14:paraId="46D3B85D" w14:textId="77777777" w:rsidTr="00A952E9">
        <w:trPr>
          <w:cantSplit/>
        </w:trPr>
        <w:tc>
          <w:tcPr>
            <w:tcW w:w="0" w:type="auto"/>
          </w:tcPr>
          <w:p w14:paraId="7327BB33" w14:textId="77777777"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Northern Territory Homelands funding extension</w:t>
            </w:r>
          </w:p>
        </w:tc>
        <w:tc>
          <w:tcPr>
            <w:tcW w:w="0" w:type="auto"/>
          </w:tcPr>
          <w:p w14:paraId="56457934" w14:textId="77777777"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 xml:space="preserve">Funding to continue the delivery of urgent repairs and maintenance of existing housing and essential infrastructure through an extension of the </w:t>
            </w:r>
            <w:r w:rsidRPr="009C0EA0">
              <w:rPr>
                <w:rFonts w:eastAsiaTheme="minorHAnsi"/>
              </w:rPr>
              <w:t>Northern</w:t>
            </w:r>
            <w:r w:rsidRPr="009C0EA0">
              <w:rPr>
                <w:rFonts w:eastAsiaTheme="minorHAnsi"/>
                <w:noProof/>
                <w:lang w:eastAsia="en-US"/>
              </w:rPr>
              <w:t xml:space="preserve"> Territory Homelands Federation Funding Agreement</w:t>
            </w:r>
          </w:p>
        </w:tc>
        <w:tc>
          <w:tcPr>
            <w:tcW w:w="0" w:type="auto"/>
          </w:tcPr>
          <w:p w14:paraId="4247AC76" w14:textId="61ACA748"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$120</w:t>
            </w:r>
            <w:r w:rsidR="00536DAD" w:rsidRPr="009C0EA0">
              <w:rPr>
                <w:rFonts w:eastAsiaTheme="minorHAnsi"/>
                <w:noProof/>
                <w:lang w:eastAsia="en-US"/>
              </w:rPr>
              <w:t> million</w:t>
            </w:r>
            <w:r w:rsidRPr="009C0EA0">
              <w:rPr>
                <w:rFonts w:eastAsiaTheme="minorHAnsi"/>
                <w:noProof/>
                <w:lang w:eastAsia="en-US"/>
              </w:rPr>
              <w:t xml:space="preserve"> (over </w:t>
            </w:r>
            <w:r w:rsidR="007118E6" w:rsidRPr="009C0EA0">
              <w:rPr>
                <w:rFonts w:eastAsiaTheme="minorHAnsi"/>
                <w:noProof/>
                <w:lang w:eastAsia="en-US"/>
              </w:rPr>
              <w:t>three</w:t>
            </w:r>
            <w:r w:rsidRPr="009C0EA0">
              <w:rPr>
                <w:rFonts w:eastAsiaTheme="minorHAnsi"/>
                <w:noProof/>
                <w:lang w:eastAsia="en-US"/>
              </w:rPr>
              <w:t xml:space="preserve"> years from 2024</w:t>
            </w:r>
            <w:r w:rsidR="0004287B">
              <w:rPr>
                <w:rFonts w:eastAsiaTheme="minorHAnsi"/>
                <w:noProof/>
                <w:lang w:eastAsia="en-US"/>
              </w:rPr>
              <w:noBreakHyphen/>
            </w:r>
            <w:r w:rsidRPr="009C0EA0">
              <w:rPr>
                <w:rFonts w:eastAsiaTheme="minorHAnsi"/>
                <w:noProof/>
                <w:lang w:eastAsia="en-US"/>
              </w:rPr>
              <w:t>25)</w:t>
            </w:r>
          </w:p>
        </w:tc>
        <w:tc>
          <w:tcPr>
            <w:tcW w:w="0" w:type="auto"/>
          </w:tcPr>
          <w:p w14:paraId="52B00C46" w14:textId="77777777" w:rsidR="00E14A51" w:rsidRPr="009C0EA0" w:rsidRDefault="00E14A51" w:rsidP="00144742">
            <w:pPr>
              <w:pStyle w:val="TableTextLeft"/>
              <w:rPr>
                <w:rFonts w:eastAsiaTheme="minorHAnsi"/>
                <w:noProof/>
                <w:lang w:eastAsia="en-US"/>
              </w:rPr>
            </w:pPr>
            <w:r w:rsidRPr="009C0EA0">
              <w:rPr>
                <w:rFonts w:eastAsiaTheme="minorHAnsi"/>
                <w:noProof/>
                <w:lang w:eastAsia="en-US"/>
              </w:rPr>
              <w:t>Will enable an increase in housing supply in remote homelands in the Northern Territory.</w:t>
            </w:r>
          </w:p>
        </w:tc>
      </w:tr>
      <w:tr w:rsidR="00E14A51" w:rsidRPr="00B35D17" w14:paraId="000F5D9A" w14:textId="77777777" w:rsidTr="00A952E9">
        <w:trPr>
          <w:cantSplit/>
        </w:trPr>
        <w:tc>
          <w:tcPr>
            <w:tcW w:w="0" w:type="auto"/>
          </w:tcPr>
          <w:p w14:paraId="4354A6F2" w14:textId="3A7B68C5"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Community</w:t>
            </w:r>
            <w:r w:rsidR="0004287B">
              <w:rPr>
                <w:rFonts w:eastAsiaTheme="minorHAnsi"/>
                <w:noProof/>
                <w:lang w:eastAsia="en-US"/>
              </w:rPr>
              <w:noBreakHyphen/>
            </w:r>
            <w:r w:rsidRPr="009C0EA0">
              <w:rPr>
                <w:rFonts w:eastAsiaTheme="minorHAnsi"/>
                <w:noProof/>
                <w:lang w:eastAsia="en-US"/>
              </w:rPr>
              <w:t>controlled housing model development</w:t>
            </w:r>
          </w:p>
        </w:tc>
        <w:tc>
          <w:tcPr>
            <w:tcW w:w="0" w:type="auto"/>
          </w:tcPr>
          <w:p w14:paraId="21955F9E" w14:textId="5F7EB286"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Work to develop a sustainable Community</w:t>
            </w:r>
            <w:r w:rsidR="0004287B">
              <w:rPr>
                <w:rFonts w:eastAsiaTheme="minorHAnsi"/>
                <w:noProof/>
                <w:lang w:eastAsia="en-US"/>
              </w:rPr>
              <w:noBreakHyphen/>
            </w:r>
            <w:r w:rsidRPr="009C0EA0">
              <w:rPr>
                <w:rFonts w:eastAsiaTheme="minorHAnsi"/>
                <w:noProof/>
                <w:lang w:eastAsia="en-US"/>
              </w:rPr>
              <w:t>controlled housing model.</w:t>
            </w:r>
          </w:p>
        </w:tc>
        <w:tc>
          <w:tcPr>
            <w:tcW w:w="0" w:type="auto"/>
          </w:tcPr>
          <w:p w14:paraId="7A81F1BC" w14:textId="2EEC8E59" w:rsidR="00E14A51" w:rsidRPr="001F67EA" w:rsidRDefault="00E14A51" w:rsidP="00144742">
            <w:pPr>
              <w:pStyle w:val="TableTextLeft"/>
              <w:rPr>
                <w:rFonts w:eastAsiaTheme="minorHAnsi"/>
                <w:noProof/>
                <w:highlight w:val="green"/>
                <w:lang w:eastAsia="en-US"/>
              </w:rPr>
            </w:pPr>
            <w:r w:rsidRPr="009C0EA0">
              <w:rPr>
                <w:rFonts w:eastAsiaTheme="minorHAnsi"/>
                <w:noProof/>
                <w:lang w:eastAsia="en-US"/>
              </w:rPr>
              <w:t>$1</w:t>
            </w:r>
            <w:r w:rsidR="00536DAD" w:rsidRPr="009C0EA0">
              <w:rPr>
                <w:rFonts w:eastAsiaTheme="minorHAnsi"/>
                <w:noProof/>
                <w:lang w:eastAsia="en-US"/>
              </w:rPr>
              <w:t> million</w:t>
            </w:r>
            <w:r w:rsidRPr="009C0EA0">
              <w:rPr>
                <w:rFonts w:eastAsiaTheme="minorHAnsi"/>
                <w:noProof/>
                <w:lang w:eastAsia="en-US"/>
              </w:rPr>
              <w:t xml:space="preserve"> (over </w:t>
            </w:r>
            <w:r w:rsidR="005B4F40" w:rsidRPr="009C0EA0">
              <w:rPr>
                <w:rFonts w:eastAsiaTheme="minorHAnsi"/>
                <w:noProof/>
                <w:lang w:eastAsia="en-US"/>
              </w:rPr>
              <w:t>two</w:t>
            </w:r>
            <w:r w:rsidRPr="009C0EA0">
              <w:rPr>
                <w:rFonts w:eastAsiaTheme="minorHAnsi"/>
                <w:noProof/>
                <w:lang w:eastAsia="en-US"/>
              </w:rPr>
              <w:t> years from 2024</w:t>
            </w:r>
            <w:r w:rsidR="0004287B">
              <w:rPr>
                <w:rFonts w:eastAsiaTheme="minorHAnsi"/>
                <w:noProof/>
                <w:lang w:eastAsia="en-US"/>
              </w:rPr>
              <w:noBreakHyphen/>
            </w:r>
            <w:r w:rsidRPr="009C0EA0">
              <w:rPr>
                <w:rFonts w:eastAsiaTheme="minorHAnsi"/>
                <w:noProof/>
                <w:lang w:eastAsia="en-US"/>
              </w:rPr>
              <w:t>25)</w:t>
            </w:r>
          </w:p>
        </w:tc>
        <w:tc>
          <w:tcPr>
            <w:tcW w:w="0" w:type="auto"/>
          </w:tcPr>
          <w:p w14:paraId="6623A21F" w14:textId="51062024" w:rsidR="00E14A51" w:rsidRPr="009C0EA0" w:rsidRDefault="00E14A51" w:rsidP="00144742">
            <w:pPr>
              <w:pStyle w:val="TableTextLeft"/>
              <w:rPr>
                <w:rFonts w:eastAsiaTheme="minorHAnsi"/>
                <w:noProof/>
                <w:lang w:eastAsia="en-US"/>
              </w:rPr>
            </w:pPr>
            <w:r w:rsidRPr="009C0EA0">
              <w:rPr>
                <w:rFonts w:eastAsiaTheme="minorHAnsi"/>
                <w:noProof/>
                <w:lang w:eastAsia="en-US"/>
              </w:rPr>
              <w:t>Wi</w:t>
            </w:r>
            <w:r w:rsidR="00E26F3B" w:rsidRPr="009C0EA0">
              <w:rPr>
                <w:rFonts w:eastAsiaTheme="minorHAnsi"/>
                <w:noProof/>
                <w:lang w:eastAsia="en-US"/>
              </w:rPr>
              <w:t>l</w:t>
            </w:r>
            <w:r w:rsidRPr="009C0EA0">
              <w:rPr>
                <w:rFonts w:eastAsiaTheme="minorHAnsi"/>
                <w:noProof/>
                <w:lang w:eastAsia="en-US"/>
              </w:rPr>
              <w:t>l enable an increase in housing supply.</w:t>
            </w:r>
          </w:p>
        </w:tc>
      </w:tr>
      <w:tr w:rsidR="00E14A51" w:rsidRPr="001F67EA" w14:paraId="38B38090" w14:textId="77777777" w:rsidTr="00A952E9">
        <w:trPr>
          <w:cantSplit/>
        </w:trPr>
        <w:tc>
          <w:tcPr>
            <w:tcW w:w="0" w:type="auto"/>
          </w:tcPr>
          <w:p w14:paraId="6886845B" w14:textId="77D8BE36" w:rsidR="00E14A51" w:rsidRPr="001F67EA" w:rsidRDefault="00263E36" w:rsidP="00144742">
            <w:pPr>
              <w:pStyle w:val="TableTextLeft"/>
              <w:rPr>
                <w:rFonts w:eastAsiaTheme="minorHAnsi"/>
                <w:noProof/>
                <w:highlight w:val="darkYellow"/>
                <w:lang w:eastAsia="en-US"/>
              </w:rPr>
            </w:pPr>
            <w:r w:rsidRPr="009C0EA0">
              <w:rPr>
                <w:rFonts w:eastAsiaTheme="minorHAnsi"/>
                <w:noProof/>
                <w:lang w:eastAsia="en-US"/>
              </w:rPr>
              <w:t xml:space="preserve">Targeted assistance </w:t>
            </w:r>
            <w:r w:rsidR="0006018C" w:rsidRPr="009C0EA0">
              <w:rPr>
                <w:rFonts w:eastAsiaTheme="minorHAnsi"/>
                <w:noProof/>
                <w:lang w:eastAsia="en-US"/>
              </w:rPr>
              <w:t xml:space="preserve">to residential builders seeking </w:t>
            </w:r>
            <w:r w:rsidR="00E14A51" w:rsidRPr="009C0EA0">
              <w:rPr>
                <w:rFonts w:eastAsiaTheme="minorHAnsi"/>
                <w:noProof/>
                <w:lang w:eastAsia="en-US"/>
              </w:rPr>
              <w:t>WHS accreditation</w:t>
            </w:r>
          </w:p>
        </w:tc>
        <w:tc>
          <w:tcPr>
            <w:tcW w:w="0" w:type="auto"/>
          </w:tcPr>
          <w:p w14:paraId="0B9085BC" w14:textId="3DF68E41" w:rsidR="00E14A51" w:rsidRPr="001F67EA" w:rsidRDefault="0006018C" w:rsidP="00144742">
            <w:pPr>
              <w:pStyle w:val="TableTextLeft"/>
              <w:rPr>
                <w:rFonts w:eastAsiaTheme="minorHAnsi"/>
                <w:i/>
                <w:iCs/>
                <w:noProof/>
                <w:highlight w:val="darkYellow"/>
                <w:lang w:eastAsia="en-US"/>
              </w:rPr>
            </w:pPr>
            <w:r w:rsidRPr="009C0EA0">
              <w:rPr>
                <w:rFonts w:eastAsiaTheme="minorHAnsi"/>
                <w:noProof/>
                <w:lang w:eastAsia="en-US"/>
              </w:rPr>
              <w:t xml:space="preserve">Provide targeted assistance to residential builders seeking to obtain accreditation under the </w:t>
            </w:r>
            <w:r w:rsidRPr="009C0EA0">
              <w:rPr>
                <w:rFonts w:eastAsiaTheme="minorHAnsi"/>
                <w:i/>
                <w:iCs/>
                <w:noProof/>
                <w:lang w:eastAsia="en-US"/>
              </w:rPr>
              <w:t>Work Health and Safety Accreditation Scheme</w:t>
            </w:r>
          </w:p>
        </w:tc>
        <w:tc>
          <w:tcPr>
            <w:tcW w:w="0" w:type="auto"/>
          </w:tcPr>
          <w:p w14:paraId="426722E9" w14:textId="6D6E5DB0" w:rsidR="00E14A51" w:rsidRPr="001F67EA" w:rsidRDefault="00E14A51" w:rsidP="00144742">
            <w:pPr>
              <w:pStyle w:val="TableTextLeft"/>
              <w:rPr>
                <w:rFonts w:eastAsiaTheme="minorHAnsi"/>
                <w:noProof/>
                <w:highlight w:val="darkYellow"/>
                <w:lang w:eastAsia="en-US"/>
              </w:rPr>
            </w:pPr>
            <w:r w:rsidRPr="009C0EA0">
              <w:rPr>
                <w:rFonts w:eastAsiaTheme="minorHAnsi"/>
                <w:noProof/>
                <w:lang w:eastAsia="en-US"/>
              </w:rPr>
              <w:t>$7</w:t>
            </w:r>
            <w:r w:rsidR="00536DAD" w:rsidRPr="009C0EA0">
              <w:rPr>
                <w:rFonts w:eastAsiaTheme="minorHAnsi"/>
                <w:noProof/>
                <w:lang w:eastAsia="en-US"/>
              </w:rPr>
              <w:t> million</w:t>
            </w:r>
            <w:r w:rsidR="0006018C" w:rsidRPr="009C0EA0">
              <w:rPr>
                <w:rFonts w:eastAsiaTheme="minorHAnsi"/>
                <w:noProof/>
                <w:lang w:eastAsia="en-US"/>
              </w:rPr>
              <w:t xml:space="preserve"> (over </w:t>
            </w:r>
            <w:r w:rsidR="00CB7670" w:rsidRPr="009C0EA0">
              <w:rPr>
                <w:rFonts w:eastAsiaTheme="minorHAnsi"/>
                <w:noProof/>
                <w:lang w:eastAsia="en-US"/>
              </w:rPr>
              <w:t>three years from 2023</w:t>
            </w:r>
            <w:r w:rsidR="00C905C8" w:rsidRPr="009C0EA0">
              <w:rPr>
                <w:rFonts w:eastAsiaTheme="minorHAnsi"/>
                <w:noProof/>
                <w:lang w:eastAsia="en-US"/>
              </w:rPr>
              <w:t>–</w:t>
            </w:r>
            <w:r w:rsidR="00CB7670" w:rsidRPr="009C0EA0">
              <w:rPr>
                <w:rFonts w:eastAsiaTheme="minorHAnsi"/>
                <w:noProof/>
                <w:lang w:eastAsia="en-US"/>
              </w:rPr>
              <w:t>24)</w:t>
            </w:r>
          </w:p>
        </w:tc>
        <w:tc>
          <w:tcPr>
            <w:tcW w:w="0" w:type="auto"/>
          </w:tcPr>
          <w:p w14:paraId="09B32588" w14:textId="41D2FF7D" w:rsidR="00E14A51" w:rsidRPr="009C0EA0" w:rsidRDefault="00E14A51" w:rsidP="00144742">
            <w:pPr>
              <w:pStyle w:val="TableTextLeft"/>
              <w:rPr>
                <w:rFonts w:eastAsiaTheme="minorHAnsi"/>
                <w:noProof/>
                <w:lang w:eastAsia="en-US"/>
              </w:rPr>
            </w:pPr>
            <w:r w:rsidRPr="009C0EA0">
              <w:rPr>
                <w:rFonts w:eastAsiaTheme="minorHAnsi"/>
                <w:noProof/>
                <w:lang w:eastAsia="en-US"/>
              </w:rPr>
              <w:t xml:space="preserve">Increased availability of accredited builders will </w:t>
            </w:r>
            <w:r w:rsidR="00CB7670" w:rsidRPr="009C0EA0">
              <w:rPr>
                <w:rFonts w:eastAsiaTheme="minorHAnsi"/>
                <w:noProof/>
                <w:lang w:eastAsia="en-US"/>
              </w:rPr>
              <w:t>support delivery of Government</w:t>
            </w:r>
            <w:r w:rsidR="0004287B">
              <w:rPr>
                <w:rFonts w:eastAsiaTheme="minorHAnsi"/>
                <w:noProof/>
                <w:lang w:eastAsia="en-US"/>
              </w:rPr>
              <w:noBreakHyphen/>
            </w:r>
            <w:r w:rsidR="00CB7670" w:rsidRPr="009C0EA0">
              <w:rPr>
                <w:rFonts w:eastAsiaTheme="minorHAnsi"/>
                <w:noProof/>
                <w:lang w:eastAsia="en-US"/>
              </w:rPr>
              <w:t>funded housing projects</w:t>
            </w:r>
          </w:p>
        </w:tc>
      </w:tr>
      <w:tr w:rsidR="00E14A51" w:rsidRPr="00B35D17" w14:paraId="7F2050DF" w14:textId="77777777" w:rsidTr="00A952E9">
        <w:trPr>
          <w:cantSplit/>
        </w:trPr>
        <w:tc>
          <w:tcPr>
            <w:tcW w:w="0" w:type="auto"/>
          </w:tcPr>
          <w:p w14:paraId="5957E9F4" w14:textId="376DF66E" w:rsidR="00E14A51" w:rsidRPr="001F67EA" w:rsidRDefault="009375C0" w:rsidP="00144742">
            <w:pPr>
              <w:pStyle w:val="TableTextLeft"/>
              <w:rPr>
                <w:rFonts w:eastAsiaTheme="minorHAnsi"/>
                <w:noProof/>
                <w:highlight w:val="darkYellow"/>
                <w:lang w:eastAsia="en-US"/>
              </w:rPr>
            </w:pPr>
            <w:r w:rsidRPr="009C0EA0">
              <w:rPr>
                <w:rFonts w:eastAsiaTheme="minorHAnsi"/>
                <w:noProof/>
                <w:lang w:eastAsia="en-US"/>
              </w:rPr>
              <w:lastRenderedPageBreak/>
              <w:t>Grants to building industry peak employer associations to assist residential builders seeking WHS accreditation</w:t>
            </w:r>
          </w:p>
        </w:tc>
        <w:tc>
          <w:tcPr>
            <w:tcW w:w="0" w:type="auto"/>
          </w:tcPr>
          <w:p w14:paraId="1CB72716" w14:textId="086CEF82" w:rsidR="00E14A51" w:rsidRPr="001F67EA" w:rsidRDefault="00E14A51" w:rsidP="00144742">
            <w:pPr>
              <w:pStyle w:val="TableTextLeft"/>
              <w:rPr>
                <w:rFonts w:eastAsiaTheme="minorHAnsi"/>
                <w:noProof/>
                <w:highlight w:val="darkYellow"/>
                <w:lang w:eastAsia="en-US"/>
              </w:rPr>
            </w:pPr>
            <w:r w:rsidRPr="009C0EA0">
              <w:rPr>
                <w:rFonts w:eastAsiaTheme="minorHAnsi"/>
                <w:noProof/>
                <w:lang w:eastAsia="en-US"/>
              </w:rPr>
              <w:t xml:space="preserve">Support for building industry peak </w:t>
            </w:r>
            <w:r w:rsidR="009375C0" w:rsidRPr="009C0EA0">
              <w:rPr>
                <w:rFonts w:eastAsiaTheme="minorHAnsi"/>
                <w:noProof/>
                <w:lang w:eastAsia="en-US"/>
              </w:rPr>
              <w:t>employer associations</w:t>
            </w:r>
            <w:r w:rsidRPr="009C0EA0">
              <w:rPr>
                <w:rFonts w:eastAsiaTheme="minorHAnsi"/>
                <w:noProof/>
                <w:lang w:eastAsia="en-US"/>
              </w:rPr>
              <w:t xml:space="preserve"> to assist </w:t>
            </w:r>
            <w:r w:rsidR="009375C0" w:rsidRPr="009C0EA0">
              <w:rPr>
                <w:rFonts w:eastAsiaTheme="minorHAnsi"/>
                <w:noProof/>
                <w:lang w:eastAsia="en-US"/>
              </w:rPr>
              <w:t xml:space="preserve">residential builders </w:t>
            </w:r>
            <w:r w:rsidR="00C905C8" w:rsidRPr="009C0EA0">
              <w:rPr>
                <w:rFonts w:eastAsiaTheme="minorHAnsi"/>
                <w:noProof/>
                <w:lang w:eastAsia="en-US"/>
              </w:rPr>
              <w:t xml:space="preserve">in obtaining accreditation under the </w:t>
            </w:r>
            <w:r w:rsidR="00C905C8" w:rsidRPr="009C0EA0">
              <w:rPr>
                <w:rFonts w:eastAsiaTheme="minorHAnsi"/>
                <w:i/>
                <w:iCs/>
                <w:noProof/>
                <w:lang w:eastAsia="en-US"/>
              </w:rPr>
              <w:t>Work Health and Safety Accreditation Scheme</w:t>
            </w:r>
          </w:p>
        </w:tc>
        <w:tc>
          <w:tcPr>
            <w:tcW w:w="0" w:type="auto"/>
          </w:tcPr>
          <w:p w14:paraId="39632A9E" w14:textId="48FD61EE" w:rsidR="00E14A51" w:rsidRPr="001F67EA" w:rsidRDefault="00E14A51" w:rsidP="00144742">
            <w:pPr>
              <w:pStyle w:val="TableTextLeft"/>
              <w:rPr>
                <w:rFonts w:eastAsiaTheme="minorHAnsi"/>
                <w:noProof/>
                <w:highlight w:val="darkYellow"/>
                <w:lang w:eastAsia="en-US"/>
              </w:rPr>
            </w:pPr>
            <w:r w:rsidRPr="009C0EA0">
              <w:rPr>
                <w:rFonts w:eastAsiaTheme="minorHAnsi"/>
                <w:noProof/>
                <w:lang w:eastAsia="en-US"/>
              </w:rPr>
              <w:t>$6.2</w:t>
            </w:r>
            <w:r w:rsidR="00536DAD" w:rsidRPr="009C0EA0">
              <w:rPr>
                <w:rFonts w:eastAsiaTheme="minorHAnsi"/>
                <w:noProof/>
                <w:lang w:eastAsia="en-US"/>
              </w:rPr>
              <w:t> million</w:t>
            </w:r>
            <w:r w:rsidR="00C905C8" w:rsidRPr="009C0EA0">
              <w:rPr>
                <w:rFonts w:eastAsiaTheme="minorHAnsi"/>
                <w:noProof/>
                <w:lang w:eastAsia="en-US"/>
              </w:rPr>
              <w:t xml:space="preserve"> (over two years from 2024–25)</w:t>
            </w:r>
          </w:p>
        </w:tc>
        <w:tc>
          <w:tcPr>
            <w:tcW w:w="0" w:type="auto"/>
          </w:tcPr>
          <w:p w14:paraId="2C66CF02" w14:textId="7FA2F833" w:rsidR="00E14A51" w:rsidRPr="009C0EA0" w:rsidRDefault="00E14A51" w:rsidP="00144742">
            <w:pPr>
              <w:pStyle w:val="TableTextLeft"/>
              <w:rPr>
                <w:rFonts w:eastAsiaTheme="minorHAnsi"/>
                <w:noProof/>
                <w:lang w:eastAsia="en-US"/>
              </w:rPr>
            </w:pPr>
            <w:r w:rsidRPr="009C0EA0">
              <w:rPr>
                <w:rFonts w:eastAsiaTheme="minorHAnsi"/>
                <w:noProof/>
                <w:lang w:eastAsia="en-US"/>
              </w:rPr>
              <w:t>Increased availability of accredited builders</w:t>
            </w:r>
            <w:r w:rsidR="00960415">
              <w:rPr>
                <w:rFonts w:eastAsiaTheme="minorHAnsi"/>
                <w:noProof/>
                <w:lang w:eastAsia="en-US"/>
              </w:rPr>
              <w:t xml:space="preserve"> will</w:t>
            </w:r>
            <w:r w:rsidRPr="009C0EA0">
              <w:rPr>
                <w:rFonts w:eastAsiaTheme="minorHAnsi"/>
                <w:noProof/>
                <w:lang w:eastAsia="en-US"/>
              </w:rPr>
              <w:t xml:space="preserve"> </w:t>
            </w:r>
            <w:r w:rsidR="00C905C8" w:rsidRPr="009C0EA0">
              <w:rPr>
                <w:rFonts w:eastAsiaTheme="minorHAnsi"/>
                <w:noProof/>
                <w:lang w:eastAsia="en-US"/>
              </w:rPr>
              <w:t>support delivery of Government</w:t>
            </w:r>
            <w:r w:rsidR="0004287B">
              <w:rPr>
                <w:rFonts w:eastAsiaTheme="minorHAnsi"/>
                <w:noProof/>
                <w:lang w:eastAsia="en-US"/>
              </w:rPr>
              <w:noBreakHyphen/>
            </w:r>
            <w:r w:rsidR="00C905C8" w:rsidRPr="009C0EA0">
              <w:rPr>
                <w:rFonts w:eastAsiaTheme="minorHAnsi"/>
                <w:noProof/>
                <w:lang w:eastAsia="en-US"/>
              </w:rPr>
              <w:t>funded housing projects</w:t>
            </w:r>
          </w:p>
        </w:tc>
      </w:tr>
      <w:tr w:rsidR="001F518E" w:rsidRPr="00B35D17" w14:paraId="1DA280C0" w14:textId="77777777">
        <w:trPr>
          <w:cantSplit/>
        </w:trPr>
        <w:tc>
          <w:tcPr>
            <w:tcW w:w="0" w:type="auto"/>
            <w:gridSpan w:val="4"/>
          </w:tcPr>
          <w:p w14:paraId="5B9FD45B" w14:textId="7A45D461" w:rsidR="001F518E" w:rsidRPr="00187014" w:rsidRDefault="001F518E" w:rsidP="001F518E">
            <w:pPr>
              <w:pStyle w:val="TableColumnHeadingLeft"/>
              <w:rPr>
                <w:rFonts w:eastAsiaTheme="minorHAnsi"/>
                <w:noProof/>
                <w:lang w:eastAsia="en-US"/>
              </w:rPr>
            </w:pPr>
            <w:r w:rsidRPr="00187014">
              <w:rPr>
                <w:rFonts w:eastAsiaTheme="minorHAnsi"/>
                <w:noProof/>
                <w:lang w:eastAsia="en-US"/>
              </w:rPr>
              <w:t>Delivering more support to renters</w:t>
            </w:r>
          </w:p>
        </w:tc>
      </w:tr>
      <w:tr w:rsidR="009F5ABB" w:rsidRPr="00B35D17" w14:paraId="19497BF8" w14:textId="77777777" w:rsidTr="00A952E9">
        <w:trPr>
          <w:cantSplit/>
        </w:trPr>
        <w:tc>
          <w:tcPr>
            <w:tcW w:w="0" w:type="auto"/>
          </w:tcPr>
          <w:p w14:paraId="30FC1C90" w14:textId="4DA24E07" w:rsidR="009F5ABB" w:rsidRPr="001F67EA" w:rsidRDefault="009F5ABB" w:rsidP="009F5ABB">
            <w:pPr>
              <w:pStyle w:val="TableTextLeft"/>
              <w:rPr>
                <w:rFonts w:eastAsiaTheme="minorHAnsi"/>
                <w:highlight w:val="darkCyan"/>
                <w:lang w:eastAsia="en-US"/>
              </w:rPr>
            </w:pPr>
            <w:r w:rsidRPr="009C0EA0">
              <w:rPr>
                <w:rFonts w:eastAsiaTheme="minorHAnsi"/>
                <w:lang w:eastAsia="en-US"/>
              </w:rPr>
              <w:t xml:space="preserve">Commonwealth Rent Assistance – </w:t>
            </w:r>
            <w:r w:rsidR="00C905C8" w:rsidRPr="009C0EA0">
              <w:rPr>
                <w:rFonts w:eastAsiaTheme="minorHAnsi"/>
                <w:lang w:eastAsia="en-US"/>
              </w:rPr>
              <w:t xml:space="preserve">10 per cent </w:t>
            </w:r>
            <w:r w:rsidRPr="009C0EA0">
              <w:rPr>
                <w:rFonts w:eastAsiaTheme="minorHAnsi"/>
                <w:lang w:eastAsia="en-US"/>
              </w:rPr>
              <w:t>increase</w:t>
            </w:r>
          </w:p>
        </w:tc>
        <w:tc>
          <w:tcPr>
            <w:tcW w:w="0" w:type="auto"/>
          </w:tcPr>
          <w:p w14:paraId="52E08492" w14:textId="6F823C87" w:rsidR="009F5ABB" w:rsidRPr="001F67EA" w:rsidRDefault="009F5ABB" w:rsidP="009F5ABB">
            <w:pPr>
              <w:pStyle w:val="TableTextLeft"/>
              <w:rPr>
                <w:rFonts w:eastAsiaTheme="minorHAnsi"/>
                <w:highlight w:val="darkCyan"/>
                <w:lang w:eastAsia="en-US"/>
              </w:rPr>
            </w:pPr>
            <w:r w:rsidRPr="009C0EA0">
              <w:rPr>
                <w:rFonts w:eastAsiaTheme="minorHAnsi"/>
                <w:lang w:eastAsia="en-US"/>
              </w:rPr>
              <w:t>An increase of 10 per cent in the maximum rates of Commonwealth Rent Assistance, to be provided from September 2024.</w:t>
            </w:r>
          </w:p>
        </w:tc>
        <w:tc>
          <w:tcPr>
            <w:tcW w:w="0" w:type="auto"/>
          </w:tcPr>
          <w:p w14:paraId="7258FE8D" w14:textId="70A64217" w:rsidR="009F5ABB" w:rsidRPr="009C0EA0" w:rsidRDefault="009F5ABB" w:rsidP="009F5ABB">
            <w:pPr>
              <w:pStyle w:val="TableTextLeft"/>
              <w:rPr>
                <w:rFonts w:eastAsiaTheme="minorHAnsi"/>
                <w:lang w:eastAsia="en-US"/>
              </w:rPr>
            </w:pPr>
            <w:r w:rsidRPr="009C0EA0">
              <w:rPr>
                <w:rFonts w:eastAsiaTheme="minorHAnsi"/>
                <w:lang w:eastAsia="en-US"/>
              </w:rPr>
              <w:t>$1.9 billion (over five years from 202</w:t>
            </w:r>
            <w:r w:rsidR="005B2BEB">
              <w:rPr>
                <w:rFonts w:eastAsiaTheme="minorHAnsi"/>
                <w:lang w:eastAsia="en-US"/>
              </w:rPr>
              <w:t>3–24</w:t>
            </w:r>
            <w:r w:rsidRPr="009C0EA0">
              <w:rPr>
                <w:rFonts w:eastAsiaTheme="minorHAnsi"/>
                <w:lang w:eastAsia="en-US"/>
              </w:rPr>
              <w:t>)</w:t>
            </w:r>
          </w:p>
          <w:p w14:paraId="5B2A5CA2" w14:textId="77777777" w:rsidR="009F5ABB" w:rsidRPr="009C0EA0" w:rsidRDefault="009F5ABB" w:rsidP="009F5ABB">
            <w:pPr>
              <w:pStyle w:val="TableTextLeft"/>
              <w:rPr>
                <w:rFonts w:eastAsiaTheme="minorHAnsi"/>
                <w:lang w:eastAsia="en-US"/>
              </w:rPr>
            </w:pPr>
          </w:p>
          <w:p w14:paraId="0A4AC117" w14:textId="0330A4F9" w:rsidR="009F5ABB" w:rsidRPr="001F67EA" w:rsidRDefault="009F5ABB" w:rsidP="009F5ABB">
            <w:pPr>
              <w:pStyle w:val="TableTextLeft"/>
              <w:rPr>
                <w:rFonts w:eastAsiaTheme="minorHAnsi"/>
                <w:highlight w:val="darkCyan"/>
                <w:lang w:eastAsia="en-US"/>
              </w:rPr>
            </w:pPr>
            <w:r w:rsidRPr="009C0EA0">
              <w:rPr>
                <w:rFonts w:eastAsiaTheme="minorHAnsi"/>
                <w:lang w:eastAsia="en-US"/>
              </w:rPr>
              <w:t xml:space="preserve">This measure has an ongoing cost. </w:t>
            </w:r>
          </w:p>
        </w:tc>
        <w:tc>
          <w:tcPr>
            <w:tcW w:w="0" w:type="auto"/>
          </w:tcPr>
          <w:p w14:paraId="70DE3FFB" w14:textId="16EAED67" w:rsidR="009F5ABB" w:rsidRPr="009C0EA0" w:rsidRDefault="009F5ABB" w:rsidP="009F5ABB">
            <w:pPr>
              <w:pStyle w:val="TableTextLeft"/>
              <w:rPr>
                <w:rFonts w:eastAsiaTheme="minorHAnsi"/>
                <w:lang w:eastAsia="en-US"/>
              </w:rPr>
            </w:pPr>
            <w:r w:rsidRPr="009C0EA0">
              <w:rPr>
                <w:rFonts w:eastAsiaTheme="minorHAnsi"/>
                <w:lang w:eastAsia="en-US"/>
              </w:rPr>
              <w:t xml:space="preserve">Will provide additional payments to </w:t>
            </w:r>
            <w:r w:rsidR="00382648" w:rsidRPr="009C0EA0">
              <w:rPr>
                <w:rFonts w:eastAsiaTheme="minorHAnsi"/>
                <w:lang w:eastAsia="en-US"/>
              </w:rPr>
              <w:t>nearly one million</w:t>
            </w:r>
            <w:r w:rsidRPr="009C0EA0">
              <w:rPr>
                <w:rFonts w:eastAsiaTheme="minorHAnsi"/>
                <w:lang w:eastAsia="en-US"/>
              </w:rPr>
              <w:t xml:space="preserve"> households to help meet the costs of renting.</w:t>
            </w:r>
          </w:p>
        </w:tc>
      </w:tr>
      <w:tr w:rsidR="009F5ABB" w:rsidRPr="00B35D17" w14:paraId="0D07C96F" w14:textId="77777777" w:rsidTr="00A952E9">
        <w:trPr>
          <w:cantSplit/>
        </w:trPr>
        <w:tc>
          <w:tcPr>
            <w:tcW w:w="0" w:type="auto"/>
          </w:tcPr>
          <w:p w14:paraId="0EC3397F" w14:textId="2CFEB56D" w:rsidR="009F5ABB" w:rsidRPr="00187014" w:rsidRDefault="009F5ABB" w:rsidP="001F518E">
            <w:pPr>
              <w:pStyle w:val="TableColumnHeadingLeft"/>
              <w:rPr>
                <w:rFonts w:eastAsiaTheme="minorHAnsi"/>
                <w:noProof/>
                <w:lang w:eastAsia="en-US"/>
              </w:rPr>
            </w:pPr>
            <w:r w:rsidRPr="00187014">
              <w:rPr>
                <w:rFonts w:eastAsiaTheme="minorHAnsi"/>
                <w:noProof/>
                <w:lang w:eastAsia="en-US"/>
              </w:rPr>
              <w:t>Other measures</w:t>
            </w:r>
          </w:p>
        </w:tc>
        <w:tc>
          <w:tcPr>
            <w:tcW w:w="0" w:type="auto"/>
          </w:tcPr>
          <w:p w14:paraId="72816BD0" w14:textId="77777777" w:rsidR="009F5ABB" w:rsidRPr="0032797C" w:rsidRDefault="009F5ABB" w:rsidP="009F5ABB">
            <w:pPr>
              <w:pStyle w:val="TableTextLeft"/>
              <w:rPr>
                <w:rFonts w:eastAsiaTheme="minorHAnsi"/>
                <w:noProof/>
                <w:lang w:eastAsia="en-US"/>
              </w:rPr>
            </w:pPr>
          </w:p>
        </w:tc>
        <w:tc>
          <w:tcPr>
            <w:tcW w:w="0" w:type="auto"/>
          </w:tcPr>
          <w:p w14:paraId="6A1210FB" w14:textId="77777777" w:rsidR="009F5ABB" w:rsidRPr="0032797C" w:rsidRDefault="009F5ABB" w:rsidP="009F5ABB">
            <w:pPr>
              <w:pStyle w:val="TableTextLeft"/>
              <w:rPr>
                <w:rFonts w:eastAsiaTheme="minorHAnsi"/>
                <w:noProof/>
                <w:lang w:eastAsia="en-US"/>
              </w:rPr>
            </w:pPr>
          </w:p>
        </w:tc>
        <w:tc>
          <w:tcPr>
            <w:tcW w:w="0" w:type="auto"/>
          </w:tcPr>
          <w:p w14:paraId="5222684A" w14:textId="77777777" w:rsidR="009F5ABB" w:rsidRPr="0032797C" w:rsidRDefault="009F5ABB" w:rsidP="009F5ABB">
            <w:pPr>
              <w:pStyle w:val="TableTextLeft"/>
              <w:rPr>
                <w:rFonts w:eastAsiaTheme="minorHAnsi"/>
                <w:noProof/>
                <w:lang w:eastAsia="en-US"/>
              </w:rPr>
            </w:pPr>
          </w:p>
        </w:tc>
      </w:tr>
      <w:tr w:rsidR="009F5ABB" w:rsidRPr="00B35D17" w14:paraId="5CAD5093" w14:textId="77777777" w:rsidTr="00A952E9">
        <w:trPr>
          <w:cantSplit/>
        </w:trPr>
        <w:tc>
          <w:tcPr>
            <w:tcW w:w="0" w:type="auto"/>
          </w:tcPr>
          <w:p w14:paraId="0B21BFB1" w14:textId="069B8285" w:rsidR="009F5ABB" w:rsidRPr="001F67EA" w:rsidRDefault="009F5ABB" w:rsidP="009F5ABB">
            <w:pPr>
              <w:pStyle w:val="TableTextLeft"/>
              <w:rPr>
                <w:rFonts w:eastAsiaTheme="minorHAnsi"/>
                <w:noProof/>
                <w:color w:val="FFFF00"/>
                <w:highlight w:val="darkYellow"/>
                <w:lang w:eastAsia="en-US"/>
              </w:rPr>
            </w:pPr>
            <w:r w:rsidRPr="009C0EA0">
              <w:rPr>
                <w:rFonts w:eastAsiaTheme="minorHAnsi"/>
                <w:noProof/>
                <w:lang w:eastAsia="en-US"/>
              </w:rPr>
              <w:t>Improved housing policy, research and data</w:t>
            </w:r>
          </w:p>
        </w:tc>
        <w:tc>
          <w:tcPr>
            <w:tcW w:w="0" w:type="auto"/>
          </w:tcPr>
          <w:p w14:paraId="28C3AD6A" w14:textId="0D543C8F" w:rsidR="009F5ABB" w:rsidRPr="001F67EA" w:rsidRDefault="009F5ABB" w:rsidP="009F5ABB">
            <w:pPr>
              <w:pStyle w:val="TableTextLeft"/>
              <w:rPr>
                <w:rFonts w:eastAsiaTheme="minorHAnsi"/>
                <w:noProof/>
                <w:color w:val="FFFF00"/>
                <w:highlight w:val="darkYellow"/>
                <w:lang w:eastAsia="en-US"/>
              </w:rPr>
            </w:pPr>
            <w:r w:rsidRPr="009C0EA0">
              <w:rPr>
                <w:rFonts w:eastAsiaTheme="minorHAnsi"/>
                <w:noProof/>
                <w:lang w:eastAsia="en-US"/>
              </w:rPr>
              <w:t>Additional support for the Australian Housing and Urban Research Institute and for the Treasury to continue its work supporting development of evidence</w:t>
            </w:r>
            <w:r w:rsidR="0004287B">
              <w:rPr>
                <w:rFonts w:eastAsiaTheme="minorHAnsi"/>
                <w:noProof/>
                <w:lang w:eastAsia="en-US"/>
              </w:rPr>
              <w:noBreakHyphen/>
            </w:r>
            <w:r w:rsidRPr="009C0EA0">
              <w:rPr>
                <w:rFonts w:eastAsiaTheme="minorHAnsi"/>
                <w:noProof/>
                <w:lang w:eastAsia="en-US"/>
              </w:rPr>
              <w:t>based housing policy.</w:t>
            </w:r>
          </w:p>
        </w:tc>
        <w:tc>
          <w:tcPr>
            <w:tcW w:w="0" w:type="auto"/>
          </w:tcPr>
          <w:p w14:paraId="75E07340" w14:textId="73ACF6B2" w:rsidR="009F5ABB" w:rsidRPr="001F67EA" w:rsidRDefault="009F5ABB" w:rsidP="009F5ABB">
            <w:pPr>
              <w:pStyle w:val="TableTextLeft"/>
              <w:rPr>
                <w:rFonts w:eastAsiaTheme="minorHAnsi"/>
                <w:noProof/>
                <w:color w:val="FFFF00"/>
                <w:highlight w:val="darkYellow"/>
                <w:lang w:eastAsia="en-US"/>
              </w:rPr>
            </w:pPr>
            <w:r w:rsidRPr="009C0EA0">
              <w:rPr>
                <w:rFonts w:eastAsiaTheme="minorHAnsi"/>
                <w:noProof/>
                <w:lang w:eastAsia="en-US"/>
              </w:rPr>
              <w:t>$20.8 million (over five years from 2024</w:t>
            </w:r>
            <w:r w:rsidR="0004287B">
              <w:rPr>
                <w:rFonts w:eastAsiaTheme="minorHAnsi"/>
                <w:noProof/>
                <w:lang w:eastAsia="en-US"/>
              </w:rPr>
              <w:noBreakHyphen/>
            </w:r>
            <w:r w:rsidRPr="009C0EA0">
              <w:rPr>
                <w:rFonts w:eastAsiaTheme="minorHAnsi"/>
                <w:noProof/>
                <w:lang w:eastAsia="en-US"/>
              </w:rPr>
              <w:t>25)</w:t>
            </w:r>
          </w:p>
        </w:tc>
        <w:tc>
          <w:tcPr>
            <w:tcW w:w="0" w:type="auto"/>
          </w:tcPr>
          <w:p w14:paraId="3EB263D9" w14:textId="6AC435CE" w:rsidR="009F5ABB" w:rsidRPr="009C0EA0" w:rsidRDefault="009F5ABB" w:rsidP="009F5ABB">
            <w:pPr>
              <w:pStyle w:val="TableTextLeft"/>
              <w:rPr>
                <w:rFonts w:eastAsiaTheme="minorHAnsi"/>
                <w:noProof/>
                <w:lang w:eastAsia="en-US"/>
              </w:rPr>
            </w:pPr>
            <w:r w:rsidRPr="009C0EA0">
              <w:rPr>
                <w:rFonts w:eastAsiaTheme="minorHAnsi"/>
                <w:noProof/>
                <w:lang w:eastAsia="en-US"/>
              </w:rPr>
              <w:t>Enables provision of evidence</w:t>
            </w:r>
            <w:r w:rsidR="0004287B">
              <w:rPr>
                <w:rFonts w:eastAsiaTheme="minorHAnsi"/>
                <w:noProof/>
                <w:lang w:eastAsia="en-US"/>
              </w:rPr>
              <w:noBreakHyphen/>
            </w:r>
            <w:r w:rsidRPr="009C0EA0">
              <w:rPr>
                <w:rFonts w:eastAsiaTheme="minorHAnsi"/>
                <w:noProof/>
                <w:lang w:eastAsia="en-US"/>
              </w:rPr>
              <w:t>based policy advice to examine existing policies and develop new interventions to improve housing outcomes.</w:t>
            </w:r>
          </w:p>
        </w:tc>
      </w:tr>
      <w:tr w:rsidR="001F518E" w:rsidRPr="00B35D17" w14:paraId="3C411D39" w14:textId="77777777">
        <w:trPr>
          <w:cantSplit/>
        </w:trPr>
        <w:tc>
          <w:tcPr>
            <w:tcW w:w="0" w:type="auto"/>
            <w:gridSpan w:val="4"/>
          </w:tcPr>
          <w:p w14:paraId="536A9E20" w14:textId="0DC3CF65" w:rsidR="001F518E" w:rsidRPr="00187014" w:rsidRDefault="001F518E" w:rsidP="001F518E">
            <w:pPr>
              <w:pStyle w:val="TableColumnHeadingCentred"/>
              <w:rPr>
                <w:rFonts w:eastAsiaTheme="minorHAnsi"/>
                <w:noProof/>
                <w:lang w:eastAsia="en-US"/>
              </w:rPr>
            </w:pPr>
            <w:r w:rsidRPr="00187014">
              <w:rPr>
                <w:rFonts w:eastAsiaTheme="minorHAnsi"/>
                <w:noProof/>
                <w:lang w:eastAsia="en-US"/>
              </w:rPr>
              <w:t>Other new measures since the May 2022 election</w:t>
            </w:r>
          </w:p>
        </w:tc>
      </w:tr>
      <w:tr w:rsidR="001F518E" w:rsidRPr="00B35D17" w14:paraId="1C018629" w14:textId="77777777">
        <w:trPr>
          <w:cantSplit/>
        </w:trPr>
        <w:tc>
          <w:tcPr>
            <w:tcW w:w="0" w:type="auto"/>
            <w:gridSpan w:val="4"/>
          </w:tcPr>
          <w:p w14:paraId="10E0D2BE" w14:textId="1427FB36" w:rsidR="001F518E" w:rsidRPr="00187014" w:rsidRDefault="001F518E" w:rsidP="001F518E">
            <w:pPr>
              <w:pStyle w:val="TableColumnHeadingLeft"/>
              <w:rPr>
                <w:rFonts w:eastAsiaTheme="minorHAnsi"/>
                <w:noProof/>
                <w:lang w:eastAsia="en-US"/>
              </w:rPr>
            </w:pPr>
            <w:r w:rsidRPr="00187014">
              <w:rPr>
                <w:rFonts w:eastAsiaTheme="minorHAnsi"/>
                <w:noProof/>
                <w:lang w:eastAsia="en-US"/>
              </w:rPr>
              <w:t>Removing barriers preventing new homes being built</w:t>
            </w:r>
          </w:p>
        </w:tc>
      </w:tr>
      <w:tr w:rsidR="009F5ABB" w:rsidRPr="00B35D17" w14:paraId="0C7B1CD6" w14:textId="77777777" w:rsidTr="00A952E9">
        <w:trPr>
          <w:cantSplit/>
        </w:trPr>
        <w:tc>
          <w:tcPr>
            <w:tcW w:w="0" w:type="auto"/>
          </w:tcPr>
          <w:p w14:paraId="622CC446" w14:textId="0ECECCA5" w:rsidR="009F5ABB" w:rsidRPr="001F67EA" w:rsidRDefault="009F5ABB" w:rsidP="009F5ABB">
            <w:pPr>
              <w:pStyle w:val="TableTextLeft"/>
              <w:rPr>
                <w:rFonts w:eastAsiaTheme="minorHAnsi"/>
                <w:noProof/>
                <w:color w:val="FFFF00"/>
                <w:highlight w:val="magenta"/>
                <w:lang w:eastAsia="en-US"/>
              </w:rPr>
            </w:pPr>
            <w:r w:rsidRPr="009C0EA0">
              <w:rPr>
                <w:rFonts w:eastAsiaTheme="minorHAnsi"/>
                <w:noProof/>
                <w:lang w:eastAsia="en-US"/>
              </w:rPr>
              <w:t>National Housing Accord – incentives to meet supply target (New Homes Bonus)</w:t>
            </w:r>
          </w:p>
        </w:tc>
        <w:tc>
          <w:tcPr>
            <w:tcW w:w="0" w:type="auto"/>
          </w:tcPr>
          <w:p w14:paraId="6A72A33E" w14:textId="51501E06" w:rsidR="009F5ABB" w:rsidRPr="001F67EA" w:rsidRDefault="009F5ABB" w:rsidP="009F5ABB">
            <w:pPr>
              <w:pStyle w:val="TableTextLeft"/>
              <w:rPr>
                <w:rFonts w:eastAsiaTheme="minorHAnsi"/>
                <w:noProof/>
                <w:color w:val="FFFF00"/>
                <w:highlight w:val="magenta"/>
                <w:lang w:eastAsia="en-US"/>
              </w:rPr>
            </w:pPr>
            <w:r w:rsidRPr="009C0EA0">
              <w:rPr>
                <w:rFonts w:eastAsiaTheme="minorHAnsi"/>
                <w:noProof/>
                <w:lang w:eastAsia="en-US"/>
              </w:rPr>
              <w:t>A performance</w:t>
            </w:r>
            <w:r w:rsidR="0004287B">
              <w:rPr>
                <w:rFonts w:eastAsiaTheme="minorHAnsi"/>
                <w:noProof/>
                <w:lang w:eastAsia="en-US"/>
              </w:rPr>
              <w:noBreakHyphen/>
            </w:r>
            <w:r w:rsidRPr="009C0EA0">
              <w:rPr>
                <w:rFonts w:eastAsiaTheme="minorHAnsi"/>
                <w:noProof/>
                <w:lang w:eastAsia="en-US"/>
              </w:rPr>
              <w:t>based payment for states and territories that exceed their share of the original 1 million well</w:t>
            </w:r>
            <w:r w:rsidR="0004287B">
              <w:rPr>
                <w:rFonts w:eastAsiaTheme="minorHAnsi"/>
                <w:noProof/>
                <w:lang w:eastAsia="en-US"/>
              </w:rPr>
              <w:noBreakHyphen/>
            </w:r>
            <w:r w:rsidRPr="009C0EA0">
              <w:rPr>
                <w:rFonts w:eastAsiaTheme="minorHAnsi"/>
                <w:noProof/>
                <w:lang w:eastAsia="en-US"/>
              </w:rPr>
              <w:t>located homes target agreed under the National Housing Accord.</w:t>
            </w:r>
          </w:p>
        </w:tc>
        <w:tc>
          <w:tcPr>
            <w:tcW w:w="0" w:type="auto"/>
          </w:tcPr>
          <w:p w14:paraId="4AED7E5B" w14:textId="5D31B61A" w:rsidR="009F5ABB" w:rsidRPr="001F67EA" w:rsidRDefault="009F5ABB" w:rsidP="009F5ABB">
            <w:pPr>
              <w:pStyle w:val="TableTextLeft"/>
              <w:rPr>
                <w:rFonts w:eastAsiaTheme="minorHAnsi"/>
                <w:noProof/>
                <w:color w:val="FFFF00"/>
                <w:highlight w:val="magenta"/>
                <w:lang w:eastAsia="en-US"/>
              </w:rPr>
            </w:pPr>
            <w:r w:rsidRPr="009C0EA0">
              <w:rPr>
                <w:rFonts w:eastAsiaTheme="minorHAnsi"/>
                <w:noProof/>
                <w:lang w:eastAsia="en-US"/>
              </w:rPr>
              <w:t>$3 billion (payable after 2028</w:t>
            </w:r>
            <w:r w:rsidR="0004287B">
              <w:rPr>
                <w:rFonts w:eastAsiaTheme="minorHAnsi"/>
                <w:noProof/>
                <w:lang w:eastAsia="en-US"/>
              </w:rPr>
              <w:noBreakHyphen/>
            </w:r>
            <w:r w:rsidRPr="009C0EA0">
              <w:rPr>
                <w:rFonts w:eastAsiaTheme="minorHAnsi"/>
                <w:noProof/>
                <w:lang w:eastAsia="en-US"/>
              </w:rPr>
              <w:t>29)</w:t>
            </w:r>
          </w:p>
        </w:tc>
        <w:tc>
          <w:tcPr>
            <w:tcW w:w="0" w:type="auto"/>
          </w:tcPr>
          <w:p w14:paraId="14153411" w14:textId="647C4779" w:rsidR="009F5ABB" w:rsidRPr="009C0EA0" w:rsidRDefault="009F5ABB" w:rsidP="009F5ABB">
            <w:pPr>
              <w:pStyle w:val="TableTextLeft"/>
              <w:rPr>
                <w:rFonts w:eastAsiaTheme="minorHAnsi"/>
                <w:noProof/>
                <w:lang w:eastAsia="en-US"/>
              </w:rPr>
            </w:pPr>
            <w:r w:rsidRPr="009C0EA0">
              <w:rPr>
                <w:rFonts w:eastAsiaTheme="minorHAnsi"/>
                <w:noProof/>
                <w:lang w:eastAsia="en-US"/>
              </w:rPr>
              <w:t>Will support the delivery of an additional 200,000 homes above the initial National Housing Accord target of 1 million homes.</w:t>
            </w:r>
          </w:p>
        </w:tc>
      </w:tr>
      <w:tr w:rsidR="009F5ABB" w:rsidRPr="00B35D17" w14:paraId="1621C39E" w14:textId="77777777" w:rsidTr="00A952E9">
        <w:trPr>
          <w:cantSplit/>
        </w:trPr>
        <w:tc>
          <w:tcPr>
            <w:tcW w:w="0" w:type="auto"/>
          </w:tcPr>
          <w:p w14:paraId="4C5A83E1" w14:textId="0A4DC49C" w:rsidR="009F5ABB" w:rsidRPr="001F67EA" w:rsidRDefault="009F5ABB" w:rsidP="009F5ABB">
            <w:pPr>
              <w:pStyle w:val="TableTextLeft"/>
              <w:rPr>
                <w:rFonts w:eastAsiaTheme="minorHAnsi"/>
                <w:noProof/>
                <w:color w:val="FFFF00"/>
                <w:highlight w:val="red"/>
                <w:lang w:eastAsia="en-US"/>
              </w:rPr>
            </w:pPr>
            <w:r w:rsidRPr="009C0EA0">
              <w:rPr>
                <w:rFonts w:eastAsiaTheme="minorHAnsi"/>
                <w:noProof/>
                <w:lang w:eastAsia="en-US"/>
              </w:rPr>
              <w:t>National Housing Accord – Housing Support Program</w:t>
            </w:r>
          </w:p>
        </w:tc>
        <w:tc>
          <w:tcPr>
            <w:tcW w:w="0" w:type="auto"/>
          </w:tcPr>
          <w:p w14:paraId="47821BB1" w14:textId="427EA1DD" w:rsidR="009F5ABB" w:rsidRPr="001F67EA" w:rsidRDefault="009F5ABB" w:rsidP="009F5ABB">
            <w:pPr>
              <w:pStyle w:val="TableTextLeft"/>
              <w:rPr>
                <w:rFonts w:eastAsiaTheme="minorHAnsi"/>
                <w:noProof/>
                <w:color w:val="FFFF00"/>
                <w:highlight w:val="red"/>
                <w:lang w:eastAsia="en-US"/>
              </w:rPr>
            </w:pPr>
            <w:r w:rsidRPr="009C0EA0">
              <w:rPr>
                <w:rFonts w:eastAsiaTheme="minorHAnsi"/>
                <w:noProof/>
                <w:lang w:eastAsia="en-US"/>
              </w:rPr>
              <w:t>Competitive funding program for local and state governments for initiatives such as connecting essential services, amenities to support new housing development, or building planning capability.</w:t>
            </w:r>
          </w:p>
        </w:tc>
        <w:tc>
          <w:tcPr>
            <w:tcW w:w="0" w:type="auto"/>
          </w:tcPr>
          <w:p w14:paraId="656D1DAE" w14:textId="1973A296" w:rsidR="009F5ABB" w:rsidRPr="001F67EA" w:rsidRDefault="009F5ABB" w:rsidP="009F5ABB">
            <w:pPr>
              <w:pStyle w:val="TableTextLeft"/>
              <w:rPr>
                <w:rFonts w:eastAsiaTheme="minorHAnsi"/>
                <w:noProof/>
                <w:color w:val="FFFF00"/>
                <w:highlight w:val="red"/>
                <w:lang w:eastAsia="en-US"/>
              </w:rPr>
            </w:pPr>
            <w:r w:rsidRPr="009C0EA0">
              <w:rPr>
                <w:rFonts w:eastAsiaTheme="minorHAnsi"/>
                <w:noProof/>
                <w:lang w:eastAsia="en-US"/>
              </w:rPr>
              <w:t>$500 million (over two years from 2023</w:t>
            </w:r>
            <w:r w:rsidR="0004287B">
              <w:rPr>
                <w:rFonts w:eastAsiaTheme="minorHAnsi"/>
                <w:noProof/>
                <w:lang w:eastAsia="en-US"/>
              </w:rPr>
              <w:noBreakHyphen/>
            </w:r>
            <w:r w:rsidRPr="009C0EA0">
              <w:rPr>
                <w:rFonts w:eastAsiaTheme="minorHAnsi"/>
                <w:noProof/>
                <w:lang w:eastAsia="en-US"/>
              </w:rPr>
              <w:t>24)</w:t>
            </w:r>
          </w:p>
        </w:tc>
        <w:tc>
          <w:tcPr>
            <w:tcW w:w="0" w:type="auto"/>
          </w:tcPr>
          <w:p w14:paraId="261887E3" w14:textId="2271FEEE" w:rsidR="009F5ABB" w:rsidRPr="009C0EA0" w:rsidRDefault="009F5ABB" w:rsidP="009F5ABB">
            <w:pPr>
              <w:pStyle w:val="TableTextLeft"/>
              <w:rPr>
                <w:rFonts w:eastAsiaTheme="minorHAnsi"/>
                <w:noProof/>
                <w:lang w:eastAsia="en-US"/>
              </w:rPr>
            </w:pPr>
            <w:r w:rsidRPr="009C0EA0">
              <w:rPr>
                <w:rFonts w:eastAsiaTheme="minorHAnsi"/>
                <w:noProof/>
                <w:lang w:eastAsia="en-US"/>
              </w:rPr>
              <w:t>Will support the supply of new homes.</w:t>
            </w:r>
          </w:p>
        </w:tc>
      </w:tr>
      <w:tr w:rsidR="00375AB7" w:rsidRPr="00B35D17" w14:paraId="2C3775AA" w14:textId="77777777" w:rsidTr="00A952E9">
        <w:trPr>
          <w:cantSplit/>
        </w:trPr>
        <w:tc>
          <w:tcPr>
            <w:tcW w:w="0" w:type="auto"/>
          </w:tcPr>
          <w:p w14:paraId="593A0E38" w14:textId="7B7068D0" w:rsidR="00375AB7" w:rsidRPr="001F67EA" w:rsidRDefault="00375AB7" w:rsidP="00375AB7">
            <w:pPr>
              <w:pStyle w:val="TableTextLeft"/>
              <w:rPr>
                <w:rFonts w:eastAsiaTheme="minorHAnsi"/>
                <w:noProof/>
                <w:color w:val="FFFF00"/>
                <w:highlight w:val="magenta"/>
                <w:lang w:eastAsia="en-US"/>
              </w:rPr>
            </w:pPr>
            <w:r w:rsidRPr="009C0EA0">
              <w:rPr>
                <w:rFonts w:eastAsiaTheme="minorHAnsi"/>
                <w:noProof/>
                <w:lang w:eastAsia="en-US"/>
              </w:rPr>
              <w:t>National Housing Accord – National Planning Reform Blueprint</w:t>
            </w:r>
          </w:p>
        </w:tc>
        <w:tc>
          <w:tcPr>
            <w:tcW w:w="0" w:type="auto"/>
          </w:tcPr>
          <w:p w14:paraId="23404D37" w14:textId="06AD65BB" w:rsidR="00375AB7" w:rsidRPr="001F67EA" w:rsidRDefault="00375AB7" w:rsidP="00375AB7">
            <w:pPr>
              <w:pStyle w:val="TableTextLeft"/>
              <w:rPr>
                <w:rFonts w:eastAsiaTheme="minorHAnsi"/>
                <w:noProof/>
                <w:color w:val="FFFF00"/>
                <w:highlight w:val="magenta"/>
                <w:lang w:eastAsia="en-US"/>
              </w:rPr>
            </w:pPr>
            <w:r w:rsidRPr="009C0EA0">
              <w:rPr>
                <w:rFonts w:eastAsiaTheme="minorHAnsi"/>
                <w:noProof/>
                <w:lang w:eastAsia="en-US"/>
              </w:rPr>
              <w:t>National Cabinet agreed to a National Planning Reform Blueprint with planning, zoning, land release and other measures to improve housing supply and affordability.</w:t>
            </w:r>
          </w:p>
        </w:tc>
        <w:tc>
          <w:tcPr>
            <w:tcW w:w="0" w:type="auto"/>
          </w:tcPr>
          <w:p w14:paraId="74DF0CC5" w14:textId="45246CBB" w:rsidR="00375AB7" w:rsidRPr="001F67EA" w:rsidRDefault="00375AB7" w:rsidP="00375AB7">
            <w:pPr>
              <w:pStyle w:val="TableTextLeft"/>
              <w:rPr>
                <w:rFonts w:eastAsiaTheme="minorHAnsi"/>
                <w:noProof/>
                <w:color w:val="FFFF00"/>
                <w:highlight w:val="magenta"/>
                <w:lang w:eastAsia="en-US"/>
              </w:rPr>
            </w:pPr>
            <w:r w:rsidRPr="009C0EA0">
              <w:rPr>
                <w:rFonts w:eastAsiaTheme="minorHAnsi"/>
                <w:noProof/>
                <w:lang w:eastAsia="en-US"/>
              </w:rPr>
              <w:t>Nil</w:t>
            </w:r>
          </w:p>
        </w:tc>
        <w:tc>
          <w:tcPr>
            <w:tcW w:w="0" w:type="auto"/>
          </w:tcPr>
          <w:p w14:paraId="2BF9E0F2" w14:textId="59B4781A" w:rsidR="00375AB7" w:rsidRPr="009C0EA0" w:rsidRDefault="00375AB7" w:rsidP="00375AB7">
            <w:pPr>
              <w:pStyle w:val="TableTextLeft"/>
              <w:rPr>
                <w:rFonts w:eastAsiaTheme="minorHAnsi"/>
                <w:noProof/>
                <w:lang w:eastAsia="en-US"/>
              </w:rPr>
            </w:pPr>
            <w:r w:rsidRPr="009C0EA0">
              <w:rPr>
                <w:rFonts w:eastAsiaTheme="minorHAnsi"/>
                <w:noProof/>
                <w:lang w:eastAsia="en-US"/>
              </w:rPr>
              <w:t>Planning, zoning and land release reform will enable an increase in the supply of housing.</w:t>
            </w:r>
          </w:p>
        </w:tc>
      </w:tr>
    </w:tbl>
    <w:p w14:paraId="74E2AF37" w14:textId="77777777" w:rsidR="006856F8" w:rsidRDefault="006856F8" w:rsidP="00370FB8"/>
    <w:tbl>
      <w:tblPr>
        <w:tblStyle w:val="TableGrid1"/>
        <w:tblW w:w="0" w:type="auto"/>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689"/>
        <w:gridCol w:w="3969"/>
        <w:gridCol w:w="1842"/>
        <w:gridCol w:w="3027"/>
      </w:tblGrid>
      <w:tr w:rsidR="00363922" w:rsidRPr="00D33D22" w14:paraId="2034F90E" w14:textId="77777777" w:rsidTr="00C436AD">
        <w:trPr>
          <w:tblHeader/>
        </w:trPr>
        <w:tc>
          <w:tcPr>
            <w:tcW w:w="2689" w:type="dxa"/>
            <w:vAlign w:val="center"/>
          </w:tcPr>
          <w:p w14:paraId="66891D26" w14:textId="77777777" w:rsidR="00363922" w:rsidRPr="002A5A4B" w:rsidRDefault="00363922" w:rsidP="00D33D22">
            <w:pPr>
              <w:pStyle w:val="TableColumnHeadingLeft"/>
              <w:rPr>
                <w:rFonts w:eastAsiaTheme="minorHAnsi"/>
              </w:rPr>
            </w:pPr>
            <w:r w:rsidRPr="002A5A4B">
              <w:rPr>
                <w:rFonts w:eastAsiaTheme="minorHAnsi"/>
              </w:rPr>
              <w:lastRenderedPageBreak/>
              <w:t>Measure</w:t>
            </w:r>
          </w:p>
        </w:tc>
        <w:tc>
          <w:tcPr>
            <w:tcW w:w="3969" w:type="dxa"/>
            <w:vAlign w:val="center"/>
          </w:tcPr>
          <w:p w14:paraId="353025BA" w14:textId="77777777" w:rsidR="00363922" w:rsidRPr="00D33D22" w:rsidRDefault="00363922" w:rsidP="00D33D22">
            <w:pPr>
              <w:pStyle w:val="TableColumnHeadingLeft"/>
              <w:rPr>
                <w:rFonts w:eastAsiaTheme="minorHAnsi"/>
              </w:rPr>
            </w:pPr>
            <w:r w:rsidRPr="00D33D22">
              <w:rPr>
                <w:rFonts w:eastAsiaTheme="minorHAnsi"/>
              </w:rPr>
              <w:t>Description</w:t>
            </w:r>
          </w:p>
        </w:tc>
        <w:tc>
          <w:tcPr>
            <w:tcW w:w="1842" w:type="dxa"/>
            <w:vAlign w:val="center"/>
          </w:tcPr>
          <w:p w14:paraId="13243221" w14:textId="354270D4" w:rsidR="00363922" w:rsidRPr="00D33D22" w:rsidRDefault="002A2990" w:rsidP="00D33D22">
            <w:pPr>
              <w:pStyle w:val="TableColumnHeadingLeft"/>
              <w:rPr>
                <w:rFonts w:eastAsiaTheme="minorHAnsi"/>
              </w:rPr>
            </w:pPr>
            <w:r>
              <w:rPr>
                <w:rFonts w:eastAsiaTheme="minorHAnsi"/>
              </w:rPr>
              <w:t>New Commitments</w:t>
            </w:r>
          </w:p>
        </w:tc>
        <w:tc>
          <w:tcPr>
            <w:tcW w:w="3027" w:type="dxa"/>
            <w:vAlign w:val="center"/>
          </w:tcPr>
          <w:p w14:paraId="6EA3E27E" w14:textId="77777777" w:rsidR="00363922" w:rsidRPr="00D33D22" w:rsidRDefault="00363922" w:rsidP="00D33D22">
            <w:pPr>
              <w:pStyle w:val="TableColumnHeadingLeft"/>
              <w:rPr>
                <w:rFonts w:eastAsiaTheme="minorHAnsi"/>
              </w:rPr>
            </w:pPr>
            <w:r w:rsidRPr="00D33D22">
              <w:rPr>
                <w:rFonts w:eastAsiaTheme="minorHAnsi"/>
              </w:rPr>
              <w:t>Impact</w:t>
            </w:r>
          </w:p>
        </w:tc>
      </w:tr>
      <w:tr w:rsidR="00E14A51" w:rsidRPr="00B35D17" w14:paraId="482028F4" w14:textId="77777777" w:rsidTr="001D1325">
        <w:trPr>
          <w:cantSplit/>
          <w:tblHeader/>
        </w:trPr>
        <w:tc>
          <w:tcPr>
            <w:tcW w:w="0" w:type="auto"/>
            <w:gridSpan w:val="4"/>
          </w:tcPr>
          <w:p w14:paraId="5BA4460C" w14:textId="77777777" w:rsidR="00E14A51" w:rsidRPr="002A5A4B" w:rsidRDefault="00E14A51" w:rsidP="005F61FB">
            <w:pPr>
              <w:pStyle w:val="TableColumnHeadingLeft"/>
              <w:rPr>
                <w:rFonts w:eastAsiaTheme="minorHAnsi"/>
                <w:noProof/>
                <w:lang w:eastAsia="en-US"/>
              </w:rPr>
            </w:pPr>
            <w:r w:rsidRPr="002A5A4B">
              <w:rPr>
                <w:rFonts w:eastAsiaTheme="minorHAnsi"/>
                <w:noProof/>
                <w:lang w:eastAsia="en-US"/>
              </w:rPr>
              <w:t>Delivering more social and affordable homes for those who need them</w:t>
            </w:r>
          </w:p>
        </w:tc>
      </w:tr>
      <w:tr w:rsidR="00027E63" w:rsidRPr="00B35D17" w14:paraId="3634814E" w14:textId="77777777" w:rsidTr="001D1325">
        <w:trPr>
          <w:cantSplit/>
          <w:tblHeader/>
        </w:trPr>
        <w:tc>
          <w:tcPr>
            <w:tcW w:w="2689" w:type="dxa"/>
          </w:tcPr>
          <w:p w14:paraId="14CFF661" w14:textId="191F1D51" w:rsidR="00E14A51" w:rsidRPr="001F67EA" w:rsidRDefault="00E14A51" w:rsidP="005F61FB">
            <w:pPr>
              <w:pStyle w:val="TableTextLeft"/>
              <w:rPr>
                <w:rFonts w:eastAsiaTheme="minorHAnsi"/>
                <w:highlight w:val="darkGray"/>
                <w:lang w:eastAsia="en-US"/>
              </w:rPr>
            </w:pPr>
            <w:r w:rsidRPr="009C0EA0">
              <w:rPr>
                <w:rFonts w:eastAsiaTheme="minorHAnsi"/>
                <w:lang w:eastAsia="en-US"/>
              </w:rPr>
              <w:t>National Housing Accord – affordable homes commitment</w:t>
            </w:r>
          </w:p>
        </w:tc>
        <w:tc>
          <w:tcPr>
            <w:tcW w:w="3969" w:type="dxa"/>
          </w:tcPr>
          <w:p w14:paraId="092BA3A2" w14:textId="77777777" w:rsidR="00E14A51" w:rsidRPr="001F67EA" w:rsidRDefault="00E14A51" w:rsidP="005F61FB">
            <w:pPr>
              <w:pStyle w:val="TableTextLeft"/>
              <w:rPr>
                <w:rFonts w:eastAsiaTheme="minorHAnsi"/>
                <w:highlight w:val="darkGray"/>
                <w:lang w:eastAsia="en-US"/>
              </w:rPr>
            </w:pPr>
            <w:r w:rsidRPr="009C0EA0">
              <w:rPr>
                <w:rFonts w:eastAsiaTheme="minorHAnsi"/>
                <w:lang w:eastAsia="en-US"/>
              </w:rPr>
              <w:t>10,000 affordable homes over five years from 2024 – states and territories will support the delivery of up to an additional 10,000 affordable homes.</w:t>
            </w:r>
          </w:p>
        </w:tc>
        <w:tc>
          <w:tcPr>
            <w:tcW w:w="1842" w:type="dxa"/>
          </w:tcPr>
          <w:p w14:paraId="6A3140C3" w14:textId="2F23EDF4" w:rsidR="00E14A51" w:rsidRPr="001F67EA" w:rsidRDefault="00055C4E" w:rsidP="005F61FB">
            <w:pPr>
              <w:pStyle w:val="TableTextLeft"/>
              <w:rPr>
                <w:rFonts w:eastAsiaTheme="minorHAnsi"/>
                <w:highlight w:val="darkGray"/>
                <w:lang w:eastAsia="en-US"/>
              </w:rPr>
            </w:pPr>
            <w:r w:rsidRPr="009C0EA0">
              <w:rPr>
                <w:rFonts w:eastAsiaTheme="minorHAnsi"/>
                <w:lang w:eastAsia="en-US"/>
              </w:rPr>
              <w:t xml:space="preserve">Original allocation of $350 million, updated to an initial $72 million a year </w:t>
            </w:r>
            <w:r w:rsidR="00D51845">
              <w:rPr>
                <w:rFonts w:eastAsiaTheme="minorHAnsi"/>
                <w:lang w:eastAsia="en-US"/>
              </w:rPr>
              <w:t>by</w:t>
            </w:r>
            <w:r w:rsidR="00D51845" w:rsidRPr="009C0EA0">
              <w:rPr>
                <w:rFonts w:eastAsiaTheme="minorHAnsi"/>
                <w:lang w:eastAsia="en-US"/>
              </w:rPr>
              <w:t xml:space="preserve"> </w:t>
            </w:r>
            <w:r w:rsidRPr="009C0EA0">
              <w:rPr>
                <w:rFonts w:eastAsiaTheme="minorHAnsi"/>
                <w:lang w:eastAsia="en-US"/>
              </w:rPr>
              <w:t>2028–29, indexed from 2029–30.</w:t>
            </w:r>
          </w:p>
        </w:tc>
        <w:tc>
          <w:tcPr>
            <w:tcW w:w="3027" w:type="dxa"/>
          </w:tcPr>
          <w:p w14:paraId="7E8E5A8B" w14:textId="4AD99B14" w:rsidR="00E14A51" w:rsidRPr="009C0EA0" w:rsidRDefault="00E14A51" w:rsidP="005F61FB">
            <w:pPr>
              <w:pStyle w:val="TableTextLeft"/>
              <w:rPr>
                <w:rFonts w:eastAsiaTheme="minorHAnsi"/>
                <w:lang w:eastAsia="en-US"/>
              </w:rPr>
            </w:pPr>
            <w:r w:rsidRPr="009C0EA0">
              <w:rPr>
                <w:rFonts w:eastAsiaTheme="minorHAnsi"/>
                <w:lang w:eastAsia="en-US"/>
              </w:rPr>
              <w:t>Will support the delivery of up to 20,000 new affordable homes.</w:t>
            </w:r>
          </w:p>
        </w:tc>
      </w:tr>
      <w:tr w:rsidR="00027E63" w:rsidRPr="00B35D17" w14:paraId="6DF4D782" w14:textId="77777777" w:rsidTr="001D1325">
        <w:trPr>
          <w:cantSplit/>
          <w:tblHeader/>
        </w:trPr>
        <w:tc>
          <w:tcPr>
            <w:tcW w:w="2689" w:type="dxa"/>
          </w:tcPr>
          <w:p w14:paraId="17515C17" w14:textId="270C558E" w:rsidR="00E14A51" w:rsidRPr="001F67EA" w:rsidRDefault="00E14A51" w:rsidP="005F61FB">
            <w:pPr>
              <w:pStyle w:val="TableTextLeft"/>
              <w:rPr>
                <w:rFonts w:eastAsiaTheme="minorHAnsi"/>
                <w:highlight w:val="darkCyan"/>
                <w:lang w:eastAsia="en-US"/>
              </w:rPr>
            </w:pPr>
            <w:r w:rsidRPr="009C0EA0">
              <w:rPr>
                <w:rFonts w:eastAsiaTheme="minorHAnsi"/>
                <w:lang w:eastAsia="en-US"/>
              </w:rPr>
              <w:t>National Housing Infrastructure Facility (NHIF)</w:t>
            </w:r>
            <w:r w:rsidR="00ED2F4C">
              <w:rPr>
                <w:rFonts w:eastAsiaTheme="minorHAnsi"/>
                <w:lang w:eastAsia="en-US"/>
              </w:rPr>
              <w:t>*</w:t>
            </w:r>
          </w:p>
        </w:tc>
        <w:tc>
          <w:tcPr>
            <w:tcW w:w="3969" w:type="dxa"/>
          </w:tcPr>
          <w:p w14:paraId="27468E29" w14:textId="6786F2F4" w:rsidR="00E14A51" w:rsidRPr="001F67EA" w:rsidRDefault="00E14A51" w:rsidP="005F61FB">
            <w:pPr>
              <w:pStyle w:val="TableTextLeft"/>
              <w:rPr>
                <w:rFonts w:eastAsiaTheme="minorHAnsi"/>
                <w:highlight w:val="darkCyan"/>
                <w:lang w:eastAsia="en-US"/>
              </w:rPr>
            </w:pPr>
            <w:r w:rsidRPr="009C0EA0">
              <w:rPr>
                <w:rFonts w:eastAsiaTheme="minorHAnsi"/>
                <w:lang w:eastAsia="en-US"/>
              </w:rPr>
              <w:t>Since November 2022, the NHIF can support new social or affordable housing projects. In September</w:t>
            </w:r>
            <w:r w:rsidR="00536DAD" w:rsidRPr="009C0EA0">
              <w:rPr>
                <w:rFonts w:eastAsiaTheme="minorHAnsi"/>
                <w:lang w:eastAsia="en-US"/>
              </w:rPr>
              <w:t> </w:t>
            </w:r>
            <w:r w:rsidRPr="009C0EA0">
              <w:rPr>
                <w:rFonts w:eastAsiaTheme="minorHAnsi"/>
                <w:lang w:eastAsia="en-US"/>
              </w:rPr>
              <w:t>2023, the Government committed an additional $1</w:t>
            </w:r>
            <w:r w:rsidR="00536DAD" w:rsidRPr="009C0EA0">
              <w:rPr>
                <w:rFonts w:eastAsiaTheme="minorHAnsi"/>
                <w:lang w:eastAsia="en-US"/>
              </w:rPr>
              <w:t> billion</w:t>
            </w:r>
            <w:r w:rsidRPr="009C0EA0">
              <w:rPr>
                <w:rFonts w:eastAsiaTheme="minorHAnsi"/>
                <w:lang w:eastAsia="en-US"/>
              </w:rPr>
              <w:t xml:space="preserve"> in federal funding which will support housing for women and children experiencing domestic violence and youths.</w:t>
            </w:r>
          </w:p>
        </w:tc>
        <w:tc>
          <w:tcPr>
            <w:tcW w:w="1842" w:type="dxa"/>
          </w:tcPr>
          <w:p w14:paraId="58C89063" w14:textId="6986F5B1" w:rsidR="00E14A51" w:rsidRPr="009C0EA0" w:rsidRDefault="00E14A51" w:rsidP="005F61FB">
            <w:pPr>
              <w:pStyle w:val="TableTextLeft"/>
              <w:rPr>
                <w:rFonts w:eastAsiaTheme="minorHAnsi"/>
                <w:lang w:eastAsia="en-US"/>
              </w:rPr>
            </w:pPr>
            <w:r w:rsidRPr="009C0EA0">
              <w:rPr>
                <w:rFonts w:eastAsiaTheme="minorHAnsi"/>
                <w:lang w:eastAsia="en-US"/>
              </w:rPr>
              <w:t>$1</w:t>
            </w:r>
            <w:r w:rsidR="00536DAD" w:rsidRPr="009C0EA0">
              <w:rPr>
                <w:rFonts w:eastAsiaTheme="minorHAnsi"/>
                <w:lang w:eastAsia="en-US"/>
              </w:rPr>
              <w:t> billion</w:t>
            </w:r>
            <w:r w:rsidRPr="009C0EA0">
              <w:rPr>
                <w:rFonts w:eastAsiaTheme="minorHAnsi"/>
                <w:lang w:eastAsia="en-US"/>
              </w:rPr>
              <w:t xml:space="preserve"> (from 2023</w:t>
            </w:r>
            <w:r w:rsidR="0004287B">
              <w:rPr>
                <w:rFonts w:eastAsiaTheme="minorHAnsi"/>
                <w:lang w:eastAsia="en-US"/>
              </w:rPr>
              <w:noBreakHyphen/>
            </w:r>
            <w:r w:rsidRPr="009C0EA0">
              <w:rPr>
                <w:rFonts w:eastAsiaTheme="minorHAnsi"/>
                <w:lang w:eastAsia="en-US"/>
              </w:rPr>
              <w:t>24)</w:t>
            </w:r>
          </w:p>
          <w:p w14:paraId="21580979" w14:textId="77777777" w:rsidR="00E14A51" w:rsidRPr="001F67EA" w:rsidRDefault="00E14A51" w:rsidP="005F61FB">
            <w:pPr>
              <w:pStyle w:val="TableTextLeft"/>
              <w:rPr>
                <w:rFonts w:eastAsiaTheme="minorHAnsi"/>
                <w:highlight w:val="darkCyan"/>
                <w:lang w:eastAsia="en-US"/>
              </w:rPr>
            </w:pPr>
          </w:p>
        </w:tc>
        <w:tc>
          <w:tcPr>
            <w:tcW w:w="3027" w:type="dxa"/>
          </w:tcPr>
          <w:p w14:paraId="497022D3" w14:textId="620ABAA8" w:rsidR="00E14A51" w:rsidRPr="009C0EA0" w:rsidRDefault="00E14A51" w:rsidP="005F61FB">
            <w:pPr>
              <w:pStyle w:val="TableTextLeft"/>
              <w:rPr>
                <w:rFonts w:eastAsiaTheme="minorHAnsi"/>
                <w:lang w:eastAsia="en-US"/>
              </w:rPr>
            </w:pPr>
            <w:r w:rsidRPr="009C0EA0">
              <w:rPr>
                <w:rFonts w:eastAsiaTheme="minorHAnsi"/>
                <w:lang w:eastAsia="en-US"/>
              </w:rPr>
              <w:t>Expanding the role of the NHIF will support the supply of new affordable and social homes. The additional $1</w:t>
            </w:r>
            <w:r w:rsidR="00536DAD" w:rsidRPr="009C0EA0">
              <w:rPr>
                <w:rFonts w:eastAsiaTheme="minorHAnsi"/>
                <w:lang w:eastAsia="en-US"/>
              </w:rPr>
              <w:t> billion</w:t>
            </w:r>
            <w:r w:rsidRPr="009C0EA0">
              <w:rPr>
                <w:rFonts w:eastAsiaTheme="minorHAnsi"/>
                <w:lang w:eastAsia="en-US"/>
              </w:rPr>
              <w:t xml:space="preserve"> will support additional housing for women and children </w:t>
            </w:r>
            <w:r w:rsidR="004F3605" w:rsidRPr="009C0EA0">
              <w:rPr>
                <w:rFonts w:eastAsiaTheme="minorHAnsi"/>
                <w:lang w:eastAsia="en-US"/>
              </w:rPr>
              <w:t>leaving</w:t>
            </w:r>
            <w:r w:rsidRPr="009C0EA0">
              <w:rPr>
                <w:rFonts w:eastAsiaTheme="minorHAnsi"/>
                <w:lang w:eastAsia="en-US"/>
              </w:rPr>
              <w:t xml:space="preserve"> domestic viole</w:t>
            </w:r>
            <w:r w:rsidR="00DF7EA6" w:rsidRPr="009C0EA0">
              <w:rPr>
                <w:rFonts w:eastAsiaTheme="minorHAnsi"/>
                <w:lang w:eastAsia="en-US"/>
              </w:rPr>
              <w:t>n</w:t>
            </w:r>
            <w:r w:rsidRPr="009C0EA0">
              <w:rPr>
                <w:rFonts w:eastAsiaTheme="minorHAnsi"/>
                <w:lang w:eastAsia="en-US"/>
              </w:rPr>
              <w:t>ce</w:t>
            </w:r>
            <w:r w:rsidR="004F3605" w:rsidRPr="009C0EA0">
              <w:rPr>
                <w:rFonts w:eastAsiaTheme="minorHAnsi"/>
                <w:lang w:eastAsia="en-US"/>
              </w:rPr>
              <w:t>;</w:t>
            </w:r>
            <w:r w:rsidRPr="009C0EA0">
              <w:rPr>
                <w:rFonts w:eastAsiaTheme="minorHAnsi"/>
                <w:lang w:eastAsia="en-US"/>
              </w:rPr>
              <w:t xml:space="preserve"> and youth.</w:t>
            </w:r>
          </w:p>
        </w:tc>
      </w:tr>
      <w:tr w:rsidR="00027E63" w:rsidRPr="00B35D17" w14:paraId="794B2E96" w14:textId="77777777" w:rsidTr="001D1325">
        <w:trPr>
          <w:cantSplit/>
          <w:tblHeader/>
        </w:trPr>
        <w:tc>
          <w:tcPr>
            <w:tcW w:w="2689" w:type="dxa"/>
          </w:tcPr>
          <w:p w14:paraId="64FC94C7" w14:textId="2209839C" w:rsidR="00E14A51" w:rsidRPr="001F67EA" w:rsidRDefault="00E14A51" w:rsidP="005F61FB">
            <w:pPr>
              <w:pStyle w:val="TableTextLeft"/>
              <w:rPr>
                <w:rFonts w:eastAsiaTheme="minorHAnsi"/>
                <w:noProof/>
                <w:color w:val="FFFF00"/>
                <w:highlight w:val="magenta"/>
                <w:lang w:eastAsia="en-US"/>
              </w:rPr>
            </w:pPr>
            <w:r w:rsidRPr="009C0EA0">
              <w:rPr>
                <w:rFonts w:eastAsiaTheme="minorHAnsi"/>
                <w:noProof/>
                <w:lang w:eastAsia="en-US"/>
              </w:rPr>
              <w:t>Social Housing Accelerator</w:t>
            </w:r>
          </w:p>
        </w:tc>
        <w:tc>
          <w:tcPr>
            <w:tcW w:w="3969" w:type="dxa"/>
          </w:tcPr>
          <w:p w14:paraId="48E48E8D" w14:textId="1E1D7E36" w:rsidR="00E14A51" w:rsidRPr="001F67EA" w:rsidRDefault="00E14A51" w:rsidP="005F61FB">
            <w:pPr>
              <w:pStyle w:val="TableTextLeft"/>
              <w:rPr>
                <w:rFonts w:eastAsiaTheme="minorHAnsi"/>
                <w:noProof/>
                <w:color w:val="FFFF00"/>
                <w:highlight w:val="magenta"/>
                <w:lang w:eastAsia="en-US"/>
              </w:rPr>
            </w:pPr>
            <w:r w:rsidRPr="009C0EA0">
              <w:rPr>
                <w:rFonts w:eastAsiaTheme="minorHAnsi"/>
                <w:noProof/>
                <w:lang w:eastAsia="en-US"/>
              </w:rPr>
              <w:t>A one</w:t>
            </w:r>
            <w:r w:rsidR="0004287B">
              <w:rPr>
                <w:rFonts w:eastAsiaTheme="minorHAnsi"/>
                <w:noProof/>
                <w:lang w:eastAsia="en-US"/>
              </w:rPr>
              <w:noBreakHyphen/>
            </w:r>
            <w:r w:rsidRPr="009C0EA0">
              <w:rPr>
                <w:rFonts w:eastAsiaTheme="minorHAnsi"/>
                <w:noProof/>
                <w:lang w:eastAsia="en-US"/>
              </w:rPr>
              <w:t>off payment to states and territories to permanently increase the stock of social housing across the country.</w:t>
            </w:r>
          </w:p>
        </w:tc>
        <w:tc>
          <w:tcPr>
            <w:tcW w:w="1842" w:type="dxa"/>
          </w:tcPr>
          <w:p w14:paraId="033DA585" w14:textId="77E4F53F" w:rsidR="00E14A51" w:rsidRPr="001F67EA" w:rsidRDefault="00E14A51" w:rsidP="005F61FB">
            <w:pPr>
              <w:pStyle w:val="TableTextLeft"/>
              <w:rPr>
                <w:rFonts w:eastAsiaTheme="minorHAnsi"/>
                <w:noProof/>
                <w:color w:val="FFFF00"/>
                <w:highlight w:val="magenta"/>
                <w:lang w:eastAsia="en-US"/>
              </w:rPr>
            </w:pPr>
            <w:r w:rsidRPr="009C0EA0">
              <w:rPr>
                <w:rFonts w:eastAsiaTheme="minorHAnsi"/>
                <w:noProof/>
                <w:lang w:eastAsia="en-US"/>
              </w:rPr>
              <w:t>$2</w:t>
            </w:r>
            <w:r w:rsidR="00536DAD" w:rsidRPr="009C0EA0">
              <w:rPr>
                <w:rFonts w:eastAsiaTheme="minorHAnsi"/>
                <w:noProof/>
                <w:lang w:eastAsia="en-US"/>
              </w:rPr>
              <w:t> billion</w:t>
            </w:r>
            <w:r w:rsidRPr="009C0EA0">
              <w:rPr>
                <w:rFonts w:eastAsiaTheme="minorHAnsi"/>
                <w:noProof/>
                <w:lang w:eastAsia="en-US"/>
              </w:rPr>
              <w:t xml:space="preserve"> (in 2022</w:t>
            </w:r>
            <w:r w:rsidR="0004287B">
              <w:rPr>
                <w:rFonts w:eastAsiaTheme="minorHAnsi"/>
                <w:noProof/>
                <w:lang w:eastAsia="en-US"/>
              </w:rPr>
              <w:noBreakHyphen/>
            </w:r>
            <w:r w:rsidRPr="009C0EA0">
              <w:rPr>
                <w:rFonts w:eastAsiaTheme="minorHAnsi"/>
                <w:noProof/>
                <w:lang w:eastAsia="en-US"/>
              </w:rPr>
              <w:t>23)</w:t>
            </w:r>
          </w:p>
        </w:tc>
        <w:tc>
          <w:tcPr>
            <w:tcW w:w="3027" w:type="dxa"/>
          </w:tcPr>
          <w:p w14:paraId="6F03A12D" w14:textId="4C1A24FB" w:rsidR="00E14A51" w:rsidRPr="009C0EA0" w:rsidRDefault="00E14A51" w:rsidP="005F61FB">
            <w:pPr>
              <w:pStyle w:val="TableTextLeft"/>
              <w:rPr>
                <w:rFonts w:eastAsiaTheme="minorHAnsi"/>
                <w:noProof/>
                <w:lang w:eastAsia="en-US"/>
              </w:rPr>
            </w:pPr>
            <w:r w:rsidRPr="009C0EA0">
              <w:rPr>
                <w:rFonts w:eastAsiaTheme="minorHAnsi"/>
                <w:noProof/>
                <w:lang w:eastAsia="en-US"/>
              </w:rPr>
              <w:t>Will support the delivery of around 4,000 new and refurbished social homes.</w:t>
            </w:r>
          </w:p>
        </w:tc>
      </w:tr>
      <w:tr w:rsidR="00027E63" w:rsidRPr="00B35D17" w14:paraId="3E47D994" w14:textId="77777777" w:rsidTr="001D1325">
        <w:trPr>
          <w:cantSplit/>
          <w:tblHeader/>
        </w:trPr>
        <w:tc>
          <w:tcPr>
            <w:tcW w:w="2689" w:type="dxa"/>
          </w:tcPr>
          <w:p w14:paraId="54472F58" w14:textId="01DE66CB" w:rsidR="00E14A51" w:rsidRPr="001F67EA" w:rsidRDefault="00E14A51" w:rsidP="005F61FB">
            <w:pPr>
              <w:pStyle w:val="TableTextLeft"/>
              <w:rPr>
                <w:rFonts w:eastAsiaTheme="minorHAnsi"/>
                <w:noProof/>
                <w:highlight w:val="darkYellow"/>
                <w:lang w:eastAsia="en-US"/>
              </w:rPr>
            </w:pPr>
            <w:r w:rsidRPr="009C0EA0">
              <w:rPr>
                <w:rFonts w:eastAsiaTheme="minorHAnsi"/>
                <w:noProof/>
                <w:lang w:eastAsia="en-US"/>
              </w:rPr>
              <w:t>Housing Australia Future Fund</w:t>
            </w:r>
          </w:p>
        </w:tc>
        <w:tc>
          <w:tcPr>
            <w:tcW w:w="3969" w:type="dxa"/>
          </w:tcPr>
          <w:p w14:paraId="49F030BD" w14:textId="6C722B7C" w:rsidR="00E14A51" w:rsidRPr="001F67EA" w:rsidRDefault="00C76F21" w:rsidP="005F61FB">
            <w:pPr>
              <w:pStyle w:val="TableTextLeft"/>
              <w:rPr>
                <w:rFonts w:eastAsiaTheme="minorHAnsi"/>
                <w:noProof/>
                <w:highlight w:val="darkYellow"/>
                <w:lang w:eastAsia="en-US"/>
              </w:rPr>
            </w:pPr>
            <w:r w:rsidRPr="009C0EA0">
              <w:rPr>
                <w:rFonts w:eastAsiaTheme="minorHAnsi"/>
                <w:noProof/>
                <w:lang w:eastAsia="en-US"/>
              </w:rPr>
              <w:t xml:space="preserve">The </w:t>
            </w:r>
            <w:r w:rsidR="004D35AB" w:rsidRPr="009C0EA0">
              <w:rPr>
                <w:rFonts w:eastAsiaTheme="minorHAnsi"/>
                <w:noProof/>
                <w:lang w:eastAsia="en-US"/>
              </w:rPr>
              <w:t>G</w:t>
            </w:r>
            <w:r w:rsidRPr="009C0EA0">
              <w:rPr>
                <w:rFonts w:eastAsiaTheme="minorHAnsi"/>
                <w:noProof/>
                <w:lang w:eastAsia="en-US"/>
              </w:rPr>
              <w:t>overnment established the $10 billion Housing Australia Future Fund (HAFF) to provide a sustainable funding source to increase the supply of social and affordable housing and to address other acute housing needs.</w:t>
            </w:r>
          </w:p>
        </w:tc>
        <w:tc>
          <w:tcPr>
            <w:tcW w:w="1842" w:type="dxa"/>
          </w:tcPr>
          <w:p w14:paraId="1E8AA079" w14:textId="5F365C60" w:rsidR="00E14A51" w:rsidRPr="001F67EA" w:rsidRDefault="00E14A51" w:rsidP="005F61FB">
            <w:pPr>
              <w:pStyle w:val="TableTextLeft"/>
              <w:rPr>
                <w:rFonts w:eastAsiaTheme="minorHAnsi"/>
                <w:noProof/>
                <w:highlight w:val="darkYellow"/>
                <w:lang w:eastAsia="en-US"/>
              </w:rPr>
            </w:pPr>
            <w:r w:rsidRPr="009C0EA0">
              <w:rPr>
                <w:rFonts w:eastAsiaTheme="minorHAnsi"/>
                <w:noProof/>
                <w:lang w:eastAsia="en-US"/>
              </w:rPr>
              <w:t>$10</w:t>
            </w:r>
            <w:r w:rsidR="00536DAD" w:rsidRPr="009C0EA0">
              <w:rPr>
                <w:rFonts w:eastAsiaTheme="minorHAnsi"/>
                <w:noProof/>
                <w:lang w:eastAsia="en-US"/>
              </w:rPr>
              <w:t> billion</w:t>
            </w:r>
          </w:p>
        </w:tc>
        <w:tc>
          <w:tcPr>
            <w:tcW w:w="3027" w:type="dxa"/>
          </w:tcPr>
          <w:p w14:paraId="473B0551" w14:textId="54A2BAA0" w:rsidR="00E14A51" w:rsidRPr="009C0EA0" w:rsidRDefault="00E14A51" w:rsidP="005F61FB">
            <w:pPr>
              <w:pStyle w:val="TableTextLeft"/>
              <w:rPr>
                <w:rFonts w:eastAsiaTheme="minorHAnsi"/>
                <w:noProof/>
                <w:lang w:eastAsia="en-US"/>
              </w:rPr>
            </w:pPr>
            <w:r w:rsidRPr="009C0EA0">
              <w:rPr>
                <w:rFonts w:eastAsiaTheme="minorHAnsi"/>
                <w:noProof/>
                <w:lang w:eastAsia="en-US"/>
              </w:rPr>
              <w:t>Will support the delivery of 30,000 social and affordable homes</w:t>
            </w:r>
            <w:r w:rsidR="006F6474" w:rsidRPr="009C0EA0">
              <w:rPr>
                <w:rFonts w:eastAsiaTheme="minorHAnsi"/>
                <w:noProof/>
                <w:lang w:eastAsia="en-US"/>
              </w:rPr>
              <w:t xml:space="preserve"> over five years and will provide $330 million to address acute housing needs</w:t>
            </w:r>
            <w:r w:rsidRPr="009C0EA0">
              <w:rPr>
                <w:rFonts w:eastAsiaTheme="minorHAnsi"/>
                <w:noProof/>
                <w:lang w:eastAsia="en-US"/>
              </w:rPr>
              <w:t>.</w:t>
            </w:r>
          </w:p>
        </w:tc>
      </w:tr>
      <w:tr w:rsidR="00027E63" w:rsidRPr="00B35D17" w14:paraId="6BD950D4" w14:textId="77777777" w:rsidTr="001D1325">
        <w:trPr>
          <w:cantSplit/>
          <w:tblHeader/>
        </w:trPr>
        <w:tc>
          <w:tcPr>
            <w:tcW w:w="2689" w:type="dxa"/>
          </w:tcPr>
          <w:p w14:paraId="6572E4D8" w14:textId="36CF9563" w:rsidR="00E14A51" w:rsidRPr="001F67EA" w:rsidRDefault="00E14A51" w:rsidP="005F61FB">
            <w:pPr>
              <w:pStyle w:val="TableTextLeft"/>
              <w:rPr>
                <w:rFonts w:eastAsiaTheme="minorHAnsi"/>
                <w:highlight w:val="darkCyan"/>
                <w:lang w:eastAsia="en-US"/>
              </w:rPr>
            </w:pPr>
            <w:r w:rsidRPr="009C0EA0">
              <w:rPr>
                <w:rFonts w:eastAsiaTheme="minorHAnsi"/>
                <w:lang w:eastAsia="en-US"/>
              </w:rPr>
              <w:t>Affordable Housing Bond Aggregator</w:t>
            </w:r>
          </w:p>
        </w:tc>
        <w:tc>
          <w:tcPr>
            <w:tcW w:w="3969" w:type="dxa"/>
          </w:tcPr>
          <w:p w14:paraId="03C229C2" w14:textId="2E412DE4" w:rsidR="00E14A51" w:rsidRPr="001F67EA" w:rsidRDefault="00E14A51" w:rsidP="005F61FB">
            <w:pPr>
              <w:pStyle w:val="TableTextLeft"/>
              <w:rPr>
                <w:rFonts w:eastAsiaTheme="minorHAnsi"/>
                <w:highlight w:val="darkCyan"/>
                <w:lang w:eastAsia="en-US"/>
              </w:rPr>
            </w:pPr>
            <w:r w:rsidRPr="009C0EA0">
              <w:rPr>
                <w:rFonts w:eastAsiaTheme="minorHAnsi"/>
                <w:lang w:eastAsia="en-US"/>
              </w:rPr>
              <w:t>The cap on the Government guarantee of Housing Australia</w:t>
            </w:r>
            <w:r w:rsidR="0004287B">
              <w:rPr>
                <w:rFonts w:eastAsiaTheme="minorHAnsi"/>
                <w:lang w:eastAsia="en-US"/>
              </w:rPr>
              <w:t>’</w:t>
            </w:r>
            <w:r w:rsidRPr="009C0EA0">
              <w:rPr>
                <w:rFonts w:eastAsiaTheme="minorHAnsi"/>
                <w:lang w:eastAsia="en-US"/>
              </w:rPr>
              <w:t>s liabilities was increased by $2</w:t>
            </w:r>
            <w:r w:rsidR="00536DAD" w:rsidRPr="009C0EA0">
              <w:rPr>
                <w:rFonts w:eastAsiaTheme="minorHAnsi"/>
                <w:lang w:eastAsia="en-US"/>
              </w:rPr>
              <w:t> billion</w:t>
            </w:r>
            <w:r w:rsidRPr="009C0EA0">
              <w:rPr>
                <w:rFonts w:eastAsiaTheme="minorHAnsi"/>
                <w:lang w:eastAsia="en-US"/>
              </w:rPr>
              <w:t xml:space="preserve"> to $7.5</w:t>
            </w:r>
            <w:r w:rsidR="00536DAD" w:rsidRPr="009C0EA0">
              <w:rPr>
                <w:rFonts w:eastAsiaTheme="minorHAnsi"/>
                <w:lang w:eastAsia="en-US"/>
              </w:rPr>
              <w:t> billion</w:t>
            </w:r>
            <w:r w:rsidRPr="009C0EA0">
              <w:rPr>
                <w:rFonts w:eastAsiaTheme="minorHAnsi"/>
                <w:lang w:eastAsia="en-US"/>
              </w:rPr>
              <w:t xml:space="preserve"> in the 2023</w:t>
            </w:r>
            <w:r w:rsidR="0004287B">
              <w:rPr>
                <w:rFonts w:eastAsiaTheme="minorHAnsi"/>
                <w:lang w:eastAsia="en-US"/>
              </w:rPr>
              <w:noBreakHyphen/>
            </w:r>
            <w:r w:rsidRPr="009C0EA0">
              <w:rPr>
                <w:rFonts w:eastAsiaTheme="minorHAnsi"/>
                <w:lang w:eastAsia="en-US"/>
              </w:rPr>
              <w:t>24 Budget to provide lower cost and longer</w:t>
            </w:r>
            <w:r w:rsidR="0004287B">
              <w:rPr>
                <w:rFonts w:eastAsiaTheme="minorHAnsi"/>
                <w:lang w:eastAsia="en-US"/>
              </w:rPr>
              <w:noBreakHyphen/>
            </w:r>
            <w:r w:rsidRPr="009C0EA0">
              <w:rPr>
                <w:rFonts w:eastAsiaTheme="minorHAnsi"/>
                <w:lang w:eastAsia="en-US"/>
              </w:rPr>
              <w:t>term finance to community housing providers through the Affordable Housing Bond Aggregator. These loans can be used to acquire, construct, or maintain social and affordable housing, as well as to refinance existing debt.</w:t>
            </w:r>
          </w:p>
        </w:tc>
        <w:tc>
          <w:tcPr>
            <w:tcW w:w="1842" w:type="dxa"/>
          </w:tcPr>
          <w:p w14:paraId="4AC8B18C" w14:textId="106C6C7B" w:rsidR="00E14A51" w:rsidRPr="001F67EA" w:rsidRDefault="002004E3" w:rsidP="005F61FB">
            <w:pPr>
              <w:pStyle w:val="TableTextLeft"/>
              <w:rPr>
                <w:rFonts w:eastAsiaTheme="minorHAnsi"/>
                <w:highlight w:val="darkCyan"/>
                <w:lang w:eastAsia="en-US"/>
              </w:rPr>
            </w:pPr>
            <w:r>
              <w:rPr>
                <w:rFonts w:eastAsiaTheme="minorHAnsi"/>
                <w:lang w:eastAsia="en-US"/>
              </w:rPr>
              <w:t>Increased Commonwealth balance sheet support for the lending program</w:t>
            </w:r>
          </w:p>
        </w:tc>
        <w:tc>
          <w:tcPr>
            <w:tcW w:w="3027" w:type="dxa"/>
          </w:tcPr>
          <w:p w14:paraId="105018EF" w14:textId="587564E8" w:rsidR="00E14A51" w:rsidRPr="009C0EA0" w:rsidRDefault="005D383C" w:rsidP="005F61FB">
            <w:pPr>
              <w:pStyle w:val="TableTextLeft"/>
              <w:rPr>
                <w:rFonts w:eastAsiaTheme="minorHAnsi"/>
                <w:lang w:eastAsia="en-US"/>
              </w:rPr>
            </w:pPr>
            <w:r w:rsidRPr="009C0EA0">
              <w:rPr>
                <w:rFonts w:eastAsiaTheme="minorHAnsi" w:cs="Arial"/>
                <w:szCs w:val="16"/>
                <w:lang w:eastAsia="en-US"/>
              </w:rPr>
              <w:t>Will support the ongoing delivery of the program to provide long</w:t>
            </w:r>
            <w:r w:rsidR="0004287B">
              <w:rPr>
                <w:rFonts w:eastAsiaTheme="minorHAnsi" w:cs="Arial"/>
                <w:szCs w:val="16"/>
                <w:lang w:eastAsia="en-US"/>
              </w:rPr>
              <w:noBreakHyphen/>
            </w:r>
            <w:r w:rsidRPr="009C0EA0">
              <w:rPr>
                <w:rFonts w:eastAsiaTheme="minorHAnsi" w:cs="Arial"/>
                <w:szCs w:val="16"/>
                <w:lang w:eastAsia="en-US"/>
              </w:rPr>
              <w:t xml:space="preserve">term and </w:t>
            </w:r>
            <w:r w:rsidR="004F3605" w:rsidRPr="009C0EA0">
              <w:rPr>
                <w:rFonts w:eastAsiaTheme="minorHAnsi" w:cs="Arial"/>
                <w:szCs w:val="16"/>
                <w:lang w:eastAsia="en-US"/>
              </w:rPr>
              <w:t>low</w:t>
            </w:r>
            <w:r w:rsidR="0004287B">
              <w:rPr>
                <w:rFonts w:eastAsiaTheme="minorHAnsi" w:cs="Arial"/>
                <w:szCs w:val="16"/>
                <w:lang w:eastAsia="en-US"/>
              </w:rPr>
              <w:noBreakHyphen/>
            </w:r>
            <w:r w:rsidR="004F3605" w:rsidRPr="009C0EA0">
              <w:rPr>
                <w:rFonts w:eastAsiaTheme="minorHAnsi" w:cs="Arial"/>
                <w:szCs w:val="16"/>
                <w:lang w:eastAsia="en-US"/>
              </w:rPr>
              <w:t>cost</w:t>
            </w:r>
            <w:r w:rsidRPr="009C0EA0">
              <w:rPr>
                <w:rFonts w:eastAsiaTheme="minorHAnsi" w:cs="Arial"/>
                <w:szCs w:val="16"/>
                <w:lang w:eastAsia="en-US"/>
              </w:rPr>
              <w:t xml:space="preserve"> finance to community housing providers.</w:t>
            </w:r>
          </w:p>
        </w:tc>
      </w:tr>
      <w:tr w:rsidR="00027E63" w:rsidRPr="00B35D17" w14:paraId="448AF0BB" w14:textId="77777777" w:rsidTr="001D1325">
        <w:trPr>
          <w:cantSplit/>
          <w:tblHeader/>
        </w:trPr>
        <w:tc>
          <w:tcPr>
            <w:tcW w:w="2689" w:type="dxa"/>
          </w:tcPr>
          <w:p w14:paraId="0AFEC436" w14:textId="51AC955C" w:rsidR="00E14A51" w:rsidRPr="001F67EA" w:rsidRDefault="00E14A51" w:rsidP="005F61FB">
            <w:pPr>
              <w:pStyle w:val="TableTextLeft"/>
              <w:rPr>
                <w:rFonts w:eastAsiaTheme="minorHAnsi"/>
                <w:noProof/>
                <w:color w:val="FFFF00"/>
                <w:highlight w:val="red"/>
                <w:lang w:eastAsia="en-US"/>
              </w:rPr>
            </w:pPr>
            <w:r w:rsidRPr="009C0EA0">
              <w:rPr>
                <w:rFonts w:eastAsiaTheme="minorHAnsi"/>
                <w:noProof/>
                <w:lang w:eastAsia="en-US"/>
              </w:rPr>
              <w:t>National Housing and Homelessness Agreement</w:t>
            </w:r>
            <w:r w:rsidR="0004287B">
              <w:rPr>
                <w:rFonts w:eastAsiaTheme="minorHAnsi"/>
                <w:noProof/>
                <w:lang w:eastAsia="en-US"/>
              </w:rPr>
              <w:t xml:space="preserve"> – </w:t>
            </w:r>
            <w:r w:rsidR="009D79FF" w:rsidRPr="009C0EA0">
              <w:rPr>
                <w:rFonts w:eastAsiaTheme="minorHAnsi"/>
                <w:noProof/>
                <w:lang w:eastAsia="en-US"/>
              </w:rPr>
              <w:t xml:space="preserve">Transitional </w:t>
            </w:r>
            <w:r w:rsidRPr="009C0EA0">
              <w:rPr>
                <w:rFonts w:eastAsiaTheme="minorHAnsi"/>
                <w:noProof/>
                <w:lang w:eastAsia="en-US"/>
              </w:rPr>
              <w:t>Funding</w:t>
            </w:r>
          </w:p>
        </w:tc>
        <w:tc>
          <w:tcPr>
            <w:tcW w:w="3969" w:type="dxa"/>
          </w:tcPr>
          <w:p w14:paraId="6ABA145F" w14:textId="47528A9D" w:rsidR="00E14A51" w:rsidRPr="001F67EA" w:rsidRDefault="00E14A51" w:rsidP="005F61FB">
            <w:pPr>
              <w:pStyle w:val="TableTextLeft"/>
              <w:rPr>
                <w:rFonts w:eastAsiaTheme="minorHAnsi"/>
                <w:noProof/>
                <w:color w:val="FFFF00"/>
                <w:highlight w:val="red"/>
                <w:lang w:eastAsia="en-US"/>
              </w:rPr>
            </w:pPr>
            <w:r w:rsidRPr="009C0EA0">
              <w:rPr>
                <w:rFonts w:eastAsiaTheme="minorHAnsi"/>
                <w:noProof/>
                <w:lang w:eastAsia="en-US"/>
              </w:rPr>
              <w:t xml:space="preserve">The </w:t>
            </w:r>
            <w:r w:rsidR="006B15FD" w:rsidRPr="009C0EA0">
              <w:rPr>
                <w:rFonts w:eastAsiaTheme="minorHAnsi"/>
                <w:noProof/>
                <w:lang w:eastAsia="en-US"/>
              </w:rPr>
              <w:t>1</w:t>
            </w:r>
            <w:r w:rsidR="0004287B">
              <w:rPr>
                <w:rFonts w:eastAsiaTheme="minorHAnsi"/>
                <w:noProof/>
                <w:lang w:eastAsia="en-US"/>
              </w:rPr>
              <w:noBreakHyphen/>
            </w:r>
            <w:r w:rsidRPr="009C0EA0">
              <w:rPr>
                <w:rFonts w:eastAsiaTheme="minorHAnsi"/>
                <w:noProof/>
                <w:lang w:eastAsia="en-US"/>
              </w:rPr>
              <w:t>year extension to the National Housing and Homelessness Agreement provides around $1.7</w:t>
            </w:r>
            <w:r w:rsidR="00536DAD" w:rsidRPr="009C0EA0">
              <w:rPr>
                <w:rFonts w:eastAsiaTheme="minorHAnsi"/>
                <w:noProof/>
                <w:lang w:eastAsia="en-US"/>
              </w:rPr>
              <w:t> billion</w:t>
            </w:r>
            <w:r w:rsidRPr="009C0EA0">
              <w:rPr>
                <w:rFonts w:eastAsiaTheme="minorHAnsi"/>
                <w:noProof/>
                <w:lang w:eastAsia="en-US"/>
              </w:rPr>
              <w:t xml:space="preserve"> to states and territories to 30</w:t>
            </w:r>
            <w:r w:rsidR="00536DAD" w:rsidRPr="009C0EA0">
              <w:rPr>
                <w:rFonts w:eastAsiaTheme="minorHAnsi"/>
                <w:noProof/>
                <w:lang w:eastAsia="en-US"/>
              </w:rPr>
              <w:t> June </w:t>
            </w:r>
            <w:r w:rsidRPr="009C0EA0">
              <w:rPr>
                <w:rFonts w:eastAsiaTheme="minorHAnsi"/>
                <w:noProof/>
                <w:lang w:eastAsia="en-US"/>
              </w:rPr>
              <w:t>2024. This includes additional funding of $67.5</w:t>
            </w:r>
            <w:r w:rsidR="00536DAD" w:rsidRPr="009C0EA0">
              <w:rPr>
                <w:rFonts w:eastAsiaTheme="minorHAnsi"/>
                <w:noProof/>
                <w:lang w:eastAsia="en-US"/>
              </w:rPr>
              <w:t> million</w:t>
            </w:r>
            <w:r w:rsidRPr="009C0EA0">
              <w:rPr>
                <w:rFonts w:eastAsiaTheme="minorHAnsi"/>
                <w:noProof/>
                <w:lang w:eastAsia="en-US"/>
              </w:rPr>
              <w:t xml:space="preserve"> in 2023 24 to support states to meet the homelessness challenges identified in the 2021 Census.</w:t>
            </w:r>
          </w:p>
        </w:tc>
        <w:tc>
          <w:tcPr>
            <w:tcW w:w="1842" w:type="dxa"/>
          </w:tcPr>
          <w:p w14:paraId="7FAC68A9" w14:textId="4161738D" w:rsidR="00E14A51" w:rsidRPr="001F67EA" w:rsidRDefault="00E14A51" w:rsidP="005F61FB">
            <w:pPr>
              <w:pStyle w:val="TableTextLeft"/>
              <w:rPr>
                <w:rFonts w:eastAsiaTheme="minorHAnsi"/>
                <w:noProof/>
                <w:color w:val="FFFF00"/>
                <w:highlight w:val="red"/>
                <w:lang w:eastAsia="en-US"/>
              </w:rPr>
            </w:pPr>
            <w:r w:rsidRPr="009C0EA0">
              <w:rPr>
                <w:rFonts w:eastAsiaTheme="minorHAnsi"/>
                <w:noProof/>
                <w:lang w:eastAsia="en-US"/>
              </w:rPr>
              <w:t>$67.5</w:t>
            </w:r>
            <w:r w:rsidR="00536DAD" w:rsidRPr="009C0EA0">
              <w:rPr>
                <w:rFonts w:eastAsiaTheme="minorHAnsi"/>
                <w:noProof/>
                <w:lang w:eastAsia="en-US"/>
              </w:rPr>
              <w:t> million</w:t>
            </w:r>
            <w:r w:rsidRPr="009C0EA0">
              <w:rPr>
                <w:rFonts w:eastAsiaTheme="minorHAnsi"/>
                <w:noProof/>
                <w:lang w:eastAsia="en-US"/>
              </w:rPr>
              <w:t xml:space="preserve"> (for 2023</w:t>
            </w:r>
            <w:r w:rsidR="0004287B">
              <w:rPr>
                <w:rFonts w:eastAsiaTheme="minorHAnsi"/>
                <w:noProof/>
                <w:lang w:eastAsia="en-US"/>
              </w:rPr>
              <w:noBreakHyphen/>
            </w:r>
            <w:r w:rsidRPr="009C0EA0">
              <w:rPr>
                <w:rFonts w:eastAsiaTheme="minorHAnsi"/>
                <w:noProof/>
                <w:lang w:eastAsia="en-US"/>
              </w:rPr>
              <w:t>24)</w:t>
            </w:r>
          </w:p>
        </w:tc>
        <w:tc>
          <w:tcPr>
            <w:tcW w:w="3027" w:type="dxa"/>
          </w:tcPr>
          <w:p w14:paraId="143807AB" w14:textId="774CB7BD" w:rsidR="00E14A51" w:rsidRPr="009C0EA0" w:rsidRDefault="00E14A51" w:rsidP="005F61FB">
            <w:pPr>
              <w:pStyle w:val="TableTextLeft"/>
              <w:rPr>
                <w:rFonts w:eastAsiaTheme="minorHAnsi"/>
                <w:noProof/>
                <w:lang w:eastAsia="en-US"/>
              </w:rPr>
            </w:pPr>
            <w:r w:rsidRPr="009C0EA0">
              <w:rPr>
                <w:rFonts w:eastAsiaTheme="minorHAnsi"/>
                <w:noProof/>
                <w:lang w:eastAsia="en-US"/>
              </w:rPr>
              <w:t>The National Housing and Homelessness Agreement contributes to improving access to affordable, safe and sustainable housing across the housing spectrum, including to prevent and address homelessness, and to support social and economic participation.</w:t>
            </w:r>
          </w:p>
        </w:tc>
      </w:tr>
      <w:tr w:rsidR="00792B24" w:rsidRPr="00D33D22" w14:paraId="075EA698" w14:textId="77777777" w:rsidTr="00792B24">
        <w:trPr>
          <w:cantSplit/>
          <w:tblHeader/>
        </w:trPr>
        <w:tc>
          <w:tcPr>
            <w:tcW w:w="2689" w:type="dxa"/>
            <w:vAlign w:val="center"/>
          </w:tcPr>
          <w:p w14:paraId="532023EC" w14:textId="77777777" w:rsidR="00792B24" w:rsidRPr="00CD4A3B" w:rsidRDefault="00792B24">
            <w:pPr>
              <w:pStyle w:val="TableColumnHeadingLeft"/>
              <w:rPr>
                <w:rFonts w:eastAsiaTheme="minorHAnsi"/>
              </w:rPr>
            </w:pPr>
            <w:r w:rsidRPr="00CD4A3B">
              <w:rPr>
                <w:rFonts w:eastAsiaTheme="minorHAnsi"/>
              </w:rPr>
              <w:lastRenderedPageBreak/>
              <w:t>Measure</w:t>
            </w:r>
          </w:p>
        </w:tc>
        <w:tc>
          <w:tcPr>
            <w:tcW w:w="3969" w:type="dxa"/>
            <w:vAlign w:val="center"/>
          </w:tcPr>
          <w:p w14:paraId="130EEC67" w14:textId="77777777" w:rsidR="00792B24" w:rsidRPr="00D33D22" w:rsidRDefault="00792B24">
            <w:pPr>
              <w:pStyle w:val="TableColumnHeadingLeft"/>
              <w:rPr>
                <w:rFonts w:eastAsiaTheme="minorHAnsi"/>
              </w:rPr>
            </w:pPr>
            <w:r w:rsidRPr="00D33D22">
              <w:rPr>
                <w:rFonts w:eastAsiaTheme="minorHAnsi"/>
              </w:rPr>
              <w:t>Description</w:t>
            </w:r>
          </w:p>
        </w:tc>
        <w:tc>
          <w:tcPr>
            <w:tcW w:w="1842" w:type="dxa"/>
            <w:vAlign w:val="center"/>
          </w:tcPr>
          <w:p w14:paraId="3E8FF2D3" w14:textId="2A8A5F0F" w:rsidR="00792B24" w:rsidRPr="00D33D22" w:rsidRDefault="002A2990">
            <w:pPr>
              <w:pStyle w:val="TableColumnHeadingLeft"/>
              <w:rPr>
                <w:rFonts w:eastAsiaTheme="minorHAnsi"/>
              </w:rPr>
            </w:pPr>
            <w:r>
              <w:rPr>
                <w:rFonts w:eastAsiaTheme="minorHAnsi"/>
              </w:rPr>
              <w:t>New Commitments</w:t>
            </w:r>
          </w:p>
        </w:tc>
        <w:tc>
          <w:tcPr>
            <w:tcW w:w="3027" w:type="dxa"/>
            <w:vAlign w:val="center"/>
          </w:tcPr>
          <w:p w14:paraId="33636677" w14:textId="77777777" w:rsidR="00792B24" w:rsidRPr="00D33D22" w:rsidRDefault="00792B24">
            <w:pPr>
              <w:pStyle w:val="TableColumnHeadingLeft"/>
              <w:rPr>
                <w:rFonts w:eastAsiaTheme="minorHAnsi"/>
              </w:rPr>
            </w:pPr>
            <w:r w:rsidRPr="00D33D22">
              <w:rPr>
                <w:rFonts w:eastAsiaTheme="minorHAnsi"/>
              </w:rPr>
              <w:t>Impact</w:t>
            </w:r>
          </w:p>
        </w:tc>
      </w:tr>
      <w:tr w:rsidR="00027E63" w:rsidRPr="001F67EA" w14:paraId="0B3628A6" w14:textId="77777777" w:rsidTr="001D1325">
        <w:trPr>
          <w:cantSplit/>
          <w:tblHeader/>
        </w:trPr>
        <w:tc>
          <w:tcPr>
            <w:tcW w:w="2689" w:type="dxa"/>
          </w:tcPr>
          <w:p w14:paraId="214205F6" w14:textId="55E96ECE" w:rsidR="00E14A51" w:rsidRPr="001F67EA" w:rsidRDefault="00E14A51" w:rsidP="005F61FB">
            <w:pPr>
              <w:pStyle w:val="TableTextLeft"/>
              <w:rPr>
                <w:rFonts w:eastAsiaTheme="minorHAnsi"/>
                <w:noProof/>
                <w:highlight w:val="green"/>
                <w:lang w:eastAsia="en-US"/>
              </w:rPr>
            </w:pPr>
            <w:r w:rsidRPr="009C0EA0">
              <w:rPr>
                <w:rFonts w:eastAsiaTheme="minorHAnsi"/>
                <w:noProof/>
                <w:lang w:eastAsia="en-US"/>
              </w:rPr>
              <w:t>Northern Territory Remote Housing Partnership</w:t>
            </w:r>
          </w:p>
        </w:tc>
        <w:tc>
          <w:tcPr>
            <w:tcW w:w="3969" w:type="dxa"/>
          </w:tcPr>
          <w:p w14:paraId="7CEB618A" w14:textId="143C46B2" w:rsidR="00E14A51" w:rsidRPr="001F67EA" w:rsidRDefault="00E14A51" w:rsidP="005F61FB">
            <w:pPr>
              <w:pStyle w:val="TableTextLeft"/>
              <w:rPr>
                <w:rFonts w:eastAsiaTheme="minorHAnsi"/>
                <w:noProof/>
                <w:highlight w:val="green"/>
                <w:lang w:eastAsia="en-US"/>
              </w:rPr>
            </w:pPr>
            <w:r w:rsidRPr="009C0EA0">
              <w:rPr>
                <w:rFonts w:eastAsiaTheme="minorHAnsi"/>
                <w:noProof/>
                <w:lang w:eastAsia="en-US"/>
              </w:rPr>
              <w:t xml:space="preserve">A </w:t>
            </w:r>
            <w:r w:rsidR="006B15FD" w:rsidRPr="009C0EA0">
              <w:rPr>
                <w:rFonts w:eastAsiaTheme="minorHAnsi"/>
                <w:noProof/>
                <w:lang w:eastAsia="en-US"/>
              </w:rPr>
              <w:t>1</w:t>
            </w:r>
            <w:r w:rsidR="0004287B">
              <w:rPr>
                <w:rFonts w:eastAsiaTheme="minorHAnsi"/>
                <w:noProof/>
                <w:lang w:eastAsia="en-US"/>
              </w:rPr>
              <w:noBreakHyphen/>
            </w:r>
            <w:r w:rsidRPr="009C0EA0">
              <w:rPr>
                <w:rFonts w:eastAsiaTheme="minorHAnsi"/>
                <w:noProof/>
                <w:lang w:eastAsia="en-US"/>
              </w:rPr>
              <w:t>year partnership over 2023</w:t>
            </w:r>
            <w:r w:rsidR="00F12A49" w:rsidRPr="009C0EA0">
              <w:rPr>
                <w:rFonts w:eastAsiaTheme="minorHAnsi"/>
                <w:noProof/>
                <w:lang w:eastAsia="en-US"/>
              </w:rPr>
              <w:t>–</w:t>
            </w:r>
            <w:r w:rsidRPr="009C0EA0">
              <w:rPr>
                <w:rFonts w:eastAsiaTheme="minorHAnsi"/>
                <w:noProof/>
                <w:lang w:eastAsia="en-US"/>
              </w:rPr>
              <w:t>24 with the Northern Territory Government to accelerate building of new remote housing to reduce overcrowding.</w:t>
            </w:r>
          </w:p>
        </w:tc>
        <w:tc>
          <w:tcPr>
            <w:tcW w:w="1842" w:type="dxa"/>
          </w:tcPr>
          <w:p w14:paraId="6D09EDA8" w14:textId="711C24A8" w:rsidR="00E14A51" w:rsidRPr="009C0EA0" w:rsidRDefault="00E14A51" w:rsidP="005F61FB">
            <w:pPr>
              <w:pStyle w:val="TableTextLeft"/>
              <w:rPr>
                <w:rFonts w:eastAsiaTheme="minorHAnsi"/>
                <w:noProof/>
                <w:lang w:eastAsia="en-US"/>
              </w:rPr>
            </w:pPr>
            <w:r w:rsidRPr="009C0EA0">
              <w:rPr>
                <w:rFonts w:eastAsiaTheme="minorHAnsi"/>
                <w:noProof/>
                <w:lang w:eastAsia="en-US"/>
              </w:rPr>
              <w:t>$111.7</w:t>
            </w:r>
            <w:r w:rsidR="00536DAD" w:rsidRPr="009C0EA0">
              <w:rPr>
                <w:rFonts w:eastAsiaTheme="minorHAnsi"/>
                <w:noProof/>
                <w:lang w:eastAsia="en-US"/>
              </w:rPr>
              <w:t> million</w:t>
            </w:r>
            <w:r w:rsidRPr="009C0EA0">
              <w:rPr>
                <w:rFonts w:eastAsiaTheme="minorHAnsi"/>
                <w:noProof/>
                <w:lang w:eastAsia="en-US"/>
              </w:rPr>
              <w:t xml:space="preserve"> (for 2023</w:t>
            </w:r>
            <w:r w:rsidR="0004287B">
              <w:rPr>
                <w:rFonts w:eastAsiaTheme="minorHAnsi"/>
                <w:noProof/>
                <w:lang w:eastAsia="en-US"/>
              </w:rPr>
              <w:noBreakHyphen/>
            </w:r>
            <w:r w:rsidRPr="009C0EA0">
              <w:rPr>
                <w:rFonts w:eastAsiaTheme="minorHAnsi"/>
                <w:noProof/>
                <w:lang w:eastAsia="en-US"/>
              </w:rPr>
              <w:t>24)</w:t>
            </w:r>
          </w:p>
          <w:p w14:paraId="30EF300E" w14:textId="77777777" w:rsidR="00E14A51" w:rsidRPr="009C0EA0" w:rsidRDefault="00E14A51" w:rsidP="005F61FB">
            <w:pPr>
              <w:pStyle w:val="TableTextLeft"/>
              <w:rPr>
                <w:rFonts w:eastAsiaTheme="minorHAnsi"/>
                <w:noProof/>
                <w:lang w:eastAsia="en-US"/>
              </w:rPr>
            </w:pPr>
          </w:p>
          <w:p w14:paraId="631363D3" w14:textId="77777777" w:rsidR="00E14A51" w:rsidRPr="001F67EA" w:rsidRDefault="00E14A51" w:rsidP="005F61FB">
            <w:pPr>
              <w:pStyle w:val="TableTextLeft"/>
              <w:rPr>
                <w:rFonts w:eastAsiaTheme="minorHAnsi"/>
                <w:noProof/>
                <w:highlight w:val="green"/>
                <w:lang w:eastAsia="en-US"/>
              </w:rPr>
            </w:pPr>
          </w:p>
        </w:tc>
        <w:tc>
          <w:tcPr>
            <w:tcW w:w="3027" w:type="dxa"/>
          </w:tcPr>
          <w:p w14:paraId="79E96E37" w14:textId="77777777" w:rsidR="00E14A51" w:rsidRPr="009C0EA0" w:rsidRDefault="00E14A51" w:rsidP="005F61FB">
            <w:pPr>
              <w:pStyle w:val="TableTextLeft"/>
              <w:rPr>
                <w:rFonts w:eastAsiaTheme="minorHAnsi"/>
                <w:noProof/>
                <w:lang w:eastAsia="en-US"/>
              </w:rPr>
            </w:pPr>
            <w:r w:rsidRPr="009C0EA0">
              <w:rPr>
                <w:rFonts w:eastAsiaTheme="minorHAnsi"/>
                <w:noProof/>
                <w:lang w:eastAsia="en-US"/>
              </w:rPr>
              <w:t>Will increase housing supply in remote communities in the Northern Territory and support the delivery of 157 homes</w:t>
            </w:r>
          </w:p>
        </w:tc>
      </w:tr>
      <w:tr w:rsidR="00027E63" w:rsidRPr="00B35D17" w14:paraId="6CEB604B" w14:textId="77777777" w:rsidTr="001D1325">
        <w:trPr>
          <w:cantSplit/>
          <w:tblHeader/>
        </w:trPr>
        <w:tc>
          <w:tcPr>
            <w:tcW w:w="2689" w:type="dxa"/>
          </w:tcPr>
          <w:p w14:paraId="37C214BD" w14:textId="77777777" w:rsidR="00E14A51" w:rsidRPr="001F67EA" w:rsidRDefault="00E14A51" w:rsidP="005F61FB">
            <w:pPr>
              <w:pStyle w:val="TableTextLeft"/>
              <w:rPr>
                <w:rFonts w:eastAsiaTheme="minorHAnsi"/>
                <w:noProof/>
                <w:highlight w:val="green"/>
                <w:lang w:eastAsia="en-US"/>
              </w:rPr>
            </w:pPr>
            <w:r w:rsidRPr="009C0EA0">
              <w:rPr>
                <w:rFonts w:eastAsiaTheme="minorHAnsi"/>
                <w:noProof/>
                <w:lang w:eastAsia="en-US"/>
              </w:rPr>
              <w:t>Restoring funding for Homelands</w:t>
            </w:r>
          </w:p>
        </w:tc>
        <w:tc>
          <w:tcPr>
            <w:tcW w:w="3969" w:type="dxa"/>
          </w:tcPr>
          <w:p w14:paraId="2BA2657C" w14:textId="77777777" w:rsidR="00E14A51" w:rsidRPr="001F67EA" w:rsidRDefault="00E14A51" w:rsidP="005F61FB">
            <w:pPr>
              <w:pStyle w:val="TableTextLeft"/>
              <w:rPr>
                <w:rFonts w:eastAsiaTheme="minorHAnsi"/>
                <w:noProof/>
                <w:highlight w:val="green"/>
                <w:lang w:eastAsia="en-US"/>
              </w:rPr>
            </w:pPr>
            <w:r w:rsidRPr="009C0EA0">
              <w:rPr>
                <w:rFonts w:eastAsiaTheme="minorHAnsi"/>
                <w:noProof/>
                <w:lang w:eastAsia="en-US"/>
              </w:rPr>
              <w:t>For housing and essential infrastructure in the Northern Territory Homelands, delivered through a new federal financial agreement with the Northern Territory Government.</w:t>
            </w:r>
          </w:p>
        </w:tc>
        <w:tc>
          <w:tcPr>
            <w:tcW w:w="1842" w:type="dxa"/>
          </w:tcPr>
          <w:p w14:paraId="101C2330" w14:textId="1282813D" w:rsidR="00E14A51" w:rsidRPr="001F67EA" w:rsidRDefault="00E14A51" w:rsidP="005F61FB">
            <w:pPr>
              <w:pStyle w:val="TableTextLeft"/>
              <w:rPr>
                <w:rFonts w:eastAsiaTheme="minorHAnsi"/>
                <w:noProof/>
                <w:highlight w:val="green"/>
                <w:lang w:eastAsia="en-US"/>
              </w:rPr>
            </w:pPr>
            <w:r w:rsidRPr="009C0EA0">
              <w:rPr>
                <w:rFonts w:eastAsiaTheme="minorHAnsi"/>
                <w:noProof/>
                <w:lang w:eastAsia="en-US"/>
              </w:rPr>
              <w:t>$100</w:t>
            </w:r>
            <w:r w:rsidR="00536DAD" w:rsidRPr="009C0EA0">
              <w:rPr>
                <w:rFonts w:eastAsiaTheme="minorHAnsi"/>
                <w:noProof/>
                <w:lang w:eastAsia="en-US"/>
              </w:rPr>
              <w:t> million</w:t>
            </w:r>
            <w:r w:rsidRPr="009C0EA0">
              <w:rPr>
                <w:rFonts w:eastAsiaTheme="minorHAnsi"/>
                <w:noProof/>
                <w:lang w:eastAsia="en-US"/>
              </w:rPr>
              <w:t xml:space="preserve"> (over </w:t>
            </w:r>
            <w:r w:rsidR="005B4F40" w:rsidRPr="009C0EA0">
              <w:rPr>
                <w:rFonts w:eastAsiaTheme="minorHAnsi"/>
                <w:noProof/>
                <w:lang w:eastAsia="en-US"/>
              </w:rPr>
              <w:t>two</w:t>
            </w:r>
            <w:r w:rsidRPr="009C0EA0">
              <w:rPr>
                <w:rFonts w:eastAsiaTheme="minorHAnsi"/>
                <w:noProof/>
                <w:lang w:eastAsia="en-US"/>
              </w:rPr>
              <w:t> years from 2022</w:t>
            </w:r>
            <w:r w:rsidR="0004287B">
              <w:rPr>
                <w:rFonts w:eastAsiaTheme="minorHAnsi"/>
                <w:noProof/>
                <w:lang w:eastAsia="en-US"/>
              </w:rPr>
              <w:noBreakHyphen/>
            </w:r>
            <w:r w:rsidRPr="009C0EA0">
              <w:rPr>
                <w:rFonts w:eastAsiaTheme="minorHAnsi"/>
                <w:noProof/>
                <w:lang w:eastAsia="en-US"/>
              </w:rPr>
              <w:t>23)</w:t>
            </w:r>
          </w:p>
        </w:tc>
        <w:tc>
          <w:tcPr>
            <w:tcW w:w="3027" w:type="dxa"/>
          </w:tcPr>
          <w:p w14:paraId="227E9373" w14:textId="5B794218" w:rsidR="00E14A51" w:rsidRPr="009C0EA0" w:rsidRDefault="00E14A51" w:rsidP="005F61FB">
            <w:pPr>
              <w:pStyle w:val="TableTextLeft"/>
              <w:rPr>
                <w:rFonts w:eastAsiaTheme="minorHAnsi"/>
                <w:noProof/>
                <w:lang w:eastAsia="en-US"/>
              </w:rPr>
            </w:pPr>
            <w:r w:rsidRPr="009C0EA0">
              <w:rPr>
                <w:rFonts w:eastAsiaTheme="minorHAnsi"/>
                <w:noProof/>
                <w:lang w:eastAsia="en-US"/>
              </w:rPr>
              <w:t>Will enable an increase in housing supply in remote homelands in the Northern Territory.</w:t>
            </w:r>
          </w:p>
        </w:tc>
      </w:tr>
      <w:tr w:rsidR="00BE5265" w:rsidRPr="00B35D17" w14:paraId="07077BB4" w14:textId="77777777" w:rsidTr="001D1325">
        <w:trPr>
          <w:cantSplit/>
          <w:tblHeader/>
        </w:trPr>
        <w:tc>
          <w:tcPr>
            <w:tcW w:w="0" w:type="auto"/>
            <w:gridSpan w:val="4"/>
          </w:tcPr>
          <w:p w14:paraId="261176CE" w14:textId="77777777" w:rsidR="00BE5265" w:rsidRPr="00CD4A3B" w:rsidRDefault="00BE5265">
            <w:pPr>
              <w:pStyle w:val="TableColumnHeadingLeft"/>
              <w:rPr>
                <w:rFonts w:eastAsiaTheme="minorHAnsi"/>
                <w:noProof/>
                <w:lang w:eastAsia="en-US"/>
              </w:rPr>
            </w:pPr>
            <w:r w:rsidRPr="00CD4A3B">
              <w:rPr>
                <w:rFonts w:eastAsiaTheme="minorHAnsi"/>
                <w:noProof/>
                <w:lang w:eastAsia="en-US"/>
              </w:rPr>
              <w:t>Delivering more support to renters</w:t>
            </w:r>
          </w:p>
        </w:tc>
      </w:tr>
      <w:tr w:rsidR="008E4BCF" w:rsidRPr="00B35D17" w14:paraId="0700CB75" w14:textId="77777777" w:rsidTr="001D1325">
        <w:trPr>
          <w:cantSplit/>
          <w:tblHeader/>
        </w:trPr>
        <w:tc>
          <w:tcPr>
            <w:tcW w:w="2689" w:type="dxa"/>
          </w:tcPr>
          <w:p w14:paraId="6991A097" w14:textId="09A6B4F8" w:rsidR="008E4BCF" w:rsidRPr="001F67EA" w:rsidRDefault="008E4BCF" w:rsidP="008E4BCF">
            <w:pPr>
              <w:pStyle w:val="TableTextLeft"/>
              <w:rPr>
                <w:rFonts w:eastAsiaTheme="minorHAnsi"/>
                <w:highlight w:val="darkCyan"/>
                <w:lang w:eastAsia="en-US"/>
              </w:rPr>
            </w:pPr>
            <w:r w:rsidRPr="009C0EA0">
              <w:rPr>
                <w:rFonts w:eastAsiaTheme="minorHAnsi" w:cs="Arial"/>
                <w:szCs w:val="16"/>
                <w:lang w:eastAsia="en-US"/>
              </w:rPr>
              <w:t xml:space="preserve">Commonwealth Rent Assistance </w:t>
            </w:r>
            <w:r w:rsidR="00684020" w:rsidRPr="009C0EA0">
              <w:rPr>
                <w:rFonts w:eastAsiaTheme="minorHAnsi" w:cs="Arial"/>
                <w:szCs w:val="16"/>
                <w:lang w:eastAsia="en-US"/>
              </w:rPr>
              <w:t>–</w:t>
            </w:r>
            <w:r w:rsidRPr="009C0EA0">
              <w:rPr>
                <w:rFonts w:eastAsiaTheme="minorHAnsi" w:cs="Arial"/>
                <w:szCs w:val="16"/>
                <w:lang w:eastAsia="en-US"/>
              </w:rPr>
              <w:t xml:space="preserve"> </w:t>
            </w:r>
            <w:r w:rsidR="00684020" w:rsidRPr="009C0EA0">
              <w:rPr>
                <w:rFonts w:eastAsiaTheme="minorHAnsi" w:cs="Arial"/>
                <w:szCs w:val="16"/>
                <w:lang w:eastAsia="en-US"/>
              </w:rPr>
              <w:t xml:space="preserve">15 per cent </w:t>
            </w:r>
            <w:r w:rsidRPr="009C0EA0">
              <w:rPr>
                <w:rFonts w:eastAsiaTheme="minorHAnsi" w:cs="Arial"/>
                <w:szCs w:val="16"/>
                <w:lang w:eastAsia="en-US"/>
              </w:rPr>
              <w:t>increase</w:t>
            </w:r>
          </w:p>
        </w:tc>
        <w:tc>
          <w:tcPr>
            <w:tcW w:w="3969" w:type="dxa"/>
          </w:tcPr>
          <w:p w14:paraId="12CAAA5C" w14:textId="1C7DC504" w:rsidR="008E4BCF" w:rsidRPr="001F67EA" w:rsidRDefault="008E4BCF" w:rsidP="008E4BCF">
            <w:pPr>
              <w:pStyle w:val="TableTextLeft"/>
              <w:rPr>
                <w:rFonts w:eastAsiaTheme="minorHAnsi"/>
                <w:highlight w:val="darkCyan"/>
                <w:lang w:eastAsia="en-US"/>
              </w:rPr>
            </w:pPr>
            <w:r w:rsidRPr="009C0EA0">
              <w:rPr>
                <w:rFonts w:eastAsiaTheme="minorHAnsi" w:cs="Arial"/>
                <w:szCs w:val="16"/>
                <w:lang w:eastAsia="en-US"/>
              </w:rPr>
              <w:t>An increase to the maximum rates of Commonwealth Rent Assistance, payable from September 2023.</w:t>
            </w:r>
          </w:p>
        </w:tc>
        <w:tc>
          <w:tcPr>
            <w:tcW w:w="1842" w:type="dxa"/>
          </w:tcPr>
          <w:p w14:paraId="1FFBF3CF" w14:textId="52C0AB38" w:rsidR="008E4BCF" w:rsidRPr="009C0EA0" w:rsidRDefault="008E4BCF" w:rsidP="008E4BCF">
            <w:pPr>
              <w:spacing w:before="0" w:after="0" w:line="240" w:lineRule="auto"/>
              <w:contextualSpacing/>
              <w:rPr>
                <w:rFonts w:ascii="Arial" w:eastAsiaTheme="minorHAnsi" w:hAnsi="Arial" w:cs="Arial"/>
                <w:sz w:val="16"/>
                <w:szCs w:val="16"/>
                <w:lang w:eastAsia="en-US"/>
              </w:rPr>
            </w:pPr>
            <w:r w:rsidRPr="009C0EA0">
              <w:rPr>
                <w:rFonts w:ascii="Arial" w:eastAsiaTheme="minorHAnsi" w:hAnsi="Arial" w:cs="Arial"/>
                <w:sz w:val="16"/>
                <w:szCs w:val="16"/>
                <w:lang w:eastAsia="en-US"/>
              </w:rPr>
              <w:t>$2.7 billion (over 5 years from 202</w:t>
            </w:r>
            <w:r w:rsidR="00D67CE6">
              <w:rPr>
                <w:rFonts w:ascii="Arial" w:eastAsiaTheme="minorHAnsi" w:hAnsi="Arial" w:cs="Arial"/>
                <w:sz w:val="16"/>
                <w:szCs w:val="16"/>
                <w:lang w:eastAsia="en-US"/>
              </w:rPr>
              <w:t>2</w:t>
            </w:r>
            <w:r w:rsidR="0004287B">
              <w:rPr>
                <w:rFonts w:ascii="Arial" w:eastAsiaTheme="minorHAnsi" w:hAnsi="Arial" w:cs="Arial"/>
                <w:sz w:val="16"/>
                <w:szCs w:val="16"/>
                <w:lang w:eastAsia="en-US"/>
              </w:rPr>
              <w:noBreakHyphen/>
            </w:r>
            <w:r w:rsidR="00D67CE6">
              <w:rPr>
                <w:rFonts w:ascii="Arial" w:eastAsiaTheme="minorHAnsi" w:hAnsi="Arial" w:cs="Arial"/>
                <w:sz w:val="16"/>
                <w:szCs w:val="16"/>
                <w:lang w:eastAsia="en-US"/>
              </w:rPr>
              <w:t>2</w:t>
            </w:r>
            <w:r w:rsidRPr="009C0EA0">
              <w:rPr>
                <w:rFonts w:ascii="Arial" w:eastAsiaTheme="minorHAnsi" w:hAnsi="Arial" w:cs="Arial"/>
                <w:sz w:val="16"/>
                <w:szCs w:val="16"/>
                <w:lang w:eastAsia="en-US"/>
              </w:rPr>
              <w:t>3)</w:t>
            </w:r>
          </w:p>
          <w:p w14:paraId="1FC51F5F" w14:textId="77777777" w:rsidR="008E4BCF" w:rsidRPr="009C0EA0" w:rsidRDefault="008E4BCF" w:rsidP="008E4BCF">
            <w:pPr>
              <w:spacing w:before="0" w:after="0" w:line="240" w:lineRule="auto"/>
              <w:contextualSpacing/>
              <w:rPr>
                <w:rFonts w:ascii="Arial" w:eastAsiaTheme="minorHAnsi" w:hAnsi="Arial" w:cs="Arial"/>
                <w:sz w:val="16"/>
                <w:szCs w:val="16"/>
                <w:lang w:eastAsia="en-US"/>
              </w:rPr>
            </w:pPr>
          </w:p>
          <w:p w14:paraId="03F63550" w14:textId="68514AD0" w:rsidR="008E4BCF" w:rsidRPr="001F67EA" w:rsidRDefault="008E4BCF" w:rsidP="008E4BCF">
            <w:pPr>
              <w:pStyle w:val="TableTextLeft"/>
              <w:rPr>
                <w:rFonts w:eastAsiaTheme="minorHAnsi"/>
                <w:highlight w:val="darkCyan"/>
                <w:lang w:eastAsia="en-US"/>
              </w:rPr>
            </w:pPr>
            <w:r w:rsidRPr="009C0EA0">
              <w:rPr>
                <w:rFonts w:eastAsiaTheme="minorHAnsi" w:cs="Arial"/>
                <w:szCs w:val="16"/>
                <w:lang w:eastAsia="en-US"/>
              </w:rPr>
              <w:t xml:space="preserve">This measure has an ongoing cost. </w:t>
            </w:r>
          </w:p>
        </w:tc>
        <w:tc>
          <w:tcPr>
            <w:tcW w:w="3027" w:type="dxa"/>
          </w:tcPr>
          <w:p w14:paraId="1767DFC8" w14:textId="118A81EA" w:rsidR="008E4BCF" w:rsidRPr="009C0EA0" w:rsidRDefault="008E4BCF" w:rsidP="008E4BCF">
            <w:pPr>
              <w:pStyle w:val="TableTextLeft"/>
              <w:rPr>
                <w:rFonts w:eastAsiaTheme="minorHAnsi"/>
                <w:lang w:eastAsia="en-US"/>
              </w:rPr>
            </w:pPr>
            <w:r w:rsidRPr="009C0EA0">
              <w:rPr>
                <w:rFonts w:eastAsiaTheme="minorHAnsi" w:cs="Arial"/>
                <w:szCs w:val="16"/>
                <w:lang w:eastAsia="en-US"/>
              </w:rPr>
              <w:t>Benefits around 1 million households.</w:t>
            </w:r>
          </w:p>
        </w:tc>
      </w:tr>
      <w:tr w:rsidR="008E4BCF" w:rsidRPr="00B35D17" w14:paraId="5CEDEE16" w14:textId="77777777">
        <w:trPr>
          <w:cantSplit/>
          <w:tblHeader/>
        </w:trPr>
        <w:tc>
          <w:tcPr>
            <w:tcW w:w="2689" w:type="dxa"/>
          </w:tcPr>
          <w:p w14:paraId="447E76E9" w14:textId="7A75BAC1" w:rsidR="008E4BCF" w:rsidRPr="001F67EA" w:rsidRDefault="008E4BCF">
            <w:pPr>
              <w:pStyle w:val="TableTextLeft"/>
              <w:rPr>
                <w:rFonts w:eastAsiaTheme="minorHAnsi"/>
                <w:noProof/>
                <w:color w:val="FFFF00"/>
                <w:highlight w:val="red"/>
                <w:lang w:eastAsia="en-US"/>
              </w:rPr>
            </w:pPr>
            <w:r w:rsidRPr="009C0EA0">
              <w:rPr>
                <w:rFonts w:eastAsiaTheme="minorHAnsi"/>
                <w:noProof/>
                <w:lang w:eastAsia="en-US"/>
              </w:rPr>
              <w:t>A Better Deal for Renters</w:t>
            </w:r>
          </w:p>
        </w:tc>
        <w:tc>
          <w:tcPr>
            <w:tcW w:w="3969" w:type="dxa"/>
          </w:tcPr>
          <w:p w14:paraId="42A49ED0" w14:textId="77B9C07B" w:rsidR="008E4BCF" w:rsidRPr="001F67EA" w:rsidRDefault="008E4BCF">
            <w:pPr>
              <w:pStyle w:val="TableTextLeft"/>
              <w:rPr>
                <w:rFonts w:eastAsiaTheme="minorHAnsi"/>
                <w:noProof/>
                <w:color w:val="FFFF00"/>
                <w:highlight w:val="red"/>
                <w:lang w:eastAsia="en-US"/>
              </w:rPr>
            </w:pPr>
            <w:r w:rsidRPr="009C0EA0">
              <w:rPr>
                <w:rFonts w:eastAsiaTheme="minorHAnsi"/>
                <w:noProof/>
                <w:lang w:eastAsia="en-US"/>
              </w:rPr>
              <w:t>National Cabinet agreed to A Better Deal for Renters to harmonise and strengthen renters</w:t>
            </w:r>
            <w:r w:rsidR="0004287B">
              <w:rPr>
                <w:rFonts w:eastAsiaTheme="minorHAnsi"/>
                <w:noProof/>
                <w:lang w:eastAsia="en-US"/>
              </w:rPr>
              <w:t>’</w:t>
            </w:r>
            <w:r w:rsidRPr="009C0EA0">
              <w:rPr>
                <w:rFonts w:eastAsiaTheme="minorHAnsi"/>
                <w:noProof/>
                <w:lang w:eastAsia="en-US"/>
              </w:rPr>
              <w:t xml:space="preserve"> rights across Australia.</w:t>
            </w:r>
          </w:p>
        </w:tc>
        <w:tc>
          <w:tcPr>
            <w:tcW w:w="1842" w:type="dxa"/>
          </w:tcPr>
          <w:p w14:paraId="406D670E" w14:textId="77777777" w:rsidR="008E4BCF" w:rsidRPr="001F67EA" w:rsidRDefault="008E4BCF">
            <w:pPr>
              <w:pStyle w:val="TableTextLeft"/>
              <w:rPr>
                <w:rFonts w:eastAsiaTheme="minorHAnsi"/>
                <w:noProof/>
                <w:color w:val="FFFF00"/>
                <w:highlight w:val="red"/>
                <w:lang w:eastAsia="en-US"/>
              </w:rPr>
            </w:pPr>
            <w:r w:rsidRPr="009C0EA0">
              <w:rPr>
                <w:rFonts w:eastAsiaTheme="minorHAnsi"/>
                <w:noProof/>
                <w:lang w:eastAsia="en-US"/>
              </w:rPr>
              <w:t>Nil</w:t>
            </w:r>
          </w:p>
        </w:tc>
        <w:tc>
          <w:tcPr>
            <w:tcW w:w="3027" w:type="dxa"/>
          </w:tcPr>
          <w:p w14:paraId="40176797" w14:textId="676A6FE3" w:rsidR="008E4BCF" w:rsidRPr="009C0EA0" w:rsidRDefault="008E4BCF">
            <w:pPr>
              <w:pStyle w:val="TableTextLeft"/>
              <w:rPr>
                <w:rFonts w:eastAsiaTheme="minorHAnsi"/>
                <w:noProof/>
                <w:lang w:eastAsia="en-US"/>
              </w:rPr>
            </w:pPr>
            <w:r w:rsidRPr="009C0EA0">
              <w:rPr>
                <w:rFonts w:eastAsiaTheme="minorHAnsi"/>
                <w:noProof/>
                <w:lang w:eastAsia="en-US"/>
              </w:rPr>
              <w:t>A Better Deal for Renters will make a tangible impact on the rights of the almost one</w:t>
            </w:r>
            <w:r w:rsidR="0004287B">
              <w:rPr>
                <w:rFonts w:eastAsiaTheme="minorHAnsi"/>
                <w:noProof/>
                <w:lang w:eastAsia="en-US"/>
              </w:rPr>
              <w:noBreakHyphen/>
            </w:r>
            <w:r w:rsidRPr="009C0EA0">
              <w:rPr>
                <w:rFonts w:eastAsiaTheme="minorHAnsi"/>
                <w:noProof/>
                <w:lang w:eastAsia="en-US"/>
              </w:rPr>
              <w:t>third of Australians who rent.</w:t>
            </w:r>
          </w:p>
        </w:tc>
      </w:tr>
      <w:tr w:rsidR="00BE5265" w:rsidRPr="00B35D17" w14:paraId="04D72387" w14:textId="77777777" w:rsidTr="001D1325">
        <w:trPr>
          <w:cantSplit/>
          <w:tblHeader/>
        </w:trPr>
        <w:tc>
          <w:tcPr>
            <w:tcW w:w="2689" w:type="dxa"/>
          </w:tcPr>
          <w:p w14:paraId="14B017B0" w14:textId="14603495" w:rsidR="00BE5265" w:rsidRPr="001F67EA" w:rsidRDefault="00BE5265">
            <w:pPr>
              <w:pStyle w:val="TableTextLeft"/>
              <w:rPr>
                <w:rFonts w:eastAsiaTheme="minorHAnsi"/>
                <w:highlight w:val="darkCyan"/>
                <w:lang w:eastAsia="en-US"/>
              </w:rPr>
            </w:pPr>
            <w:r w:rsidRPr="009C0EA0">
              <w:rPr>
                <w:rFonts w:eastAsiaTheme="minorHAnsi"/>
                <w:lang w:eastAsia="en-US"/>
              </w:rPr>
              <w:t>Build to Rent tax incentives</w:t>
            </w:r>
          </w:p>
        </w:tc>
        <w:tc>
          <w:tcPr>
            <w:tcW w:w="3969" w:type="dxa"/>
          </w:tcPr>
          <w:p w14:paraId="42898019" w14:textId="77777777" w:rsidR="00BE5265" w:rsidRPr="001F67EA" w:rsidRDefault="00BE5265">
            <w:pPr>
              <w:pStyle w:val="TableTextLeft"/>
              <w:rPr>
                <w:rFonts w:eastAsiaTheme="minorHAnsi"/>
                <w:highlight w:val="darkCyan"/>
                <w:lang w:eastAsia="en-US"/>
              </w:rPr>
            </w:pPr>
            <w:r w:rsidRPr="009C0EA0">
              <w:rPr>
                <w:rFonts w:eastAsiaTheme="minorHAnsi"/>
                <w:lang w:eastAsia="en-US"/>
              </w:rPr>
              <w:t>Tax incentives to encourage more Build to Rent developments. Includes halving the managed investment trust withholding tax rate from 30 per cent to 15 per cent and increasing the capital works tax deduction (depreciation) rate from 2.5 to 4 per cent a year for newly constructed Build to Rent properties.</w:t>
            </w:r>
          </w:p>
        </w:tc>
        <w:tc>
          <w:tcPr>
            <w:tcW w:w="1842" w:type="dxa"/>
          </w:tcPr>
          <w:p w14:paraId="30040BA9" w14:textId="0C62B7CA" w:rsidR="00BE5265" w:rsidRPr="001F67EA" w:rsidRDefault="00BE5265">
            <w:pPr>
              <w:pStyle w:val="TableTextLeft"/>
              <w:rPr>
                <w:rFonts w:eastAsiaTheme="minorHAnsi"/>
                <w:highlight w:val="darkCyan"/>
                <w:lang w:eastAsia="en-US"/>
              </w:rPr>
            </w:pPr>
            <w:r w:rsidRPr="009C0EA0">
              <w:rPr>
                <w:rFonts w:eastAsiaTheme="minorHAnsi"/>
                <w:lang w:eastAsia="en-US"/>
              </w:rPr>
              <w:t xml:space="preserve">$34.3 million (over </w:t>
            </w:r>
            <w:r w:rsidR="00D7433D">
              <w:rPr>
                <w:rFonts w:eastAsiaTheme="minorHAnsi"/>
                <w:lang w:eastAsia="en-US"/>
              </w:rPr>
              <w:t>five</w:t>
            </w:r>
            <w:r w:rsidR="00D7433D" w:rsidRPr="009C0EA0">
              <w:rPr>
                <w:rFonts w:eastAsiaTheme="minorHAnsi"/>
                <w:lang w:eastAsia="en-US"/>
              </w:rPr>
              <w:t xml:space="preserve"> </w:t>
            </w:r>
            <w:r w:rsidRPr="009C0EA0">
              <w:rPr>
                <w:rFonts w:eastAsiaTheme="minorHAnsi"/>
                <w:lang w:eastAsia="en-US"/>
              </w:rPr>
              <w:t>years from 202</w:t>
            </w:r>
            <w:r w:rsidR="00EF22EA">
              <w:rPr>
                <w:rFonts w:eastAsiaTheme="minorHAnsi"/>
                <w:lang w:eastAsia="en-US"/>
              </w:rPr>
              <w:t>2</w:t>
            </w:r>
            <w:r w:rsidR="0004287B">
              <w:rPr>
                <w:rFonts w:eastAsiaTheme="minorHAnsi"/>
                <w:lang w:eastAsia="en-US"/>
              </w:rPr>
              <w:noBreakHyphen/>
            </w:r>
            <w:r w:rsidRPr="009C0EA0">
              <w:rPr>
                <w:rFonts w:eastAsiaTheme="minorHAnsi"/>
                <w:lang w:eastAsia="en-US"/>
              </w:rPr>
              <w:t>2</w:t>
            </w:r>
            <w:r w:rsidR="00EF22EA">
              <w:rPr>
                <w:rFonts w:eastAsiaTheme="minorHAnsi"/>
                <w:lang w:eastAsia="en-US"/>
              </w:rPr>
              <w:t>3</w:t>
            </w:r>
            <w:r w:rsidRPr="009C0EA0">
              <w:rPr>
                <w:rFonts w:eastAsiaTheme="minorHAnsi"/>
                <w:lang w:eastAsia="en-US"/>
              </w:rPr>
              <w:t>)</w:t>
            </w:r>
          </w:p>
        </w:tc>
        <w:tc>
          <w:tcPr>
            <w:tcW w:w="3027" w:type="dxa"/>
          </w:tcPr>
          <w:p w14:paraId="26401E4C" w14:textId="5016C3BE" w:rsidR="00BE5265" w:rsidRPr="009C0EA0" w:rsidRDefault="00BE5265">
            <w:pPr>
              <w:pStyle w:val="TableTextLeft"/>
              <w:rPr>
                <w:rFonts w:eastAsiaTheme="minorHAnsi"/>
                <w:lang w:eastAsia="en-US"/>
              </w:rPr>
            </w:pPr>
            <w:r w:rsidRPr="009C0EA0">
              <w:rPr>
                <w:rFonts w:eastAsiaTheme="minorHAnsi"/>
                <w:lang w:eastAsia="en-US"/>
              </w:rPr>
              <w:t>Will incentivise Build to Rent developments to increase the supply of rental housing in Australia. Analysis commissioned by the Property Council of Australia suggests this could unlock 150,000 apartments over the next decade.</w:t>
            </w:r>
          </w:p>
        </w:tc>
      </w:tr>
      <w:tr w:rsidR="00BE5265" w:rsidRPr="00B35D17" w14:paraId="6A207D60" w14:textId="77777777" w:rsidTr="001D1325">
        <w:trPr>
          <w:cantSplit/>
          <w:tblHeader/>
        </w:trPr>
        <w:tc>
          <w:tcPr>
            <w:tcW w:w="2689" w:type="dxa"/>
          </w:tcPr>
          <w:p w14:paraId="4C7AA452" w14:textId="67B97051" w:rsidR="00BE5265" w:rsidRPr="001F67EA" w:rsidRDefault="00BE5265">
            <w:pPr>
              <w:pStyle w:val="TableTextLeft"/>
              <w:rPr>
                <w:rFonts w:eastAsiaTheme="minorHAnsi"/>
                <w:highlight w:val="lightGray"/>
                <w:lang w:eastAsia="en-US"/>
              </w:rPr>
            </w:pPr>
            <w:r w:rsidRPr="009C0EA0">
              <w:rPr>
                <w:rFonts w:eastAsiaTheme="minorHAnsi"/>
                <w:lang w:eastAsia="en-US"/>
              </w:rPr>
              <w:t>Foreign investment in Build to Rent</w:t>
            </w:r>
          </w:p>
        </w:tc>
        <w:tc>
          <w:tcPr>
            <w:tcW w:w="3969" w:type="dxa"/>
          </w:tcPr>
          <w:p w14:paraId="17FEB30F" w14:textId="77777777" w:rsidR="00BE5265" w:rsidRPr="001F67EA" w:rsidRDefault="00BE5265">
            <w:pPr>
              <w:pStyle w:val="TableTextLeft"/>
              <w:rPr>
                <w:rFonts w:eastAsiaTheme="minorHAnsi"/>
                <w:highlight w:val="lightGray"/>
                <w:lang w:eastAsia="en-US"/>
              </w:rPr>
            </w:pPr>
            <w:r w:rsidRPr="009C0EA0">
              <w:rPr>
                <w:rFonts w:eastAsiaTheme="minorHAnsi"/>
                <w:lang w:eastAsia="en-US"/>
              </w:rPr>
              <w:t>The Government has lowered foreign investment application fees for new Build to Rent developments. The Government will also allow foreign investors to purchase established Build to Rent developments and apply lower fees to these applications, conditional on the property continuing to be operated as a Build to Rent development.</w:t>
            </w:r>
          </w:p>
        </w:tc>
        <w:tc>
          <w:tcPr>
            <w:tcW w:w="1842" w:type="dxa"/>
          </w:tcPr>
          <w:p w14:paraId="2128150D" w14:textId="1F0A6E0B" w:rsidR="00BE5265" w:rsidRPr="001F67EA" w:rsidRDefault="00BE5265">
            <w:pPr>
              <w:pStyle w:val="TableTextLeft"/>
              <w:rPr>
                <w:rFonts w:eastAsiaTheme="minorHAnsi"/>
                <w:highlight w:val="lightGray"/>
                <w:lang w:eastAsia="en-US"/>
              </w:rPr>
            </w:pPr>
            <w:r w:rsidRPr="009C0EA0">
              <w:rPr>
                <w:rFonts w:eastAsiaTheme="minorHAnsi"/>
                <w:lang w:eastAsia="en-US"/>
              </w:rPr>
              <w:t>Nil</w:t>
            </w:r>
          </w:p>
        </w:tc>
        <w:tc>
          <w:tcPr>
            <w:tcW w:w="3027" w:type="dxa"/>
          </w:tcPr>
          <w:p w14:paraId="19BC5BF5" w14:textId="5C4F4290" w:rsidR="00BE5265" w:rsidRPr="009C0EA0" w:rsidRDefault="00BE5265">
            <w:pPr>
              <w:pStyle w:val="TableTextLeft"/>
              <w:rPr>
                <w:rFonts w:eastAsiaTheme="minorHAnsi"/>
                <w:lang w:eastAsia="en-US"/>
              </w:rPr>
            </w:pPr>
            <w:r w:rsidRPr="009C0EA0">
              <w:rPr>
                <w:rFonts w:eastAsiaTheme="minorHAnsi"/>
                <w:lang w:eastAsia="en-US"/>
              </w:rPr>
              <w:t xml:space="preserve">Additional foreign investment in </w:t>
            </w:r>
            <w:r w:rsidR="00BD5BFA" w:rsidRPr="009C0EA0">
              <w:rPr>
                <w:rFonts w:eastAsiaTheme="minorHAnsi"/>
                <w:lang w:eastAsia="en-US"/>
              </w:rPr>
              <w:t>Build to Rent</w:t>
            </w:r>
            <w:r w:rsidRPr="009C0EA0">
              <w:rPr>
                <w:rFonts w:eastAsiaTheme="minorHAnsi"/>
                <w:lang w:eastAsia="en-US"/>
              </w:rPr>
              <w:t xml:space="preserve"> developments will encourage the construction of Build to Rent developments.</w:t>
            </w:r>
          </w:p>
        </w:tc>
      </w:tr>
    </w:tbl>
    <w:p w14:paraId="01A0986F" w14:textId="77777777" w:rsidR="00921822" w:rsidRDefault="00921822"/>
    <w:tbl>
      <w:tblPr>
        <w:tblStyle w:val="TableGrid1"/>
        <w:tblW w:w="0" w:type="auto"/>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689"/>
        <w:gridCol w:w="3969"/>
        <w:gridCol w:w="1842"/>
        <w:gridCol w:w="3027"/>
      </w:tblGrid>
      <w:tr w:rsidR="00921822" w:rsidRPr="00D33D22" w14:paraId="526FF74C" w14:textId="77777777">
        <w:trPr>
          <w:cantSplit/>
          <w:tblHeader/>
        </w:trPr>
        <w:tc>
          <w:tcPr>
            <w:tcW w:w="2689" w:type="dxa"/>
            <w:vAlign w:val="center"/>
          </w:tcPr>
          <w:p w14:paraId="4A9C672D" w14:textId="77777777" w:rsidR="00921822" w:rsidRPr="001E5EA8" w:rsidRDefault="00921822">
            <w:pPr>
              <w:pStyle w:val="TableColumnHeadingLeft"/>
              <w:rPr>
                <w:rFonts w:eastAsiaTheme="minorHAnsi"/>
              </w:rPr>
            </w:pPr>
            <w:r w:rsidRPr="001E5EA8">
              <w:rPr>
                <w:rFonts w:eastAsiaTheme="minorHAnsi"/>
              </w:rPr>
              <w:lastRenderedPageBreak/>
              <w:t>Measure</w:t>
            </w:r>
          </w:p>
        </w:tc>
        <w:tc>
          <w:tcPr>
            <w:tcW w:w="3969" w:type="dxa"/>
            <w:vAlign w:val="center"/>
          </w:tcPr>
          <w:p w14:paraId="6D2F0788" w14:textId="77777777" w:rsidR="00921822" w:rsidRPr="00D33D22" w:rsidRDefault="00921822">
            <w:pPr>
              <w:pStyle w:val="TableColumnHeadingLeft"/>
              <w:rPr>
                <w:rFonts w:eastAsiaTheme="minorHAnsi"/>
              </w:rPr>
            </w:pPr>
            <w:r w:rsidRPr="00D33D22">
              <w:rPr>
                <w:rFonts w:eastAsiaTheme="minorHAnsi"/>
              </w:rPr>
              <w:t>Description</w:t>
            </w:r>
          </w:p>
        </w:tc>
        <w:tc>
          <w:tcPr>
            <w:tcW w:w="1842" w:type="dxa"/>
            <w:vAlign w:val="center"/>
          </w:tcPr>
          <w:p w14:paraId="4040D29C" w14:textId="2A445FEA" w:rsidR="00921822" w:rsidRPr="00D33D22" w:rsidRDefault="002A2990">
            <w:pPr>
              <w:pStyle w:val="TableColumnHeadingLeft"/>
              <w:rPr>
                <w:rFonts w:eastAsiaTheme="minorHAnsi"/>
              </w:rPr>
            </w:pPr>
            <w:r>
              <w:rPr>
                <w:rFonts w:eastAsiaTheme="minorHAnsi"/>
              </w:rPr>
              <w:t>New Commitments</w:t>
            </w:r>
          </w:p>
        </w:tc>
        <w:tc>
          <w:tcPr>
            <w:tcW w:w="3027" w:type="dxa"/>
            <w:vAlign w:val="center"/>
          </w:tcPr>
          <w:p w14:paraId="11DC7B39" w14:textId="77777777" w:rsidR="00921822" w:rsidRPr="00D33D22" w:rsidRDefault="00921822">
            <w:pPr>
              <w:pStyle w:val="TableColumnHeadingLeft"/>
              <w:rPr>
                <w:rFonts w:eastAsiaTheme="minorHAnsi"/>
              </w:rPr>
            </w:pPr>
            <w:r w:rsidRPr="00D33D22">
              <w:rPr>
                <w:rFonts w:eastAsiaTheme="minorHAnsi"/>
              </w:rPr>
              <w:t>Impact</w:t>
            </w:r>
          </w:p>
        </w:tc>
      </w:tr>
      <w:tr w:rsidR="00BE5265" w:rsidRPr="00B35D17" w14:paraId="13163FC4" w14:textId="77777777" w:rsidTr="001D1325">
        <w:trPr>
          <w:cantSplit/>
          <w:tblHeader/>
        </w:trPr>
        <w:tc>
          <w:tcPr>
            <w:tcW w:w="0" w:type="auto"/>
            <w:gridSpan w:val="4"/>
          </w:tcPr>
          <w:p w14:paraId="7B76AEA1" w14:textId="5E77CB8B" w:rsidR="00BE5265" w:rsidRPr="001E5EA8" w:rsidRDefault="00BE5265">
            <w:pPr>
              <w:pStyle w:val="TableColumnHeadingLeft"/>
              <w:rPr>
                <w:rFonts w:eastAsiaTheme="minorHAnsi"/>
                <w:noProof/>
                <w:lang w:eastAsia="en-US"/>
              </w:rPr>
            </w:pPr>
            <w:r w:rsidRPr="001E5EA8">
              <w:rPr>
                <w:rFonts w:eastAsiaTheme="minorHAnsi"/>
                <w:noProof/>
                <w:lang w:eastAsia="en-US"/>
              </w:rPr>
              <w:t>Helping low</w:t>
            </w:r>
            <w:r w:rsidR="0004287B">
              <w:rPr>
                <w:rFonts w:eastAsiaTheme="minorHAnsi"/>
                <w:noProof/>
                <w:lang w:eastAsia="en-US"/>
              </w:rPr>
              <w:noBreakHyphen/>
            </w:r>
            <w:r w:rsidRPr="001E5EA8">
              <w:rPr>
                <w:rFonts w:eastAsiaTheme="minorHAnsi"/>
                <w:noProof/>
                <w:lang w:eastAsia="en-US"/>
              </w:rPr>
              <w:t xml:space="preserve"> and middle</w:t>
            </w:r>
            <w:r w:rsidR="0004287B">
              <w:rPr>
                <w:rFonts w:eastAsiaTheme="minorHAnsi"/>
                <w:noProof/>
                <w:lang w:eastAsia="en-US"/>
              </w:rPr>
              <w:noBreakHyphen/>
            </w:r>
            <w:r w:rsidRPr="001E5EA8">
              <w:rPr>
                <w:rFonts w:eastAsiaTheme="minorHAnsi"/>
                <w:noProof/>
                <w:lang w:eastAsia="en-US"/>
              </w:rPr>
              <w:t>income Australians into home ownership</w:t>
            </w:r>
          </w:p>
        </w:tc>
      </w:tr>
      <w:tr w:rsidR="00BE5265" w:rsidRPr="00B35D17" w14:paraId="4A6710DE" w14:textId="77777777" w:rsidTr="001D1325">
        <w:trPr>
          <w:cantSplit/>
          <w:tblHeader/>
        </w:trPr>
        <w:tc>
          <w:tcPr>
            <w:tcW w:w="2689" w:type="dxa"/>
          </w:tcPr>
          <w:p w14:paraId="5798FD9F" w14:textId="4046198E" w:rsidR="00BE5265" w:rsidRPr="001F67EA" w:rsidRDefault="00BE5265">
            <w:pPr>
              <w:pStyle w:val="TableTextLeft"/>
              <w:rPr>
                <w:rFonts w:eastAsiaTheme="minorHAnsi"/>
                <w:highlight w:val="darkGray"/>
                <w:lang w:eastAsia="en-US"/>
              </w:rPr>
            </w:pPr>
            <w:r w:rsidRPr="009C0EA0">
              <w:rPr>
                <w:rFonts w:eastAsiaTheme="minorHAnsi"/>
                <w:lang w:eastAsia="en-US"/>
              </w:rPr>
              <w:t>Help to Buy</w:t>
            </w:r>
          </w:p>
        </w:tc>
        <w:tc>
          <w:tcPr>
            <w:tcW w:w="3969" w:type="dxa"/>
          </w:tcPr>
          <w:p w14:paraId="2346982D" w14:textId="77777777" w:rsidR="00BE5265" w:rsidRPr="001F67EA" w:rsidRDefault="00BE5265">
            <w:pPr>
              <w:pStyle w:val="TableTextLeft"/>
              <w:rPr>
                <w:rFonts w:eastAsiaTheme="minorHAnsi"/>
                <w:highlight w:val="darkGray"/>
                <w:lang w:eastAsia="en-US"/>
              </w:rPr>
            </w:pPr>
            <w:r w:rsidRPr="009C0EA0">
              <w:rPr>
                <w:rFonts w:eastAsiaTheme="minorHAnsi"/>
                <w:lang w:eastAsia="en-US"/>
              </w:rPr>
              <w:t>Help to Buy will assist people on low to moderate incomes to purchase a home with an equity contribution from the Government of up to 40% for new homes and 30% for existing homes.</w:t>
            </w:r>
          </w:p>
        </w:tc>
        <w:tc>
          <w:tcPr>
            <w:tcW w:w="1842" w:type="dxa"/>
          </w:tcPr>
          <w:p w14:paraId="6648C0E6" w14:textId="08CC65C5" w:rsidR="00BE5265" w:rsidRPr="001F67EA" w:rsidRDefault="00BE5265">
            <w:pPr>
              <w:pStyle w:val="TableTextLeft"/>
              <w:rPr>
                <w:rFonts w:eastAsiaTheme="minorHAnsi"/>
                <w:highlight w:val="darkGray"/>
                <w:lang w:eastAsia="en-US"/>
              </w:rPr>
            </w:pPr>
            <w:r w:rsidRPr="009C0EA0">
              <w:rPr>
                <w:rFonts w:eastAsiaTheme="minorHAnsi"/>
                <w:lang w:eastAsia="en-US"/>
              </w:rPr>
              <w:t>$5.5 billion (from 2024</w:t>
            </w:r>
            <w:r w:rsidR="0004287B">
              <w:rPr>
                <w:rFonts w:eastAsiaTheme="minorHAnsi"/>
                <w:lang w:eastAsia="en-US"/>
              </w:rPr>
              <w:noBreakHyphen/>
            </w:r>
            <w:r w:rsidRPr="009C0EA0">
              <w:rPr>
                <w:rFonts w:eastAsiaTheme="minorHAnsi"/>
                <w:lang w:eastAsia="en-US"/>
              </w:rPr>
              <w:t>25)</w:t>
            </w:r>
          </w:p>
        </w:tc>
        <w:tc>
          <w:tcPr>
            <w:tcW w:w="3027" w:type="dxa"/>
          </w:tcPr>
          <w:p w14:paraId="101D2D7F" w14:textId="1A08021F" w:rsidR="00BE5265" w:rsidRPr="009C0EA0" w:rsidRDefault="00BE5265">
            <w:pPr>
              <w:pStyle w:val="TableTextLeft"/>
              <w:rPr>
                <w:rFonts w:eastAsiaTheme="minorHAnsi"/>
                <w:lang w:eastAsia="en-US"/>
              </w:rPr>
            </w:pPr>
            <w:r w:rsidRPr="009C0EA0">
              <w:rPr>
                <w:rFonts w:eastAsiaTheme="minorHAnsi"/>
                <w:lang w:eastAsia="en-US"/>
              </w:rPr>
              <w:t>Will assist up to 40,000 Australian households to purchase a home.</w:t>
            </w:r>
          </w:p>
        </w:tc>
      </w:tr>
      <w:tr w:rsidR="00BE5265" w:rsidRPr="00B35D17" w14:paraId="1BF0AEEC" w14:textId="77777777" w:rsidTr="001D1325">
        <w:trPr>
          <w:cantSplit/>
          <w:tblHeader/>
        </w:trPr>
        <w:tc>
          <w:tcPr>
            <w:tcW w:w="2689" w:type="dxa"/>
          </w:tcPr>
          <w:p w14:paraId="6EFEE32C" w14:textId="3C4E11A7" w:rsidR="00BE5265" w:rsidRPr="001F67EA" w:rsidRDefault="00BE5265">
            <w:pPr>
              <w:pStyle w:val="TableTextLeft"/>
              <w:rPr>
                <w:rFonts w:eastAsiaTheme="minorHAnsi"/>
                <w:highlight w:val="darkCyan"/>
                <w:lang w:eastAsia="en-US"/>
              </w:rPr>
            </w:pPr>
            <w:r w:rsidRPr="009C0EA0">
              <w:rPr>
                <w:rFonts w:eastAsiaTheme="minorHAnsi"/>
                <w:lang w:eastAsia="en-US"/>
              </w:rPr>
              <w:t>Home Guarantee Scheme</w:t>
            </w:r>
          </w:p>
        </w:tc>
        <w:tc>
          <w:tcPr>
            <w:tcW w:w="3969" w:type="dxa"/>
          </w:tcPr>
          <w:p w14:paraId="435DF69C" w14:textId="2427ED3C" w:rsidR="00BE5265" w:rsidRPr="001F67EA" w:rsidRDefault="00BE5265">
            <w:pPr>
              <w:pStyle w:val="TableTextLeft"/>
              <w:rPr>
                <w:rFonts w:eastAsiaTheme="minorHAnsi"/>
                <w:highlight w:val="darkCyan"/>
                <w:lang w:eastAsia="en-US"/>
              </w:rPr>
            </w:pPr>
            <w:r w:rsidRPr="009C0EA0">
              <w:rPr>
                <w:rFonts w:eastAsiaTheme="minorHAnsi"/>
                <w:lang w:eastAsia="en-US"/>
              </w:rPr>
              <w:t>As part of the Home Guarantee Scheme, the Government has introduced the Regional First Home Buyer Guarantee and broa</w:t>
            </w:r>
            <w:r w:rsidR="009F6979" w:rsidRPr="009C0EA0">
              <w:rPr>
                <w:rFonts w:eastAsiaTheme="minorHAnsi"/>
                <w:lang w:eastAsia="en-US"/>
              </w:rPr>
              <w:t>dened</w:t>
            </w:r>
            <w:r w:rsidRPr="009C0EA0">
              <w:rPr>
                <w:rFonts w:eastAsiaTheme="minorHAnsi"/>
                <w:lang w:eastAsia="en-US"/>
              </w:rPr>
              <w:t xml:space="preserve"> eligibility crite</w:t>
            </w:r>
            <w:r w:rsidR="00791126" w:rsidRPr="009C0EA0">
              <w:rPr>
                <w:rFonts w:eastAsiaTheme="minorHAnsi"/>
                <w:lang w:eastAsia="en-US"/>
              </w:rPr>
              <w:t>r</w:t>
            </w:r>
            <w:r w:rsidRPr="009C0EA0">
              <w:rPr>
                <w:rFonts w:eastAsiaTheme="minorHAnsi"/>
                <w:lang w:eastAsia="en-US"/>
              </w:rPr>
              <w:t>ia to support eligible citizens and permanent residents to purchase their first home, or their first property in Australia for at least ten years.</w:t>
            </w:r>
          </w:p>
        </w:tc>
        <w:tc>
          <w:tcPr>
            <w:tcW w:w="1842" w:type="dxa"/>
          </w:tcPr>
          <w:p w14:paraId="06CAA09B" w14:textId="77777777" w:rsidR="00BE5265" w:rsidRPr="001F67EA" w:rsidRDefault="00BE5265">
            <w:pPr>
              <w:pStyle w:val="TableTextLeft"/>
              <w:rPr>
                <w:rFonts w:eastAsiaTheme="minorHAnsi"/>
                <w:highlight w:val="darkCyan"/>
                <w:lang w:eastAsia="en-US"/>
              </w:rPr>
            </w:pPr>
            <w:r w:rsidRPr="009C0EA0">
              <w:rPr>
                <w:rFonts w:eastAsiaTheme="minorHAnsi"/>
                <w:lang w:eastAsia="en-US"/>
              </w:rPr>
              <w:t>Nil</w:t>
            </w:r>
          </w:p>
        </w:tc>
        <w:tc>
          <w:tcPr>
            <w:tcW w:w="3027" w:type="dxa"/>
          </w:tcPr>
          <w:p w14:paraId="26801D4C" w14:textId="7009A00D" w:rsidR="00BE5265" w:rsidRPr="009C0EA0" w:rsidRDefault="00BE5265">
            <w:pPr>
              <w:pStyle w:val="TableTextLeft"/>
              <w:rPr>
                <w:rFonts w:eastAsiaTheme="minorHAnsi"/>
                <w:lang w:eastAsia="en-US"/>
              </w:rPr>
            </w:pPr>
            <w:r w:rsidRPr="009C0EA0">
              <w:rPr>
                <w:rFonts w:eastAsiaTheme="minorHAnsi"/>
                <w:lang w:eastAsia="en-US"/>
              </w:rPr>
              <w:t>The Home Guarantee scheme is improving affordability of home ownership for up to 50,000 Australian households each year.</w:t>
            </w:r>
          </w:p>
        </w:tc>
      </w:tr>
      <w:tr w:rsidR="00BE5265" w:rsidRPr="00B35D17" w14:paraId="14D26280" w14:textId="77777777" w:rsidTr="001D1325">
        <w:trPr>
          <w:cantSplit/>
          <w:tblHeader/>
        </w:trPr>
        <w:tc>
          <w:tcPr>
            <w:tcW w:w="0" w:type="auto"/>
            <w:gridSpan w:val="4"/>
          </w:tcPr>
          <w:p w14:paraId="7B73640E" w14:textId="77777777" w:rsidR="00BE5265" w:rsidRPr="001E5EA8" w:rsidRDefault="00BE5265">
            <w:pPr>
              <w:pStyle w:val="TableColumnHeadingLeft"/>
              <w:rPr>
                <w:rFonts w:eastAsiaTheme="minorHAnsi"/>
                <w:noProof/>
                <w:lang w:eastAsia="en-US"/>
              </w:rPr>
            </w:pPr>
            <w:r w:rsidRPr="001E5EA8">
              <w:rPr>
                <w:rFonts w:eastAsiaTheme="minorHAnsi"/>
                <w:noProof/>
                <w:lang w:eastAsia="en-US"/>
              </w:rPr>
              <w:t>Double dedicated homelessness funding and provide shelter for people in crisis</w:t>
            </w:r>
          </w:p>
        </w:tc>
      </w:tr>
      <w:tr w:rsidR="00BE5265" w:rsidRPr="00B35D17" w14:paraId="437CC5E8" w14:textId="77777777" w:rsidTr="001D1325">
        <w:trPr>
          <w:cantSplit/>
          <w:tblHeader/>
        </w:trPr>
        <w:tc>
          <w:tcPr>
            <w:tcW w:w="2689" w:type="dxa"/>
          </w:tcPr>
          <w:p w14:paraId="66199440" w14:textId="3B70C385"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 xml:space="preserve">National </w:t>
            </w:r>
            <w:r w:rsidRPr="009C0EA0">
              <w:rPr>
                <w:rFonts w:eastAsiaTheme="minorHAnsi"/>
              </w:rPr>
              <w:t>Agreement</w:t>
            </w:r>
            <w:r w:rsidRPr="009C0EA0">
              <w:rPr>
                <w:rFonts w:eastAsiaTheme="minorHAnsi"/>
                <w:noProof/>
                <w:lang w:eastAsia="en-US"/>
              </w:rPr>
              <w:t xml:space="preserve"> on Social Housing and Homelessness* </w:t>
            </w:r>
          </w:p>
        </w:tc>
        <w:tc>
          <w:tcPr>
            <w:tcW w:w="3969" w:type="dxa"/>
          </w:tcPr>
          <w:p w14:paraId="7E594D96" w14:textId="77777777"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Under the new National Agreement on Social Housing and Homelessness, the states and territories will receive $9.3 billion over five years. The new agreement provides $423.1 million in additional funding.</w:t>
            </w:r>
          </w:p>
        </w:tc>
        <w:tc>
          <w:tcPr>
            <w:tcW w:w="1842" w:type="dxa"/>
          </w:tcPr>
          <w:p w14:paraId="43027ABD" w14:textId="692C4B0D" w:rsidR="00BE5265" w:rsidRPr="009C0EA0" w:rsidRDefault="00BE5265">
            <w:pPr>
              <w:pStyle w:val="TableTextLeft"/>
              <w:rPr>
                <w:rFonts w:eastAsiaTheme="minorHAnsi"/>
                <w:noProof/>
                <w:lang w:eastAsia="en-US"/>
              </w:rPr>
            </w:pPr>
            <w:r w:rsidRPr="009C0EA0">
              <w:rPr>
                <w:rFonts w:eastAsiaTheme="minorHAnsi"/>
                <w:noProof/>
                <w:lang w:eastAsia="en-US"/>
              </w:rPr>
              <w:t>$423.1 million (over five years from 2024</w:t>
            </w:r>
            <w:r w:rsidR="0004287B">
              <w:rPr>
                <w:rFonts w:eastAsiaTheme="minorHAnsi"/>
                <w:noProof/>
                <w:lang w:eastAsia="en-US"/>
              </w:rPr>
              <w:noBreakHyphen/>
            </w:r>
            <w:r w:rsidRPr="009C0EA0">
              <w:rPr>
                <w:rFonts w:eastAsiaTheme="minorHAnsi"/>
                <w:noProof/>
                <w:lang w:eastAsia="en-US"/>
              </w:rPr>
              <w:t xml:space="preserve">25) in additional funding. </w:t>
            </w:r>
          </w:p>
          <w:p w14:paraId="512B7941" w14:textId="77777777" w:rsidR="00BE5265" w:rsidRPr="009C0EA0" w:rsidRDefault="00BE5265">
            <w:pPr>
              <w:pStyle w:val="TableTextLeft"/>
              <w:rPr>
                <w:rFonts w:eastAsiaTheme="minorHAnsi"/>
                <w:noProof/>
                <w:lang w:eastAsia="en-US"/>
              </w:rPr>
            </w:pPr>
          </w:p>
          <w:p w14:paraId="0BD78F3A" w14:textId="62D2CCBA"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Total funding of $9.3 billion over five years from 2024</w:t>
            </w:r>
            <w:r w:rsidR="0004287B">
              <w:rPr>
                <w:rFonts w:eastAsiaTheme="minorHAnsi"/>
                <w:noProof/>
                <w:lang w:eastAsia="en-US"/>
              </w:rPr>
              <w:noBreakHyphen/>
            </w:r>
            <w:r w:rsidRPr="009C0EA0">
              <w:rPr>
                <w:rFonts w:eastAsiaTheme="minorHAnsi"/>
                <w:noProof/>
                <w:lang w:eastAsia="en-US"/>
              </w:rPr>
              <w:t>25</w:t>
            </w:r>
          </w:p>
        </w:tc>
        <w:tc>
          <w:tcPr>
            <w:tcW w:w="3027" w:type="dxa"/>
          </w:tcPr>
          <w:p w14:paraId="679E6B06" w14:textId="71FA3D9D" w:rsidR="00BE5265" w:rsidRPr="009C0EA0" w:rsidRDefault="00BE5265">
            <w:pPr>
              <w:pStyle w:val="TableTextLeft"/>
              <w:rPr>
                <w:rFonts w:eastAsiaTheme="minorHAnsi"/>
                <w:noProof/>
                <w:lang w:eastAsia="en-US"/>
              </w:rPr>
            </w:pPr>
            <w:r w:rsidRPr="009C0EA0">
              <w:rPr>
                <w:rFonts w:eastAsiaTheme="minorHAnsi"/>
                <w:noProof/>
                <w:lang w:eastAsia="en-US"/>
              </w:rPr>
              <w:t>The new agreement is outcomes</w:t>
            </w:r>
            <w:r w:rsidR="0004287B">
              <w:rPr>
                <w:rFonts w:eastAsiaTheme="minorHAnsi"/>
                <w:noProof/>
                <w:lang w:eastAsia="en-US"/>
              </w:rPr>
              <w:noBreakHyphen/>
            </w:r>
            <w:r w:rsidRPr="009C0EA0">
              <w:rPr>
                <w:rFonts w:eastAsiaTheme="minorHAnsi"/>
                <w:noProof/>
                <w:lang w:eastAsia="en-US"/>
              </w:rPr>
              <w:t>focused and will enhance support for social housing and homelessness services, in conjunction with other investments by both Commonwealth and state governments.</w:t>
            </w:r>
          </w:p>
        </w:tc>
      </w:tr>
      <w:tr w:rsidR="00BE5265" w:rsidRPr="00B35D17" w14:paraId="24DD3B67" w14:textId="77777777" w:rsidTr="001D1325">
        <w:trPr>
          <w:cantSplit/>
          <w:tblHeader/>
        </w:trPr>
        <w:tc>
          <w:tcPr>
            <w:tcW w:w="2689" w:type="dxa"/>
          </w:tcPr>
          <w:p w14:paraId="24C1315F" w14:textId="02869355" w:rsidR="00BE5265" w:rsidRPr="001F67EA" w:rsidRDefault="00BE5265">
            <w:pPr>
              <w:pStyle w:val="TableTextLeft"/>
              <w:rPr>
                <w:rFonts w:eastAsiaTheme="minorHAnsi"/>
                <w:highlight w:val="darkCyan"/>
                <w:lang w:eastAsia="en-US"/>
              </w:rPr>
            </w:pPr>
            <w:r w:rsidRPr="009C0EA0">
              <w:rPr>
                <w:rFonts w:eastAsiaTheme="minorHAnsi"/>
                <w:lang w:eastAsia="en-US"/>
              </w:rPr>
              <w:t>National Housing Infrastructure Facility (NHIF)*</w:t>
            </w:r>
          </w:p>
        </w:tc>
        <w:tc>
          <w:tcPr>
            <w:tcW w:w="3969" w:type="dxa"/>
          </w:tcPr>
          <w:p w14:paraId="228FC60E" w14:textId="77777777" w:rsidR="00BE5265" w:rsidRPr="001F67EA" w:rsidRDefault="00BE5265">
            <w:pPr>
              <w:pStyle w:val="TableTextLeft"/>
              <w:rPr>
                <w:rFonts w:eastAsiaTheme="minorHAnsi"/>
                <w:highlight w:val="darkCyan"/>
                <w:lang w:eastAsia="en-US"/>
              </w:rPr>
            </w:pPr>
            <w:r w:rsidRPr="009C0EA0">
              <w:rPr>
                <w:rFonts w:eastAsiaTheme="minorHAnsi"/>
                <w:lang w:eastAsia="en-US"/>
              </w:rPr>
              <w:t>Since November 2022, the NHIF can support new social or affordable housing projects. In September 2023, the Government committed an additional $1 billion in federal funding which will support housing for women and children experiencing domestic violence and youths.</w:t>
            </w:r>
          </w:p>
        </w:tc>
        <w:tc>
          <w:tcPr>
            <w:tcW w:w="1842" w:type="dxa"/>
          </w:tcPr>
          <w:p w14:paraId="00ADD7F0" w14:textId="213019C5" w:rsidR="00BE5265" w:rsidRPr="009C0EA0" w:rsidRDefault="00BE5265">
            <w:pPr>
              <w:pStyle w:val="TableTextLeft"/>
              <w:rPr>
                <w:rFonts w:eastAsiaTheme="minorHAnsi"/>
                <w:lang w:eastAsia="en-US"/>
              </w:rPr>
            </w:pPr>
            <w:r w:rsidRPr="009C0EA0">
              <w:rPr>
                <w:rFonts w:eastAsiaTheme="minorHAnsi"/>
                <w:lang w:eastAsia="en-US"/>
              </w:rPr>
              <w:t>$1 billion (from 2023</w:t>
            </w:r>
            <w:r w:rsidR="0004287B">
              <w:rPr>
                <w:rFonts w:eastAsiaTheme="minorHAnsi"/>
                <w:lang w:eastAsia="en-US"/>
              </w:rPr>
              <w:noBreakHyphen/>
            </w:r>
            <w:r w:rsidRPr="009C0EA0">
              <w:rPr>
                <w:rFonts w:eastAsiaTheme="minorHAnsi"/>
                <w:lang w:eastAsia="en-US"/>
              </w:rPr>
              <w:t>24)</w:t>
            </w:r>
          </w:p>
          <w:p w14:paraId="2841C54A" w14:textId="77777777" w:rsidR="00BE5265" w:rsidRPr="001F67EA" w:rsidRDefault="00BE5265">
            <w:pPr>
              <w:pStyle w:val="TableTextLeft"/>
              <w:rPr>
                <w:rFonts w:eastAsiaTheme="minorHAnsi"/>
                <w:highlight w:val="darkCyan"/>
                <w:lang w:eastAsia="en-US"/>
              </w:rPr>
            </w:pPr>
          </w:p>
        </w:tc>
        <w:tc>
          <w:tcPr>
            <w:tcW w:w="3027" w:type="dxa"/>
          </w:tcPr>
          <w:p w14:paraId="7E3A7D13" w14:textId="1F47048F" w:rsidR="00BE5265" w:rsidRPr="009C0EA0" w:rsidRDefault="00BE5265">
            <w:pPr>
              <w:pStyle w:val="TableTextLeft"/>
              <w:rPr>
                <w:rFonts w:eastAsiaTheme="minorHAnsi"/>
                <w:lang w:eastAsia="en-US"/>
              </w:rPr>
            </w:pPr>
            <w:r w:rsidRPr="009C0EA0">
              <w:rPr>
                <w:rFonts w:eastAsiaTheme="minorHAnsi"/>
                <w:lang w:eastAsia="en-US"/>
              </w:rPr>
              <w:t xml:space="preserve">Expanding the role of the NHIF will support the supply of new affordable and social homes. The additional $1 billion will support additional housing for housing for women and children </w:t>
            </w:r>
            <w:r w:rsidR="00791911" w:rsidRPr="009C0EA0">
              <w:rPr>
                <w:rFonts w:eastAsiaTheme="minorHAnsi"/>
                <w:lang w:eastAsia="en-US"/>
              </w:rPr>
              <w:t>leaving</w:t>
            </w:r>
            <w:r w:rsidRPr="009C0EA0">
              <w:rPr>
                <w:rFonts w:eastAsiaTheme="minorHAnsi"/>
                <w:lang w:eastAsia="en-US"/>
              </w:rPr>
              <w:t xml:space="preserve"> domestic viole</w:t>
            </w:r>
            <w:r w:rsidR="00791911" w:rsidRPr="009C0EA0">
              <w:rPr>
                <w:rFonts w:eastAsiaTheme="minorHAnsi"/>
                <w:lang w:eastAsia="en-US"/>
              </w:rPr>
              <w:t>n</w:t>
            </w:r>
            <w:r w:rsidRPr="009C0EA0">
              <w:rPr>
                <w:rFonts w:eastAsiaTheme="minorHAnsi"/>
                <w:lang w:eastAsia="en-US"/>
              </w:rPr>
              <w:t>ce</w:t>
            </w:r>
            <w:r w:rsidR="008C0382" w:rsidRPr="009C0EA0">
              <w:rPr>
                <w:rFonts w:eastAsiaTheme="minorHAnsi"/>
                <w:lang w:eastAsia="en-US"/>
              </w:rPr>
              <w:t>;</w:t>
            </w:r>
            <w:r w:rsidRPr="009C0EA0">
              <w:rPr>
                <w:rFonts w:eastAsiaTheme="minorHAnsi"/>
                <w:lang w:eastAsia="en-US"/>
              </w:rPr>
              <w:t xml:space="preserve"> and youth.</w:t>
            </w:r>
          </w:p>
        </w:tc>
      </w:tr>
    </w:tbl>
    <w:p w14:paraId="2AB6781C" w14:textId="77777777" w:rsidR="003B3241" w:rsidRDefault="003B3241"/>
    <w:tbl>
      <w:tblPr>
        <w:tblStyle w:val="TableGrid1"/>
        <w:tblW w:w="0" w:type="auto"/>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2689"/>
        <w:gridCol w:w="3969"/>
        <w:gridCol w:w="1842"/>
        <w:gridCol w:w="3027"/>
      </w:tblGrid>
      <w:tr w:rsidR="003B3241" w:rsidRPr="00D33D22" w14:paraId="3A6CECC1" w14:textId="77777777">
        <w:trPr>
          <w:cantSplit/>
          <w:tblHeader/>
        </w:trPr>
        <w:tc>
          <w:tcPr>
            <w:tcW w:w="2689" w:type="dxa"/>
            <w:vAlign w:val="center"/>
          </w:tcPr>
          <w:p w14:paraId="59DC2EC6" w14:textId="77777777" w:rsidR="003B3241" w:rsidRPr="001E5EA8" w:rsidRDefault="003B3241">
            <w:pPr>
              <w:pStyle w:val="TableColumnHeadingLeft"/>
              <w:rPr>
                <w:rFonts w:eastAsiaTheme="minorHAnsi"/>
              </w:rPr>
            </w:pPr>
            <w:r w:rsidRPr="001E5EA8">
              <w:rPr>
                <w:rFonts w:eastAsiaTheme="minorHAnsi"/>
              </w:rPr>
              <w:lastRenderedPageBreak/>
              <w:t>Measure</w:t>
            </w:r>
          </w:p>
        </w:tc>
        <w:tc>
          <w:tcPr>
            <w:tcW w:w="3969" w:type="dxa"/>
            <w:vAlign w:val="center"/>
          </w:tcPr>
          <w:p w14:paraId="6EFB4CED" w14:textId="77777777" w:rsidR="003B3241" w:rsidRPr="00D33D22" w:rsidRDefault="003B3241">
            <w:pPr>
              <w:pStyle w:val="TableColumnHeadingLeft"/>
              <w:rPr>
                <w:rFonts w:eastAsiaTheme="minorHAnsi"/>
              </w:rPr>
            </w:pPr>
            <w:r w:rsidRPr="00D33D22">
              <w:rPr>
                <w:rFonts w:eastAsiaTheme="minorHAnsi"/>
              </w:rPr>
              <w:t>Description</w:t>
            </w:r>
          </w:p>
        </w:tc>
        <w:tc>
          <w:tcPr>
            <w:tcW w:w="1842" w:type="dxa"/>
            <w:vAlign w:val="center"/>
          </w:tcPr>
          <w:p w14:paraId="39C308A0" w14:textId="1C206BFA" w:rsidR="003B3241" w:rsidRPr="00D33D22" w:rsidRDefault="002A2990">
            <w:pPr>
              <w:pStyle w:val="TableColumnHeadingLeft"/>
              <w:rPr>
                <w:rFonts w:eastAsiaTheme="minorHAnsi"/>
              </w:rPr>
            </w:pPr>
            <w:r>
              <w:rPr>
                <w:rFonts w:eastAsiaTheme="minorHAnsi"/>
              </w:rPr>
              <w:t>New Commitments</w:t>
            </w:r>
          </w:p>
        </w:tc>
        <w:tc>
          <w:tcPr>
            <w:tcW w:w="3027" w:type="dxa"/>
            <w:vAlign w:val="center"/>
          </w:tcPr>
          <w:p w14:paraId="0A2EA497" w14:textId="77777777" w:rsidR="003B3241" w:rsidRPr="00D33D22" w:rsidRDefault="003B3241">
            <w:pPr>
              <w:pStyle w:val="TableColumnHeadingLeft"/>
              <w:rPr>
                <w:rFonts w:eastAsiaTheme="minorHAnsi"/>
              </w:rPr>
            </w:pPr>
            <w:r w:rsidRPr="00D33D22">
              <w:rPr>
                <w:rFonts w:eastAsiaTheme="minorHAnsi"/>
              </w:rPr>
              <w:t>Impact</w:t>
            </w:r>
          </w:p>
        </w:tc>
      </w:tr>
      <w:tr w:rsidR="00BE5265" w:rsidRPr="00B35D17" w14:paraId="6CE3CDCB" w14:textId="77777777" w:rsidTr="001D1325">
        <w:trPr>
          <w:cantSplit/>
          <w:tblHeader/>
        </w:trPr>
        <w:tc>
          <w:tcPr>
            <w:tcW w:w="0" w:type="auto"/>
            <w:gridSpan w:val="4"/>
          </w:tcPr>
          <w:p w14:paraId="563C9317" w14:textId="77777777" w:rsidR="00BE5265" w:rsidRPr="001E5EA8" w:rsidRDefault="00BE5265">
            <w:pPr>
              <w:pStyle w:val="TableColumnHeadingLeft"/>
              <w:rPr>
                <w:rFonts w:eastAsiaTheme="minorHAnsi"/>
                <w:noProof/>
                <w:lang w:eastAsia="en-US"/>
              </w:rPr>
            </w:pPr>
            <w:r w:rsidRPr="001E5EA8">
              <w:rPr>
                <w:rFonts w:eastAsiaTheme="minorHAnsi"/>
                <w:noProof/>
                <w:lang w:eastAsia="en-US"/>
              </w:rPr>
              <w:t>Other measures</w:t>
            </w:r>
          </w:p>
        </w:tc>
      </w:tr>
      <w:tr w:rsidR="00BE5265" w:rsidRPr="00B35D17" w14:paraId="0DB1145C" w14:textId="77777777" w:rsidTr="001D1325">
        <w:trPr>
          <w:cantSplit/>
          <w:tblHeader/>
        </w:trPr>
        <w:tc>
          <w:tcPr>
            <w:tcW w:w="2689" w:type="dxa"/>
          </w:tcPr>
          <w:p w14:paraId="7A5AC8EC" w14:textId="42A717C0"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National Housing and Homelessness Plan</w:t>
            </w:r>
          </w:p>
        </w:tc>
        <w:tc>
          <w:tcPr>
            <w:tcW w:w="3969" w:type="dxa"/>
          </w:tcPr>
          <w:p w14:paraId="07DB0065" w14:textId="5DCE9C7B"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The Government has committed funding for the development, monitoring and evaluation of a National Housing and Homelessness Plan. The National Housing and Homelessness Plan is being developed in association with states and territories, industry bodies and not</w:t>
            </w:r>
            <w:r w:rsidR="0004287B">
              <w:rPr>
                <w:rFonts w:eastAsiaTheme="minorHAnsi"/>
                <w:noProof/>
                <w:lang w:eastAsia="en-US"/>
              </w:rPr>
              <w:noBreakHyphen/>
            </w:r>
            <w:r w:rsidRPr="009C0EA0">
              <w:rPr>
                <w:rFonts w:eastAsiaTheme="minorHAnsi"/>
                <w:noProof/>
                <w:lang w:eastAsia="en-US"/>
              </w:rPr>
              <w:t>for</w:t>
            </w:r>
            <w:r w:rsidR="0004287B">
              <w:rPr>
                <w:rFonts w:eastAsiaTheme="minorHAnsi"/>
                <w:noProof/>
                <w:lang w:eastAsia="en-US"/>
              </w:rPr>
              <w:noBreakHyphen/>
            </w:r>
            <w:r w:rsidRPr="009C0EA0">
              <w:rPr>
                <w:rFonts w:eastAsiaTheme="minorHAnsi"/>
                <w:noProof/>
                <w:lang w:eastAsia="en-US"/>
              </w:rPr>
              <w:t>profit organisations to identify short, medium and long</w:t>
            </w:r>
            <w:r w:rsidR="0004287B">
              <w:rPr>
                <w:rFonts w:eastAsiaTheme="minorHAnsi"/>
                <w:noProof/>
                <w:lang w:eastAsia="en-US"/>
              </w:rPr>
              <w:noBreakHyphen/>
            </w:r>
            <w:r w:rsidRPr="009C0EA0">
              <w:rPr>
                <w:rFonts w:eastAsiaTheme="minorHAnsi"/>
                <w:noProof/>
                <w:lang w:eastAsia="en-US"/>
              </w:rPr>
              <w:t>term reforms to improve housing and homelessness outcomes.</w:t>
            </w:r>
          </w:p>
        </w:tc>
        <w:tc>
          <w:tcPr>
            <w:tcW w:w="1842" w:type="dxa"/>
          </w:tcPr>
          <w:p w14:paraId="77AAE380" w14:textId="77777777" w:rsidR="00BE5265" w:rsidRPr="001F67EA" w:rsidRDefault="00BE5265">
            <w:pPr>
              <w:pStyle w:val="TableTextLeft"/>
              <w:rPr>
                <w:rFonts w:eastAsiaTheme="minorHAnsi"/>
                <w:noProof/>
                <w:color w:val="FFFF00"/>
                <w:highlight w:val="red"/>
                <w:lang w:eastAsia="en-US"/>
              </w:rPr>
            </w:pPr>
            <w:r w:rsidRPr="009C0EA0">
              <w:rPr>
                <w:rFonts w:eastAsiaTheme="minorHAnsi"/>
                <w:noProof/>
                <w:lang w:eastAsia="en-US"/>
              </w:rPr>
              <w:t>$38.6 million</w:t>
            </w:r>
          </w:p>
        </w:tc>
        <w:tc>
          <w:tcPr>
            <w:tcW w:w="3027" w:type="dxa"/>
          </w:tcPr>
          <w:p w14:paraId="71E6AA45" w14:textId="77777777" w:rsidR="00BE5265" w:rsidRPr="009C0EA0" w:rsidRDefault="00BE5265">
            <w:pPr>
              <w:pStyle w:val="TableTextLeft"/>
              <w:rPr>
                <w:rFonts w:eastAsiaTheme="minorHAnsi"/>
                <w:noProof/>
                <w:lang w:eastAsia="en-US"/>
              </w:rPr>
            </w:pPr>
            <w:r w:rsidRPr="009C0EA0">
              <w:rPr>
                <w:rFonts w:eastAsiaTheme="minorHAnsi"/>
                <w:noProof/>
                <w:lang w:eastAsia="en-US"/>
              </w:rPr>
              <w:t>The National Housing and Homeless Plan will outline a shared vision to inform future housing and homelessness policy in Australia.</w:t>
            </w:r>
          </w:p>
          <w:p w14:paraId="391F142D" w14:textId="77777777" w:rsidR="00BE5265" w:rsidRPr="009C0EA0" w:rsidRDefault="00BE5265">
            <w:pPr>
              <w:pStyle w:val="TableTextLeft"/>
              <w:rPr>
                <w:rFonts w:eastAsiaTheme="minorHAnsi"/>
                <w:noProof/>
                <w:lang w:eastAsia="en-US"/>
              </w:rPr>
            </w:pPr>
          </w:p>
          <w:p w14:paraId="7855C69B" w14:textId="407E26E6" w:rsidR="00BE5265" w:rsidRPr="009C0EA0" w:rsidRDefault="00BE5265">
            <w:pPr>
              <w:pStyle w:val="TableTextLeft"/>
              <w:rPr>
                <w:rFonts w:eastAsiaTheme="minorHAnsi"/>
                <w:noProof/>
                <w:lang w:eastAsia="en-US"/>
              </w:rPr>
            </w:pPr>
            <w:r w:rsidRPr="009C0EA0">
              <w:rPr>
                <w:rFonts w:eastAsiaTheme="minorHAnsi"/>
                <w:noProof/>
                <w:lang w:eastAsia="en-US"/>
              </w:rPr>
              <w:t xml:space="preserve">Note: </w:t>
            </w:r>
            <w:r w:rsidR="00FB36F7" w:rsidRPr="009C0EA0">
              <w:rPr>
                <w:rFonts w:eastAsiaTheme="minorHAnsi"/>
                <w:noProof/>
                <w:lang w:eastAsia="en-US"/>
              </w:rPr>
              <w:t>F</w:t>
            </w:r>
            <w:r w:rsidRPr="009C0EA0">
              <w:rPr>
                <w:rFonts w:eastAsiaTheme="minorHAnsi"/>
                <w:noProof/>
                <w:lang w:eastAsia="en-US"/>
              </w:rPr>
              <w:t>unding represents costs to develop the Plan.</w:t>
            </w:r>
          </w:p>
        </w:tc>
      </w:tr>
      <w:tr w:rsidR="00BE5265" w:rsidRPr="00B35D17" w14:paraId="7829B925" w14:textId="77777777" w:rsidTr="001D1325">
        <w:trPr>
          <w:cantSplit/>
          <w:tblHeader/>
        </w:trPr>
        <w:tc>
          <w:tcPr>
            <w:tcW w:w="2689" w:type="dxa"/>
          </w:tcPr>
          <w:p w14:paraId="5D66BE33" w14:textId="324948E4" w:rsidR="00BE5265" w:rsidRPr="001F67EA" w:rsidRDefault="00BE5265">
            <w:pPr>
              <w:pStyle w:val="TableTextLeft"/>
              <w:rPr>
                <w:rFonts w:eastAsiaTheme="minorHAnsi"/>
                <w:noProof/>
                <w:color w:val="FFFF00"/>
                <w:highlight w:val="magenta"/>
                <w:lang w:eastAsia="en-US"/>
              </w:rPr>
            </w:pPr>
            <w:r w:rsidRPr="009C0EA0">
              <w:rPr>
                <w:rFonts w:eastAsiaTheme="minorHAnsi"/>
                <w:noProof/>
                <w:lang w:eastAsia="en-US"/>
              </w:rPr>
              <w:t>National Housing Supply and Affordability Council</w:t>
            </w:r>
          </w:p>
        </w:tc>
        <w:tc>
          <w:tcPr>
            <w:tcW w:w="3969" w:type="dxa"/>
          </w:tcPr>
          <w:p w14:paraId="499B8DE2" w14:textId="33891131" w:rsidR="00BE5265" w:rsidRPr="001F67EA" w:rsidRDefault="00BE5265">
            <w:pPr>
              <w:pStyle w:val="TableTextLeft"/>
              <w:rPr>
                <w:rFonts w:eastAsiaTheme="minorHAnsi"/>
                <w:noProof/>
                <w:color w:val="FFFF00"/>
                <w:highlight w:val="magenta"/>
                <w:lang w:eastAsia="en-US"/>
              </w:rPr>
            </w:pPr>
            <w:r w:rsidRPr="009C0EA0">
              <w:rPr>
                <w:rFonts w:eastAsiaTheme="minorHAnsi"/>
                <w:noProof/>
                <w:lang w:eastAsia="en-US"/>
              </w:rPr>
              <w:t>The National Housing Supply and Affordability Council (the Council) has been established to provide independent, evidence</w:t>
            </w:r>
            <w:r w:rsidR="0004287B">
              <w:rPr>
                <w:rFonts w:eastAsiaTheme="minorHAnsi"/>
                <w:noProof/>
                <w:lang w:eastAsia="en-US"/>
              </w:rPr>
              <w:noBreakHyphen/>
            </w:r>
            <w:r w:rsidRPr="009C0EA0">
              <w:rPr>
                <w:rFonts w:eastAsiaTheme="minorHAnsi"/>
                <w:noProof/>
                <w:lang w:eastAsia="en-US"/>
              </w:rPr>
              <w:t>based expert advice to the Government on housing supply and affordability matters.</w:t>
            </w:r>
          </w:p>
        </w:tc>
        <w:tc>
          <w:tcPr>
            <w:tcW w:w="1842" w:type="dxa"/>
          </w:tcPr>
          <w:p w14:paraId="6F9EEB65" w14:textId="45182BD7" w:rsidR="00BE5265" w:rsidRPr="009C0EA0" w:rsidRDefault="00BE5265">
            <w:pPr>
              <w:pStyle w:val="TableTextLeft"/>
              <w:rPr>
                <w:rFonts w:eastAsiaTheme="minorHAnsi"/>
                <w:noProof/>
                <w:lang w:eastAsia="en-US"/>
              </w:rPr>
            </w:pPr>
            <w:r w:rsidRPr="009C0EA0">
              <w:rPr>
                <w:rFonts w:eastAsiaTheme="minorHAnsi"/>
                <w:noProof/>
                <w:lang w:eastAsia="en-US"/>
              </w:rPr>
              <w:t>$15.2 million (from 2022</w:t>
            </w:r>
            <w:r w:rsidR="0004287B">
              <w:rPr>
                <w:rFonts w:eastAsiaTheme="minorHAnsi"/>
                <w:noProof/>
                <w:lang w:eastAsia="en-US"/>
              </w:rPr>
              <w:noBreakHyphen/>
            </w:r>
            <w:r w:rsidRPr="009C0EA0">
              <w:rPr>
                <w:rFonts w:eastAsiaTheme="minorHAnsi"/>
                <w:noProof/>
                <w:lang w:eastAsia="en-US"/>
              </w:rPr>
              <w:t>23)</w:t>
            </w:r>
          </w:p>
          <w:p w14:paraId="3EB968CB" w14:textId="77777777" w:rsidR="00BE5265" w:rsidRPr="009C0EA0" w:rsidRDefault="00BE5265">
            <w:pPr>
              <w:pStyle w:val="TableTextLeft"/>
              <w:rPr>
                <w:rFonts w:eastAsiaTheme="minorHAnsi"/>
                <w:noProof/>
                <w:lang w:eastAsia="en-US"/>
              </w:rPr>
            </w:pPr>
          </w:p>
          <w:p w14:paraId="69F60B2F" w14:textId="582541B4" w:rsidR="00BE5265" w:rsidRPr="001F67EA" w:rsidRDefault="00BE5265">
            <w:pPr>
              <w:pStyle w:val="TableTextLeft"/>
              <w:rPr>
                <w:rFonts w:eastAsiaTheme="minorHAnsi"/>
                <w:noProof/>
                <w:color w:val="FFFF00"/>
                <w:highlight w:val="magenta"/>
                <w:lang w:eastAsia="en-US"/>
              </w:rPr>
            </w:pPr>
            <w:r w:rsidRPr="009C0EA0">
              <w:rPr>
                <w:rFonts w:eastAsiaTheme="minorHAnsi"/>
                <w:noProof/>
                <w:lang w:eastAsia="en-US"/>
              </w:rPr>
              <w:t>This measure has an ongoing cost of $4.4 million a year from 2026</w:t>
            </w:r>
            <w:r w:rsidR="0004287B">
              <w:rPr>
                <w:rFonts w:eastAsiaTheme="minorHAnsi"/>
                <w:noProof/>
                <w:lang w:eastAsia="en-US"/>
              </w:rPr>
              <w:noBreakHyphen/>
            </w:r>
            <w:r w:rsidRPr="009C0EA0">
              <w:rPr>
                <w:rFonts w:eastAsiaTheme="minorHAnsi"/>
                <w:noProof/>
                <w:lang w:eastAsia="en-US"/>
              </w:rPr>
              <w:t>27.</w:t>
            </w:r>
          </w:p>
        </w:tc>
        <w:tc>
          <w:tcPr>
            <w:tcW w:w="3027" w:type="dxa"/>
          </w:tcPr>
          <w:p w14:paraId="1F18094E" w14:textId="1F5F9E51" w:rsidR="00BE5265" w:rsidRPr="009C0EA0" w:rsidRDefault="00BE5265">
            <w:pPr>
              <w:pStyle w:val="TableTextLeft"/>
              <w:rPr>
                <w:rFonts w:eastAsiaTheme="minorHAnsi"/>
                <w:noProof/>
                <w:lang w:eastAsia="en-US"/>
              </w:rPr>
            </w:pPr>
            <w:r w:rsidRPr="009C0EA0">
              <w:rPr>
                <w:rFonts w:eastAsiaTheme="minorHAnsi"/>
                <w:noProof/>
                <w:lang w:eastAsia="en-US"/>
              </w:rPr>
              <w:t xml:space="preserve">The Council advises on national housing policy matters at the request of the Minister for Housing and on its own initiative. </w:t>
            </w:r>
          </w:p>
        </w:tc>
      </w:tr>
      <w:tr w:rsidR="00BE5265" w:rsidRPr="00B35D17" w14:paraId="56A16136" w14:textId="77777777" w:rsidTr="001D1325">
        <w:trPr>
          <w:cantSplit/>
          <w:tblHeader/>
        </w:trPr>
        <w:tc>
          <w:tcPr>
            <w:tcW w:w="2689" w:type="dxa"/>
          </w:tcPr>
          <w:p w14:paraId="73B0A90A" w14:textId="733DA7EA" w:rsidR="00BE5265" w:rsidRPr="001F67EA" w:rsidRDefault="00BE5265">
            <w:pPr>
              <w:pStyle w:val="TableTextLeft"/>
              <w:rPr>
                <w:rFonts w:eastAsiaTheme="minorHAnsi"/>
                <w:color w:val="FFFF00"/>
                <w:highlight w:val="red"/>
              </w:rPr>
            </w:pPr>
            <w:r w:rsidRPr="009C0EA0">
              <w:rPr>
                <w:rFonts w:eastAsiaTheme="minorHAnsi"/>
              </w:rPr>
              <w:t>Improved support for Commonwealth policy making – Treasury funding</w:t>
            </w:r>
          </w:p>
        </w:tc>
        <w:tc>
          <w:tcPr>
            <w:tcW w:w="3969" w:type="dxa"/>
          </w:tcPr>
          <w:p w14:paraId="5B51D459" w14:textId="01E1DF19" w:rsidR="00BE5265" w:rsidRPr="001F67EA" w:rsidRDefault="00BE5265">
            <w:pPr>
              <w:pStyle w:val="TableTextLeft"/>
              <w:rPr>
                <w:rFonts w:eastAsiaTheme="minorHAnsi"/>
                <w:color w:val="FFFF00"/>
                <w:highlight w:val="red"/>
              </w:rPr>
            </w:pPr>
            <w:r w:rsidRPr="009C0EA0">
              <w:rPr>
                <w:rFonts w:eastAsiaTheme="minorHAnsi"/>
              </w:rPr>
              <w:t>Funding to support development of dedicated capability in the Treasury to better support delivery of the Government</w:t>
            </w:r>
            <w:r w:rsidR="0004287B">
              <w:rPr>
                <w:rFonts w:eastAsiaTheme="minorHAnsi"/>
              </w:rPr>
              <w:t>’</w:t>
            </w:r>
            <w:r w:rsidRPr="009C0EA0">
              <w:rPr>
                <w:rFonts w:eastAsiaTheme="minorHAnsi"/>
              </w:rPr>
              <w:t>s housing agenda.</w:t>
            </w:r>
          </w:p>
        </w:tc>
        <w:tc>
          <w:tcPr>
            <w:tcW w:w="1842" w:type="dxa"/>
          </w:tcPr>
          <w:p w14:paraId="6D4C53F0" w14:textId="1B83266A" w:rsidR="00BE5265" w:rsidRPr="001F67EA" w:rsidRDefault="00BE5265">
            <w:pPr>
              <w:pStyle w:val="TableTextLeft"/>
              <w:rPr>
                <w:rFonts w:eastAsiaTheme="minorHAnsi"/>
                <w:color w:val="FFFF00"/>
                <w:highlight w:val="red"/>
              </w:rPr>
            </w:pPr>
            <w:r w:rsidRPr="009C0EA0">
              <w:rPr>
                <w:rFonts w:eastAsiaTheme="minorHAnsi"/>
              </w:rPr>
              <w:t>$2.3 million (in 2023</w:t>
            </w:r>
            <w:r w:rsidR="0004287B">
              <w:rPr>
                <w:rFonts w:eastAsiaTheme="minorHAnsi"/>
              </w:rPr>
              <w:noBreakHyphen/>
            </w:r>
            <w:r w:rsidRPr="009C0EA0">
              <w:rPr>
                <w:rFonts w:eastAsiaTheme="minorHAnsi"/>
              </w:rPr>
              <w:t>24)</w:t>
            </w:r>
          </w:p>
        </w:tc>
        <w:tc>
          <w:tcPr>
            <w:tcW w:w="3027" w:type="dxa"/>
          </w:tcPr>
          <w:p w14:paraId="243D16D3" w14:textId="7D2B2A52" w:rsidR="00BE5265" w:rsidRPr="009C0EA0" w:rsidRDefault="00BE5265">
            <w:pPr>
              <w:pStyle w:val="TableTextLeft"/>
              <w:rPr>
                <w:rFonts w:eastAsiaTheme="minorHAnsi"/>
              </w:rPr>
            </w:pPr>
            <w:r w:rsidRPr="009C0EA0">
              <w:rPr>
                <w:rFonts w:eastAsiaTheme="minorHAnsi"/>
              </w:rPr>
              <w:t>Improved capacity to develop and implement the Government</w:t>
            </w:r>
            <w:r w:rsidR="0004287B">
              <w:rPr>
                <w:rFonts w:eastAsiaTheme="minorHAnsi"/>
              </w:rPr>
              <w:t>’</w:t>
            </w:r>
            <w:r w:rsidRPr="009C0EA0">
              <w:rPr>
                <w:rFonts w:eastAsiaTheme="minorHAnsi"/>
              </w:rPr>
              <w:t>s ambitious policy agenda.</w:t>
            </w:r>
          </w:p>
        </w:tc>
      </w:tr>
    </w:tbl>
    <w:p w14:paraId="730DC17A" w14:textId="49B96B37" w:rsidR="003060E1" w:rsidRDefault="00E14A51" w:rsidP="0092101A">
      <w:pPr>
        <w:spacing w:after="0" w:line="276" w:lineRule="auto"/>
        <w:rPr>
          <w:rFonts w:ascii="Arial" w:hAnsi="Arial" w:cs="Arial"/>
          <w:sz w:val="16"/>
          <w:szCs w:val="16"/>
        </w:rPr>
      </w:pPr>
      <w:r w:rsidRPr="00B35D17">
        <w:rPr>
          <w:rFonts w:ascii="Arial" w:hAnsi="Arial" w:cs="Arial"/>
          <w:sz w:val="16"/>
          <w:szCs w:val="16"/>
        </w:rPr>
        <w:t>*Note: these measures are also counted elsewhere in the tab</w:t>
      </w:r>
      <w:r w:rsidR="00C87F13">
        <w:rPr>
          <w:rFonts w:ascii="Arial" w:hAnsi="Arial" w:cs="Arial"/>
          <w:sz w:val="16"/>
          <w:szCs w:val="16"/>
        </w:rPr>
        <w:t>le.</w:t>
      </w:r>
    </w:p>
    <w:p w14:paraId="461423A6" w14:textId="794DB18A" w:rsidR="0094128D" w:rsidRPr="0092101A" w:rsidRDefault="0094128D" w:rsidP="0092101A">
      <w:pPr>
        <w:spacing w:after="0" w:line="276" w:lineRule="auto"/>
        <w:rPr>
          <w:rFonts w:ascii="Arial" w:hAnsi="Arial" w:cs="Arial"/>
          <w:sz w:val="16"/>
          <w:szCs w:val="16"/>
        </w:rPr>
        <w:sectPr w:rsidR="0094128D" w:rsidRPr="0092101A" w:rsidSect="009B36E5">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2098" w:right="2835" w:bottom="2098" w:left="2466" w:header="1531" w:footer="1531" w:gutter="0"/>
          <w:cols w:space="708"/>
          <w:docGrid w:linePitch="360"/>
        </w:sectPr>
      </w:pPr>
    </w:p>
    <w:bookmarkEnd w:id="70"/>
    <w:p w14:paraId="06059E9E" w14:textId="7E0EC2D0" w:rsidR="007823AC" w:rsidRDefault="009B063D" w:rsidP="00AB5D41">
      <w:pPr>
        <w:pStyle w:val="GhostLine"/>
      </w:pPr>
      <w:r>
        <w:t>+</w:t>
      </w:r>
    </w:p>
    <w:sectPr w:rsidR="007823AC" w:rsidSect="00395298">
      <w:headerReference w:type="even" r:id="rId49"/>
      <w:headerReference w:type="default" r:id="rId50"/>
      <w:footerReference w:type="even" r:id="rId51"/>
      <w:footerReference w:type="default" r:id="rId52"/>
      <w:headerReference w:type="first" r:id="rId53"/>
      <w:footerReference w:type="first" r:id="rId54"/>
      <w:type w:val="continuous"/>
      <w:pgSz w:w="16838" w:h="11906" w:orient="landscape" w:code="9"/>
      <w:pgMar w:top="2098" w:right="964" w:bottom="1985" w:left="2466"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9E78" w14:textId="77777777" w:rsidR="006B693E" w:rsidRDefault="006B693E" w:rsidP="00E40261">
      <w:pPr>
        <w:spacing w:after="0" w:line="240" w:lineRule="auto"/>
      </w:pPr>
      <w:r>
        <w:separator/>
      </w:r>
    </w:p>
  </w:endnote>
  <w:endnote w:type="continuationSeparator" w:id="0">
    <w:p w14:paraId="6A6669B8" w14:textId="77777777" w:rsidR="006B693E" w:rsidRDefault="006B693E" w:rsidP="00E40261">
      <w:pPr>
        <w:spacing w:after="0" w:line="240" w:lineRule="auto"/>
      </w:pPr>
      <w:r>
        <w:continuationSeparator/>
      </w:r>
    </w:p>
  </w:endnote>
  <w:endnote w:type="continuationNotice" w:id="1">
    <w:p w14:paraId="7918D239" w14:textId="77777777" w:rsidR="006B693E" w:rsidRDefault="006B69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435" w14:textId="36911836" w:rsidR="00D73BB8" w:rsidRDefault="00D73BB8" w:rsidP="00D73BB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r w:rsidR="0069605D">
      <w:rPr>
        <w:noProof/>
      </w:rPr>
      <w:drawing>
        <wp:anchor distT="0" distB="0" distL="114300" distR="114300" simplePos="0" relativeHeight="251658245" behindDoc="1" locked="1" layoutInCell="1" allowOverlap="1" wp14:anchorId="75DF06CA" wp14:editId="3FC41485">
          <wp:simplePos x="0" y="0"/>
          <wp:positionH relativeFrom="page">
            <wp:align>center</wp:align>
          </wp:positionH>
          <wp:positionV relativeFrom="page">
            <wp:align>center</wp:align>
          </wp:positionV>
          <wp:extent cx="7559675" cy="10691495"/>
          <wp:effectExtent l="0" t="0" r="3175"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3EA" w14:textId="218A99D9" w:rsidR="00E14A51" w:rsidRDefault="002827CD" w:rsidP="00D73BB8">
    <w:pPr>
      <w:pStyle w:val="FooterEven"/>
    </w:pPr>
    <w:r w:rsidRPr="002827CD">
      <w:rPr>
        <w:b/>
        <w:noProof/>
        <w:sz w:val="2"/>
        <w:szCs w:val="2"/>
      </w:rPr>
      <mc:AlternateContent>
        <mc:Choice Requires="wps">
          <w:drawing>
            <wp:anchor distT="0" distB="0" distL="114300" distR="114300" simplePos="0" relativeHeight="251674624" behindDoc="0" locked="0" layoutInCell="1" allowOverlap="1" wp14:anchorId="113346E1" wp14:editId="7732D1F1">
              <wp:simplePos x="0" y="0"/>
              <wp:positionH relativeFrom="column">
                <wp:posOffset>-541020</wp:posOffset>
              </wp:positionH>
              <wp:positionV relativeFrom="margin">
                <wp:align>top</wp:align>
              </wp:positionV>
              <wp:extent cx="399600" cy="4896000"/>
              <wp:effectExtent l="0" t="0" r="635" b="0"/>
              <wp:wrapNone/>
              <wp:docPr id="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CE44F89" w14:textId="1893C9BD" w:rsidR="002827CD" w:rsidRDefault="002827C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13346E1" id="_x0000_t202" coordsize="21600,21600" o:spt="202" path="m,l,21600r21600,l21600,xe">
              <v:stroke joinstyle="miter"/>
              <v:path gradientshapeok="t" o:connecttype="rect"/>
            </v:shapetype>
            <v:shape id="_x0000_s1032" type="#_x0000_t202" alt="Landscape Page Number" style="position:absolute;margin-left:-42.6pt;margin-top:0;width:31.45pt;height:385.5pt;z-index:25167462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etCwIAAPkDAAAOAAAAZHJzL2Uyb0RvYy54bWysU9uO2yAQfa/Uf0C8N86m3Six4qy22aaq&#10;tL1I234ABmyjYoYOJHb+vgNOstX2raofRoMHDmfOHDZ3Y2/ZUWMw4Cp+M5tzpp0EZVxb8R/f929W&#10;nIUonBIWnK74SQd+t339ajP4Ui+gA6s0MgJxoRx8xbsYfVkUQXa6F2EGXjsqNoC9iLTEtlAoBkLv&#10;bbGYz5fFAKg8gtQh0N+Hqci3Gb9ptIxfmyboyGzFiVvMEXOsUyy2G1G2KHxn5JmG+AcWvTCOLr1C&#10;PYgo2AHNX1C9kQgBmjiT0BfQNEbq3AN1czN/0c1TJ7zOvZA4wV9lCv8PVn45PvlvyOL4HkYaYG4i&#10;+EeQPwNzsOuEa/U9IgydFoouvkmSFYMP5flokjqUIYHUw2dQNGRxiJCBxgb7pAr1yQidBnC6iq7H&#10;yCT9fLteL+dUkVR6t0p5nkohystpjyF+1NCzlFQcaagZXRwfQ0xsRHnZki4LYI3aG2vzAtt6Z5Ed&#10;BRlgn7/cwItt1rGh4uvbxW1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Aw3V60LAgAA&#10;+QMAAA4AAAAAAAAAAAAAAAAALgIAAGRycy9lMm9Eb2MueG1sUEsBAi0AFAAGAAgAAAAhAMl+Tiff&#10;AAAACAEAAA8AAAAAAAAAAAAAAAAAZQQAAGRycy9kb3ducmV2LnhtbFBLBQYAAAAABAAEAPMAAABx&#10;BQAAAAA=&#10;" stroked="f">
              <v:textbox style="layout-flow:vertical" inset="0,0,0,0">
                <w:txbxContent>
                  <w:p w14:paraId="2CE44F89" w14:textId="1893C9BD" w:rsidR="002827CD" w:rsidRDefault="002827C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F62828">
                        <w:t>Statement 4: Meeting Australia's Housing Challenge</w:t>
                      </w:r>
                    </w:fldSimple>
                  </w:p>
                </w:txbxContent>
              </v:textbox>
              <w10:wrap anchory="margin"/>
            </v:shape>
          </w:pict>
        </mc:Fallback>
      </mc:AlternateContent>
    </w:r>
    <w:r w:rsidR="00E14A51" w:rsidRPr="00B3705D">
      <w:rPr>
        <w:b/>
      </w:rPr>
      <w:t xml:space="preserve">Page </w:t>
    </w:r>
    <w:r w:rsidR="00E14A51" w:rsidRPr="00B3705D">
      <w:rPr>
        <w:b/>
        <w:bCs/>
      </w:rPr>
      <w:fldChar w:fldCharType="begin"/>
    </w:r>
    <w:r w:rsidR="00E14A51" w:rsidRPr="00B3705D">
      <w:rPr>
        <w:b/>
      </w:rPr>
      <w:instrText xml:space="preserve"> PAGE  \* Arabic  \* MERGEFORMAT </w:instrText>
    </w:r>
    <w:r w:rsidR="00E14A51" w:rsidRPr="00B3705D">
      <w:rPr>
        <w:b/>
        <w:bCs/>
      </w:rPr>
      <w:fldChar w:fldCharType="separate"/>
    </w:r>
    <w:r w:rsidR="00E14A51">
      <w:rPr>
        <w:b/>
        <w:bCs/>
      </w:rPr>
      <w:t>6</w:t>
    </w:r>
    <w:r w:rsidR="00E14A51" w:rsidRPr="00B3705D">
      <w:rPr>
        <w:b/>
        <w:bCs/>
      </w:rPr>
      <w:fldChar w:fldCharType="end"/>
    </w:r>
    <w:r w:rsidR="00E14A51" w:rsidRPr="00B3705D">
      <w:t xml:space="preserve">  |  </w: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8A93" w14:textId="01E1F2C3" w:rsidR="00E14A51" w:rsidRDefault="002827CD" w:rsidP="00D73BB8">
    <w:pPr>
      <w:pStyle w:val="FooterOdd"/>
    </w:pPr>
    <w:r w:rsidRPr="005E792C">
      <w:rPr>
        <w:noProof/>
        <w:sz w:val="2"/>
        <w:szCs w:val="2"/>
      </w:rPr>
      <mc:AlternateContent>
        <mc:Choice Requires="wps">
          <w:drawing>
            <wp:anchor distT="0" distB="0" distL="114300" distR="114300" simplePos="0" relativeHeight="251672576" behindDoc="0" locked="0" layoutInCell="1" allowOverlap="1" wp14:anchorId="175B817A" wp14:editId="2C82E3E3">
              <wp:simplePos x="0" y="0"/>
              <wp:positionH relativeFrom="column">
                <wp:posOffset>-541020</wp:posOffset>
              </wp:positionH>
              <wp:positionV relativeFrom="margin">
                <wp:align>top</wp:align>
              </wp:positionV>
              <wp:extent cx="399600" cy="4896000"/>
              <wp:effectExtent l="0" t="0" r="635" b="0"/>
              <wp:wrapNone/>
              <wp:docPr id="2"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9B6D8B9" w14:textId="6DB2B63D" w:rsidR="002827CD" w:rsidRDefault="000417B6" w:rsidP="00447E2C">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2827CD" w:rsidRPr="00B3705D">
                            <w:t xml:space="preserve">  |  </w:t>
                          </w:r>
                          <w:r w:rsidR="002827CD" w:rsidRPr="00B3705D">
                            <w:rPr>
                              <w:b/>
                              <w:bCs/>
                            </w:rPr>
                            <w:t xml:space="preserve">Page </w:t>
                          </w:r>
                          <w:r w:rsidR="002827CD" w:rsidRPr="00B3705D">
                            <w:rPr>
                              <w:b/>
                              <w:bCs/>
                            </w:rPr>
                            <w:fldChar w:fldCharType="begin"/>
                          </w:r>
                          <w:r w:rsidR="002827CD" w:rsidRPr="00B3705D">
                            <w:rPr>
                              <w:b/>
                              <w:bCs/>
                            </w:rPr>
                            <w:instrText xml:space="preserve"> PAGE  \* Arabic  \* MERGEFORMAT </w:instrText>
                          </w:r>
                          <w:r w:rsidR="002827CD" w:rsidRPr="00B3705D">
                            <w:rPr>
                              <w:b/>
                              <w:bCs/>
                            </w:rPr>
                            <w:fldChar w:fldCharType="separate"/>
                          </w:r>
                          <w:r w:rsidR="002827CD">
                            <w:rPr>
                              <w:b/>
                              <w:bCs/>
                            </w:rPr>
                            <w:t>3</w:t>
                          </w:r>
                          <w:r w:rsidR="002827CD"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75B817A" id="_x0000_t202" coordsize="21600,21600" o:spt="202" path="m,l,21600r21600,l21600,xe">
              <v:stroke joinstyle="miter"/>
              <v:path gradientshapeok="t" o:connecttype="rect"/>
            </v:shapetype>
            <v:shape id="_x0000_s1033" type="#_x0000_t202" alt="Landscape Page Number" style="position:absolute;left:0;text-align:left;margin-left:-42.6pt;margin-top:0;width:31.45pt;height:385.5pt;z-index:25167257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CwIAAPkDAAAOAAAAZHJzL2Uyb0RvYy54bWysU8GO0zAQvSPxD5bvNG1hlzZqulq6FCHt&#10;AtLCB0xsJ7FwPMZ2m+zfM3baLlpuiBxG44z9/ObN8+Zm7A07Kh802oovZnPOlBUotW0r/uP7/s2K&#10;sxDBSjBoVcWfVOA329evNoMr1RI7NFJ5RiA2lIOreBejK4siiE71EGbolKVig76HSEvfFtLDQOi9&#10;KZbz+XUxoJfOo1Ah0N+7qci3Gb9plIhfmyaoyEzFiVvM0edYp1hsN1C2HlynxYkG/AOLHrSlSy9Q&#10;dxCBHbz+C6rXwmPAJs4E9gU2jRYq90DdLOYvunnswKncC4kT3EWm8P9gxZfjo/vmWRw/4EgDzE0E&#10;d4/iZ2AWdx3YVt16j0OnQNLFiyRZMbhQno4mqUMZEkg9PKCkIcMhYgYaG98nVahPRug0gKeL6GqM&#10;TNDPt+v19ZwqgkrvVinPUymgPJ92PsRPCnuWkop7GmpGh+N9iIkNlOct6bKARsu9NiYvfFvvjGdH&#10;IAPs85cbeLHNWDZUfH21vMrIFtP57I1eRzKo0X3FV0RtIgdlUuOjlXlLBG2mnJgYe5InKTJpE8d6&#10;ZFpW/H26OqlVo3wivTxOfqT3Q0mKnA3kxYqHXwfwijPz2ZLmybjnxJ+T+pyAFR2SpenwlO7iZPCD&#10;87rtCHmaqsVbmkujs2TPLE50yV9Zyd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L/F/fgLAgAA&#10;+QMAAA4AAAAAAAAAAAAAAAAALgIAAGRycy9lMm9Eb2MueG1sUEsBAi0AFAAGAAgAAAAhAMl+Tiff&#10;AAAACAEAAA8AAAAAAAAAAAAAAAAAZQQAAGRycy9kb3ducmV2LnhtbFBLBQYAAAAABAAEAPMAAABx&#10;BQAAAAA=&#10;" stroked="f">
              <v:textbox style="layout-flow:vertical" inset="0,0,0,0">
                <w:txbxContent>
                  <w:p w14:paraId="49B6D8B9" w14:textId="6DB2B63D" w:rsidR="002827CD" w:rsidRDefault="00000000" w:rsidP="00447E2C">
                    <w:pPr>
                      <w:pStyle w:val="FooterOdd"/>
                    </w:pPr>
                    <w:fldSimple w:instr=" SUBJECT   \* MERGEFORMAT ">
                      <w:r w:rsidR="00F62828">
                        <w:t>Statement 4: Meeting Australia's Housing Challenge</w:t>
                      </w:r>
                    </w:fldSimple>
                    <w:r w:rsidR="002827CD" w:rsidRPr="00B3705D">
                      <w:t xml:space="preserve">  |  </w:t>
                    </w:r>
                    <w:r w:rsidR="002827CD" w:rsidRPr="00B3705D">
                      <w:rPr>
                        <w:b/>
                        <w:bCs/>
                      </w:rPr>
                      <w:t xml:space="preserve">Page </w:t>
                    </w:r>
                    <w:r w:rsidR="002827CD" w:rsidRPr="00B3705D">
                      <w:rPr>
                        <w:b/>
                        <w:bCs/>
                      </w:rPr>
                      <w:fldChar w:fldCharType="begin"/>
                    </w:r>
                    <w:r w:rsidR="002827CD" w:rsidRPr="00B3705D">
                      <w:rPr>
                        <w:b/>
                        <w:bCs/>
                      </w:rPr>
                      <w:instrText xml:space="preserve"> PAGE  \* Arabic  \* MERGEFORMAT </w:instrText>
                    </w:r>
                    <w:r w:rsidR="002827CD" w:rsidRPr="00B3705D">
                      <w:rPr>
                        <w:b/>
                        <w:bCs/>
                      </w:rPr>
                      <w:fldChar w:fldCharType="separate"/>
                    </w:r>
                    <w:r w:rsidR="002827CD">
                      <w:rPr>
                        <w:b/>
                        <w:bCs/>
                      </w:rPr>
                      <w:t>3</w:t>
                    </w:r>
                    <w:r w:rsidR="002827CD" w:rsidRPr="00B3705D">
                      <w:rPr>
                        <w:b/>
                        <w:bCs/>
                      </w:rPr>
                      <w:fldChar w:fldCharType="end"/>
                    </w:r>
                  </w:p>
                </w:txbxContent>
              </v:textbox>
              <w10:wrap anchory="margin"/>
            </v:shape>
          </w:pict>
        </mc:Fallback>
      </mc:AlternateConten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r w:rsidR="00E14A51" w:rsidRPr="00B3705D">
      <w:t xml:space="preserve">  |  </w:t>
    </w:r>
    <w:r w:rsidR="00E14A51" w:rsidRPr="00B3705D">
      <w:rPr>
        <w:b/>
        <w:bCs/>
      </w:rPr>
      <w:t xml:space="preserve">Page </w:t>
    </w:r>
    <w:r w:rsidR="00E14A51" w:rsidRPr="00B3705D">
      <w:rPr>
        <w:b/>
        <w:bCs/>
      </w:rPr>
      <w:fldChar w:fldCharType="begin"/>
    </w:r>
    <w:r w:rsidR="00E14A51" w:rsidRPr="00B3705D">
      <w:rPr>
        <w:b/>
        <w:bCs/>
      </w:rPr>
      <w:instrText xml:space="preserve"> PAGE  \* Arabic  \* MERGEFORMAT </w:instrText>
    </w:r>
    <w:r w:rsidR="00E14A51" w:rsidRPr="00B3705D">
      <w:rPr>
        <w:b/>
        <w:bCs/>
      </w:rPr>
      <w:fldChar w:fldCharType="separate"/>
    </w:r>
    <w:r w:rsidR="00E14A51">
      <w:rPr>
        <w:b/>
        <w:bCs/>
      </w:rPr>
      <w:t>1</w:t>
    </w:r>
    <w:r w:rsidR="00E14A51" w:rsidRPr="00B3705D">
      <w:rPr>
        <w:b/>
        <w:bCs/>
      </w:rPr>
      <w:fldChar w:fldCharType="end"/>
    </w:r>
    <w:r w:rsidR="00E14A51">
      <w:rPr>
        <w:noProof/>
        <w:sz w:val="2"/>
        <w:szCs w:val="2"/>
      </w:rPr>
      <w:drawing>
        <wp:anchor distT="0" distB="0" distL="114300" distR="114300" simplePos="0" relativeHeight="251658248" behindDoc="1" locked="1" layoutInCell="1" allowOverlap="1" wp14:anchorId="70BD1286" wp14:editId="5B309226">
          <wp:simplePos x="0" y="0"/>
          <wp:positionH relativeFrom="page">
            <wp:posOffset>0</wp:posOffset>
          </wp:positionH>
          <wp:positionV relativeFrom="page">
            <wp:posOffset>0</wp:posOffset>
          </wp:positionV>
          <wp:extent cx="7559675" cy="10691495"/>
          <wp:effectExtent l="0" t="0" r="317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DBD8" w14:textId="68B40BDD" w:rsidR="00E14A51" w:rsidRDefault="000417B6" w:rsidP="00D97FEA">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E14A51" w:rsidRPr="00B3705D">
      <w:t xml:space="preserve">  |  </w:t>
    </w:r>
    <w:r w:rsidR="00E14A51" w:rsidRPr="00B3705D">
      <w:rPr>
        <w:b/>
        <w:bCs/>
      </w:rPr>
      <w:t xml:space="preserve">Page </w:t>
    </w:r>
    <w:r w:rsidR="00E14A51" w:rsidRPr="00B3705D">
      <w:rPr>
        <w:b/>
        <w:bCs/>
      </w:rPr>
      <w:fldChar w:fldCharType="begin"/>
    </w:r>
    <w:r w:rsidR="00E14A51" w:rsidRPr="00B3705D">
      <w:rPr>
        <w:b/>
        <w:bCs/>
      </w:rPr>
      <w:instrText xml:space="preserve"> PAGE  \* Arabic  \* MERGEFORMAT </w:instrText>
    </w:r>
    <w:r w:rsidR="00E14A51" w:rsidRPr="00B3705D">
      <w:rPr>
        <w:b/>
        <w:bCs/>
      </w:rPr>
      <w:fldChar w:fldCharType="separate"/>
    </w:r>
    <w:r w:rsidR="00E14A51">
      <w:rPr>
        <w:b/>
        <w:bCs/>
      </w:rPr>
      <w:t>1</w:t>
    </w:r>
    <w:r w:rsidR="00E14A51" w:rsidRPr="00B3705D">
      <w:rPr>
        <w:b/>
        <w:bCs/>
      </w:rPr>
      <w:fldChar w:fldCharType="end"/>
    </w:r>
    <w:r w:rsidR="00E14A51">
      <w:rPr>
        <w:noProof/>
      </w:rPr>
      <w:drawing>
        <wp:anchor distT="0" distB="0" distL="114300" distR="114300" simplePos="0" relativeHeight="251658250" behindDoc="1" locked="1" layoutInCell="1" allowOverlap="1" wp14:anchorId="16FFF085" wp14:editId="73BAEC50">
          <wp:simplePos x="0" y="0"/>
          <wp:positionH relativeFrom="page">
            <wp:posOffset>0</wp:posOffset>
          </wp:positionH>
          <wp:positionV relativeFrom="page">
            <wp:posOffset>0</wp:posOffset>
          </wp:positionV>
          <wp:extent cx="7559675" cy="10691495"/>
          <wp:effectExtent l="0" t="0" r="3175"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7018" w14:textId="6AF30CE2" w:rsidR="0041793C" w:rsidRDefault="000417B6" w:rsidP="00D73BB8">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D73BB8" w:rsidRPr="00B3705D">
      <w:t xml:space="preserve">  |  </w:t>
    </w:r>
    <w:r w:rsidR="00D73BB8" w:rsidRPr="00B3705D">
      <w:rPr>
        <w:b/>
        <w:bCs/>
      </w:rPr>
      <w:t xml:space="preserve">Page </w:t>
    </w:r>
    <w:r w:rsidR="00D73BB8" w:rsidRPr="00B3705D">
      <w:rPr>
        <w:b/>
        <w:bCs/>
      </w:rPr>
      <w:fldChar w:fldCharType="begin"/>
    </w:r>
    <w:r w:rsidR="00D73BB8" w:rsidRPr="00B3705D">
      <w:rPr>
        <w:b/>
        <w:bCs/>
      </w:rPr>
      <w:instrText xml:space="preserve"> PAGE  \* Arabic  \* MERGEFORMAT </w:instrText>
    </w:r>
    <w:r w:rsidR="00D73BB8" w:rsidRPr="00B3705D">
      <w:rPr>
        <w:b/>
        <w:bCs/>
      </w:rPr>
      <w:fldChar w:fldCharType="separate"/>
    </w:r>
    <w:r w:rsidR="00D73BB8">
      <w:rPr>
        <w:b/>
        <w:bCs/>
      </w:rPr>
      <w:t>1</w:t>
    </w:r>
    <w:r w:rsidR="00D73BB8" w:rsidRPr="00B3705D">
      <w:rPr>
        <w:b/>
        <w:bCs/>
      </w:rPr>
      <w:fldChar w:fldCharType="end"/>
    </w:r>
    <w:r w:rsidR="00E50964">
      <w:rPr>
        <w:noProof/>
        <w:sz w:val="2"/>
        <w:szCs w:val="2"/>
      </w:rPr>
      <w:drawing>
        <wp:anchor distT="0" distB="0" distL="114300" distR="114300" simplePos="0" relativeHeight="251658253" behindDoc="1" locked="1" layoutInCell="1" allowOverlap="1" wp14:anchorId="11ED9ECD" wp14:editId="18CCFAD9">
          <wp:simplePos x="0" y="0"/>
          <wp:positionH relativeFrom="page">
            <wp:align>center</wp:align>
          </wp:positionH>
          <wp:positionV relativeFrom="page">
            <wp:align>center</wp:align>
          </wp:positionV>
          <wp:extent cx="7560000" cy="10692000"/>
          <wp:effectExtent l="0" t="0" r="317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C8C8" w14:textId="492BBD77" w:rsidR="00D73BB8" w:rsidRDefault="000417B6" w:rsidP="00D73BB8">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D73BB8" w:rsidRPr="00B3705D">
      <w:t xml:space="preserve">  |  </w:t>
    </w:r>
    <w:r w:rsidR="00D73BB8" w:rsidRPr="00B3705D">
      <w:rPr>
        <w:b/>
        <w:bCs/>
      </w:rPr>
      <w:t xml:space="preserve">Page </w:t>
    </w:r>
    <w:r w:rsidR="00D73BB8" w:rsidRPr="00B3705D">
      <w:rPr>
        <w:b/>
        <w:bCs/>
      </w:rPr>
      <w:fldChar w:fldCharType="begin"/>
    </w:r>
    <w:r w:rsidR="00D73BB8" w:rsidRPr="00B3705D">
      <w:rPr>
        <w:b/>
        <w:bCs/>
      </w:rPr>
      <w:instrText xml:space="preserve"> PAGE  \* Arabic  \* MERGEFORMAT </w:instrText>
    </w:r>
    <w:r w:rsidR="00D73BB8" w:rsidRPr="00B3705D">
      <w:rPr>
        <w:b/>
        <w:bCs/>
      </w:rPr>
      <w:fldChar w:fldCharType="separate"/>
    </w:r>
    <w:r w:rsidR="00D73BB8">
      <w:rPr>
        <w:b/>
        <w:bCs/>
      </w:rPr>
      <w:t>1</w:t>
    </w:r>
    <w:r w:rsidR="00D73BB8" w:rsidRPr="00B3705D">
      <w:rPr>
        <w:b/>
        <w:bCs/>
      </w:rPr>
      <w:fldChar w:fldCharType="end"/>
    </w:r>
    <w:r w:rsidR="00454BF0">
      <w:rPr>
        <w:noProof/>
      </w:rPr>
      <w:drawing>
        <wp:anchor distT="0" distB="0" distL="114300" distR="114300" simplePos="0" relativeHeight="251658244" behindDoc="1" locked="1" layoutInCell="1" allowOverlap="1" wp14:anchorId="628AB8AC" wp14:editId="3D6858F5">
          <wp:simplePos x="0" y="0"/>
          <wp:positionH relativeFrom="page">
            <wp:align>center</wp:align>
          </wp:positionH>
          <wp:positionV relativeFrom="page">
            <wp:align>center</wp:align>
          </wp:positionV>
          <wp:extent cx="7559675" cy="10691495"/>
          <wp:effectExtent l="0" t="0" r="3175"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819" w14:textId="47317821" w:rsidR="00931BF8" w:rsidRDefault="000417B6" w:rsidP="00BA07C4">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BA07C4" w:rsidRPr="00B3705D">
      <w:t xml:space="preserve">  |  </w:t>
    </w:r>
    <w:r w:rsidR="00BA07C4" w:rsidRPr="00B3705D">
      <w:rPr>
        <w:b/>
        <w:bCs/>
      </w:rPr>
      <w:t xml:space="preserve">Page </w:t>
    </w:r>
    <w:r w:rsidR="00BA07C4" w:rsidRPr="00B3705D">
      <w:rPr>
        <w:b/>
        <w:bCs/>
      </w:rPr>
      <w:fldChar w:fldCharType="begin"/>
    </w:r>
    <w:r w:rsidR="00BA07C4" w:rsidRPr="00B3705D">
      <w:rPr>
        <w:b/>
        <w:bCs/>
      </w:rPr>
      <w:instrText xml:space="preserve"> PAGE  \* Arabic  \* MERGEFORMAT </w:instrText>
    </w:r>
    <w:r w:rsidR="00BA07C4" w:rsidRPr="00B3705D">
      <w:rPr>
        <w:b/>
        <w:bCs/>
      </w:rPr>
      <w:fldChar w:fldCharType="separate"/>
    </w:r>
    <w:r w:rsidR="00BA07C4">
      <w:rPr>
        <w:b/>
        <w:bCs/>
      </w:rPr>
      <w:t>1</w:t>
    </w:r>
    <w:r w:rsidR="00BA07C4"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01E" w14:textId="58D9A091" w:rsidR="003A7EE6" w:rsidRDefault="00D73BB8" w:rsidP="00D73BB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528" w14:textId="4D35DE1B" w:rsidR="00931BF8" w:rsidRDefault="000417B6" w:rsidP="00D97FEA">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D97FEA" w:rsidRPr="00B3705D">
      <w:t xml:space="preserve">  |  </w:t>
    </w:r>
    <w:r w:rsidR="00D97FEA" w:rsidRPr="00B3705D">
      <w:rPr>
        <w:b/>
        <w:bCs/>
      </w:rPr>
      <w:t xml:space="preserve">Page </w:t>
    </w:r>
    <w:r w:rsidR="00D97FEA" w:rsidRPr="00B3705D">
      <w:rPr>
        <w:b/>
        <w:bCs/>
      </w:rPr>
      <w:fldChar w:fldCharType="begin"/>
    </w:r>
    <w:r w:rsidR="00D97FEA" w:rsidRPr="00B3705D">
      <w:rPr>
        <w:b/>
        <w:bCs/>
      </w:rPr>
      <w:instrText xml:space="preserve"> PAGE  \* Arabic  \* MERGEFORMAT </w:instrText>
    </w:r>
    <w:r w:rsidR="00D97FEA" w:rsidRPr="00B3705D">
      <w:rPr>
        <w:b/>
        <w:bCs/>
      </w:rPr>
      <w:fldChar w:fldCharType="separate"/>
    </w:r>
    <w:r w:rsidR="00D97FEA">
      <w:rPr>
        <w:b/>
        <w:bCs/>
      </w:rPr>
      <w:t>1</w:t>
    </w:r>
    <w:r w:rsidR="00D97FEA" w:rsidRPr="00B3705D">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B78E" w14:textId="344C20EB" w:rsidR="00E14A51" w:rsidRDefault="002827CD" w:rsidP="00AB5D41">
    <w:pPr>
      <w:pStyle w:val="Footer"/>
    </w:pPr>
    <w:r w:rsidRPr="005E792C">
      <w:rPr>
        <w:noProof/>
        <w:sz w:val="2"/>
        <w:szCs w:val="2"/>
      </w:rPr>
      <mc:AlternateContent>
        <mc:Choice Requires="wps">
          <w:drawing>
            <wp:anchor distT="0" distB="0" distL="114300" distR="114300" simplePos="0" relativeHeight="251670528" behindDoc="0" locked="0" layoutInCell="1" allowOverlap="1" wp14:anchorId="67979E53" wp14:editId="3EA1D6E1">
              <wp:simplePos x="0" y="0"/>
              <wp:positionH relativeFrom="column">
                <wp:posOffset>-541020</wp:posOffset>
              </wp:positionH>
              <wp:positionV relativeFrom="margin">
                <wp:align>top</wp:align>
              </wp:positionV>
              <wp:extent cx="399600" cy="4896000"/>
              <wp:effectExtent l="0" t="0" r="635" b="0"/>
              <wp:wrapNone/>
              <wp:docPr id="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3B648366" w14:textId="6C33F103" w:rsidR="002827CD" w:rsidRDefault="002827C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0417B6">
                            <w:fldChar w:fldCharType="begin"/>
                          </w:r>
                          <w:r w:rsidR="000417B6">
                            <w:instrText xml:space="preserve"> SUBJECT   \* MERGEFORMAT </w:instrText>
                          </w:r>
                          <w:r w:rsidR="000417B6">
                            <w:fldChar w:fldCharType="separate"/>
                          </w:r>
                          <w:r w:rsidR="00F62828">
                            <w:t>Statement 4: Meeting Australia's Housing Challenge</w:t>
                          </w:r>
                          <w:r w:rsidR="000417B6">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979E53" id="_x0000_t202" coordsize="21600,21600" o:spt="202" path="m,l,21600r21600,l21600,xe">
              <v:stroke joinstyle="miter"/>
              <v:path gradientshapeok="t" o:connecttype="rect"/>
            </v:shapetype>
            <v:shape id="Text Box 7" o:spid="_x0000_s1028" type="#_x0000_t202" alt="Landscape Page Number" style="position:absolute;left:0;text-align:left;margin-left:-42.6pt;margin-top:0;width:31.45pt;height:385.5pt;z-index:25167052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3B648366" w14:textId="6C33F103" w:rsidR="002827CD" w:rsidRDefault="002827CD"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F62828">
                        <w:t>Statement 4: Meeting Australia's Housing Challenge</w:t>
                      </w:r>
                    </w:fldSimple>
                  </w:p>
                </w:txbxContent>
              </v:textbox>
              <w10:wrap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A87" w14:textId="75DF1330" w:rsidR="00E14A51" w:rsidRDefault="002827CD" w:rsidP="00AB5D41">
    <w:pPr>
      <w:pStyle w:val="Footer"/>
    </w:pPr>
    <w:r w:rsidRPr="005E792C">
      <w:rPr>
        <w:noProof/>
        <w:sz w:val="2"/>
        <w:szCs w:val="2"/>
      </w:rPr>
      <mc:AlternateContent>
        <mc:Choice Requires="wps">
          <w:drawing>
            <wp:anchor distT="0" distB="0" distL="114300" distR="114300" simplePos="0" relativeHeight="251668480" behindDoc="0" locked="0" layoutInCell="1" allowOverlap="1" wp14:anchorId="09F01832" wp14:editId="5ADCDE19">
              <wp:simplePos x="0" y="0"/>
              <wp:positionH relativeFrom="column">
                <wp:posOffset>-541020</wp:posOffset>
              </wp:positionH>
              <wp:positionV relativeFrom="margin">
                <wp:align>top</wp:align>
              </wp:positionV>
              <wp:extent cx="399600" cy="4896000"/>
              <wp:effectExtent l="0" t="0" r="635" b="0"/>
              <wp:wrapNone/>
              <wp:docPr id="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2AD8549" w14:textId="067240A8" w:rsidR="002827CD" w:rsidRDefault="000417B6" w:rsidP="00447E2C">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2827CD" w:rsidRPr="00B3705D">
                            <w:t xml:space="preserve">  |  </w:t>
                          </w:r>
                          <w:r w:rsidR="002827CD" w:rsidRPr="00B3705D">
                            <w:rPr>
                              <w:b/>
                              <w:bCs/>
                            </w:rPr>
                            <w:t xml:space="preserve">Page </w:t>
                          </w:r>
                          <w:r w:rsidR="002827CD" w:rsidRPr="00B3705D">
                            <w:rPr>
                              <w:b/>
                              <w:bCs/>
                            </w:rPr>
                            <w:fldChar w:fldCharType="begin"/>
                          </w:r>
                          <w:r w:rsidR="002827CD" w:rsidRPr="00B3705D">
                            <w:rPr>
                              <w:b/>
                              <w:bCs/>
                            </w:rPr>
                            <w:instrText xml:space="preserve"> PAGE  \* Arabic  \* MERGEFORMAT </w:instrText>
                          </w:r>
                          <w:r w:rsidR="002827CD" w:rsidRPr="00B3705D">
                            <w:rPr>
                              <w:b/>
                              <w:bCs/>
                            </w:rPr>
                            <w:fldChar w:fldCharType="separate"/>
                          </w:r>
                          <w:r w:rsidR="002827CD">
                            <w:rPr>
                              <w:b/>
                              <w:bCs/>
                            </w:rPr>
                            <w:t>3</w:t>
                          </w:r>
                          <w:r w:rsidR="002827CD"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F01832"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6848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22AD8549" w14:textId="067240A8" w:rsidR="002827CD" w:rsidRDefault="00000000" w:rsidP="00447E2C">
                    <w:pPr>
                      <w:pStyle w:val="FooterOdd"/>
                    </w:pPr>
                    <w:fldSimple w:instr=" SUBJECT   \* MERGEFORMAT ">
                      <w:r w:rsidR="00F62828">
                        <w:t>Statement 4: Meeting Australia's Housing Challenge</w:t>
                      </w:r>
                    </w:fldSimple>
                    <w:r w:rsidR="002827CD" w:rsidRPr="00B3705D">
                      <w:t xml:space="preserve">  |  </w:t>
                    </w:r>
                    <w:r w:rsidR="002827CD" w:rsidRPr="00B3705D">
                      <w:rPr>
                        <w:b/>
                        <w:bCs/>
                      </w:rPr>
                      <w:t xml:space="preserve">Page </w:t>
                    </w:r>
                    <w:r w:rsidR="002827CD" w:rsidRPr="00B3705D">
                      <w:rPr>
                        <w:b/>
                        <w:bCs/>
                      </w:rPr>
                      <w:fldChar w:fldCharType="begin"/>
                    </w:r>
                    <w:r w:rsidR="002827CD" w:rsidRPr="00B3705D">
                      <w:rPr>
                        <w:b/>
                        <w:bCs/>
                      </w:rPr>
                      <w:instrText xml:space="preserve"> PAGE  \* Arabic  \* MERGEFORMAT </w:instrText>
                    </w:r>
                    <w:r w:rsidR="002827CD" w:rsidRPr="00B3705D">
                      <w:rPr>
                        <w:b/>
                        <w:bCs/>
                      </w:rPr>
                      <w:fldChar w:fldCharType="separate"/>
                    </w:r>
                    <w:r w:rsidR="002827CD">
                      <w:rPr>
                        <w:b/>
                        <w:bCs/>
                      </w:rPr>
                      <w:t>3</w:t>
                    </w:r>
                    <w:r w:rsidR="002827CD" w:rsidRPr="00B3705D">
                      <w:rPr>
                        <w:b/>
                        <w:bCs/>
                      </w:rPr>
                      <w:fldChar w:fldCharType="end"/>
                    </w:r>
                  </w:p>
                </w:txbxContent>
              </v:textbox>
              <w10:wrap anchory="margin"/>
            </v:shape>
          </w:pict>
        </mc:Fallback>
      </mc:AlternateContent>
    </w:r>
    <w:r w:rsidR="00E14A51" w:rsidRPr="005E792C">
      <w:rPr>
        <w:noProof/>
      </w:rPr>
      <mc:AlternateContent>
        <mc:Choice Requires="wps">
          <w:drawing>
            <wp:anchor distT="0" distB="0" distL="114300" distR="114300" simplePos="0" relativeHeight="251654144" behindDoc="0" locked="0" layoutInCell="1" allowOverlap="1" wp14:anchorId="73CEBFD0" wp14:editId="5DA1920F">
              <wp:simplePos x="0" y="0"/>
              <wp:positionH relativeFrom="column">
                <wp:posOffset>-541020</wp:posOffset>
              </wp:positionH>
              <wp:positionV relativeFrom="margin">
                <wp:align>top</wp:align>
              </wp:positionV>
              <wp:extent cx="399600" cy="4896000"/>
              <wp:effectExtent l="0" t="0" r="635" b="0"/>
              <wp:wrapNone/>
              <wp:docPr id="101" name="Text Box 101"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955C937" w14:textId="4280F118" w:rsidR="00E14A51" w:rsidRDefault="000417B6" w:rsidP="00447E2C">
                          <w:pPr>
                            <w:pStyle w:val="FooterOdd"/>
                          </w:pPr>
                          <w:r>
                            <w:fldChar w:fldCharType="begin"/>
                          </w:r>
                          <w:r>
                            <w:instrText xml:space="preserve"> SUBJECT   \* MERGEFORMAT </w:instrText>
                          </w:r>
                          <w:r>
                            <w:fldChar w:fldCharType="separate"/>
                          </w:r>
                          <w:r w:rsidR="00F62828">
                            <w:t>Statement 4: Meeting Australia's Housing Challenge</w:t>
                          </w:r>
                          <w:r>
                            <w:fldChar w:fldCharType="end"/>
                          </w:r>
                          <w:r w:rsidR="00E14A51" w:rsidRPr="00B3705D">
                            <w:t xml:space="preserve">  |  </w:t>
                          </w:r>
                          <w:r w:rsidR="00E14A51" w:rsidRPr="00B3705D">
                            <w:rPr>
                              <w:b/>
                              <w:bCs/>
                            </w:rPr>
                            <w:t xml:space="preserve">Page </w:t>
                          </w:r>
                          <w:r w:rsidR="00E14A51" w:rsidRPr="00B3705D">
                            <w:rPr>
                              <w:b/>
                              <w:bCs/>
                            </w:rPr>
                            <w:fldChar w:fldCharType="begin"/>
                          </w:r>
                          <w:r w:rsidR="00E14A51" w:rsidRPr="00B3705D">
                            <w:rPr>
                              <w:b/>
                              <w:bCs/>
                            </w:rPr>
                            <w:instrText xml:space="preserve"> PAGE  \* Arabic  \* MERGEFORMAT </w:instrText>
                          </w:r>
                          <w:r w:rsidR="00E14A51" w:rsidRPr="00B3705D">
                            <w:rPr>
                              <w:b/>
                              <w:bCs/>
                            </w:rPr>
                            <w:fldChar w:fldCharType="separate"/>
                          </w:r>
                          <w:r w:rsidR="00E14A51">
                            <w:rPr>
                              <w:b/>
                              <w:bCs/>
                            </w:rPr>
                            <w:t>3</w:t>
                          </w:r>
                          <w:r w:rsidR="00E14A51"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CEBFD0" id="Text Box 101" o:spid="_x0000_s1030" type="#_x0000_t202" alt="Landscape Page Number" style="position:absolute;left:0;text-align:left;margin-left:-42.6pt;margin-top:0;width:31.45pt;height:385.5pt;z-index:2516541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G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7aW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atICBgoCAAD5&#10;AwAADgAAAAAAAAAAAAAAAAAuAgAAZHJzL2Uyb0RvYy54bWxQSwECLQAUAAYACAAAACEAyX5OJ98A&#10;AAAIAQAADwAAAAAAAAAAAAAAAABkBAAAZHJzL2Rvd25yZXYueG1sUEsFBgAAAAAEAAQA8wAAAHAF&#10;AAAAAA==&#10;" stroked="f">
              <v:textbox style="layout-flow:vertical" inset="0,0,0,0">
                <w:txbxContent>
                  <w:p w14:paraId="5955C937" w14:textId="4280F118" w:rsidR="00E14A51" w:rsidRDefault="00000000" w:rsidP="00447E2C">
                    <w:pPr>
                      <w:pStyle w:val="FooterOdd"/>
                    </w:pPr>
                    <w:fldSimple w:instr=" SUBJECT   \* MERGEFORMAT ">
                      <w:r w:rsidR="00F62828">
                        <w:t>Statement 4: Meeting Australia's Housing Challenge</w:t>
                      </w:r>
                    </w:fldSimple>
                    <w:r w:rsidR="00E14A51" w:rsidRPr="00B3705D">
                      <w:t xml:space="preserve">  |  </w:t>
                    </w:r>
                    <w:r w:rsidR="00E14A51" w:rsidRPr="00B3705D">
                      <w:rPr>
                        <w:b/>
                        <w:bCs/>
                      </w:rPr>
                      <w:t xml:space="preserve">Page </w:t>
                    </w:r>
                    <w:r w:rsidR="00E14A51" w:rsidRPr="00B3705D">
                      <w:rPr>
                        <w:b/>
                        <w:bCs/>
                      </w:rPr>
                      <w:fldChar w:fldCharType="begin"/>
                    </w:r>
                    <w:r w:rsidR="00E14A51" w:rsidRPr="00B3705D">
                      <w:rPr>
                        <w:b/>
                        <w:bCs/>
                      </w:rPr>
                      <w:instrText xml:space="preserve"> PAGE  \* Arabic  \* MERGEFORMAT </w:instrText>
                    </w:r>
                    <w:r w:rsidR="00E14A51" w:rsidRPr="00B3705D">
                      <w:rPr>
                        <w:b/>
                        <w:bCs/>
                      </w:rPr>
                      <w:fldChar w:fldCharType="separate"/>
                    </w:r>
                    <w:r w:rsidR="00E14A51">
                      <w:rPr>
                        <w:b/>
                        <w:bCs/>
                      </w:rPr>
                      <w:t>3</w:t>
                    </w:r>
                    <w:r w:rsidR="00E14A51" w:rsidRPr="00B3705D">
                      <w:rPr>
                        <w:b/>
                        <w:bCs/>
                      </w:rPr>
                      <w:fldChar w:fldCharType="end"/>
                    </w:r>
                  </w:p>
                </w:txbxContent>
              </v:textbox>
              <w10:wrap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79BB" w14:textId="7D6CBFC5" w:rsidR="00E14A51" w:rsidRDefault="00E14A51" w:rsidP="00D97FEA">
    <w:pPr>
      <w:pStyle w:val="FooterO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C40E" w14:textId="77777777" w:rsidR="006B693E" w:rsidRPr="003C1CA4" w:rsidRDefault="006B693E"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F6D74A4" w14:textId="77777777" w:rsidR="006B693E" w:rsidRDefault="006B693E" w:rsidP="00E40261">
      <w:pPr>
        <w:spacing w:after="0" w:line="240" w:lineRule="auto"/>
      </w:pPr>
      <w:r>
        <w:continuationSeparator/>
      </w:r>
    </w:p>
  </w:footnote>
  <w:footnote w:type="continuationNotice" w:id="1">
    <w:p w14:paraId="2A21CDF4" w14:textId="77777777" w:rsidR="006B693E" w:rsidRDefault="006B693E">
      <w:pPr>
        <w:spacing w:before="0" w:after="0" w:line="240" w:lineRule="auto"/>
      </w:pPr>
    </w:p>
  </w:footnote>
  <w:footnote w:id="2">
    <w:p w14:paraId="50B4FAC7" w14:textId="106CD3F9" w:rsidR="00F215B6" w:rsidRPr="002F4988" w:rsidRDefault="00706ACF" w:rsidP="00706ACF">
      <w:pPr>
        <w:pStyle w:val="FootnoteText"/>
      </w:pPr>
      <w:r w:rsidRPr="00706ACF">
        <w:rPr>
          <w:rStyle w:val="FootnoteReference"/>
          <w:vertAlign w:val="baseline"/>
        </w:rPr>
        <w:footnoteRef/>
      </w:r>
      <w:r w:rsidR="00F215B6">
        <w:t xml:space="preserve"> </w:t>
      </w:r>
      <w:r>
        <w:tab/>
      </w:r>
      <w:r w:rsidR="00F215B6" w:rsidRPr="009150E6">
        <w:t>This publication contains data, analytics, statistics, results and other information licensed to us by RP Data Pty Ltd trading as CoreLogic Asia Pacific (CoreLogic Data) © Copyright 2024. RP Data Pty Ltd trading as CoreLogic Asia Pacific (CoreLogic) and its licensors are the sole and exclusive owners of all rights, title and interest (including intellectual property rights) subsisting in the CoreLogic Data reproduced in this publication. All rights reserved. The CoreLogic Data provided in this publication is of a general nature and should not be construed as specific advice or relied upon in lieu of appropriate professional advice. While CoreLogic uses commercially reasonable efforts to ensure the CoreLogic Data is current, CoreLogic does not warrant the accuracy, currency or completeness of the CoreLogic Data and to the full extent permitted by law excludes all loss or damage howsoever arising (including through negligence) in connection with the CoreLogic Data.</w:t>
      </w:r>
    </w:p>
  </w:footnote>
  <w:footnote w:id="3">
    <w:p w14:paraId="60F1C3CB" w14:textId="532DB7AB" w:rsidR="000C615A" w:rsidRDefault="00706ACF" w:rsidP="00706ACF">
      <w:pPr>
        <w:pStyle w:val="FootnoteText"/>
      </w:pPr>
      <w:r w:rsidRPr="00706ACF">
        <w:rPr>
          <w:rStyle w:val="FootnoteReference"/>
          <w:vertAlign w:val="baseline"/>
        </w:rPr>
        <w:footnoteRef/>
      </w:r>
      <w:r w:rsidR="000C615A">
        <w:t xml:space="preserve"> </w:t>
      </w:r>
      <w:r>
        <w:tab/>
      </w:r>
      <w:r w:rsidR="000C615A" w:rsidRPr="00706ACF">
        <w:rPr>
          <w:rStyle w:val="ui-provider"/>
        </w:rPr>
        <w:t>CoreLogic</w:t>
      </w:r>
      <w:r w:rsidR="000C615A" w:rsidRPr="009C0EA0">
        <w:rPr>
          <w:rStyle w:val="ui-provider"/>
        </w:rPr>
        <w:t xml:space="preserve"> Data</w:t>
      </w:r>
      <w:r w:rsidR="003B67FC">
        <w:rPr>
          <w:rStyle w:val="ui-provider"/>
        </w:rPr>
        <w:t>.</w:t>
      </w:r>
    </w:p>
  </w:footnote>
  <w:footnote w:id="4">
    <w:p w14:paraId="79B1387D" w14:textId="4B673610" w:rsidR="0021151C" w:rsidRDefault="00706ACF" w:rsidP="0041793C">
      <w:pPr>
        <w:pStyle w:val="FootnoteText"/>
      </w:pPr>
      <w:r w:rsidRPr="00706ACF">
        <w:rPr>
          <w:rStyle w:val="FootnoteReference"/>
          <w:vertAlign w:val="baseline"/>
        </w:rPr>
        <w:footnoteRef/>
      </w:r>
      <w:r w:rsidR="0021151C">
        <w:t xml:space="preserve"> </w:t>
      </w:r>
      <w:r w:rsidR="0041793C" w:rsidRPr="009C0EA0">
        <w:tab/>
      </w:r>
      <w:r w:rsidR="00D04AB5" w:rsidRPr="009C0EA0">
        <w:t xml:space="preserve">Australian Institute of Health and Welfare (n.d.), </w:t>
      </w:r>
      <w:r w:rsidR="0004287B">
        <w:t>‘</w:t>
      </w:r>
      <w:hyperlink r:id="rId1" w:history="1">
        <w:r w:rsidR="00D04AB5" w:rsidRPr="009C0EA0">
          <w:rPr>
            <w:rStyle w:val="Hyperlink"/>
          </w:rPr>
          <w:t>Housing assistance glossary</w:t>
        </w:r>
      </w:hyperlink>
      <w:r w:rsidR="0004287B">
        <w:rPr>
          <w:rStyle w:val="Hyperlink"/>
          <w:u w:val="none"/>
        </w:rPr>
        <w:t>‘</w:t>
      </w:r>
      <w:r w:rsidR="00D04AB5" w:rsidRPr="009C0EA0">
        <w:t>, accessed 6 May 2024.</w:t>
      </w:r>
      <w:r w:rsidR="0021151C" w:rsidRPr="009C0EA0">
        <w:t xml:space="preserve"> </w:t>
      </w:r>
    </w:p>
  </w:footnote>
  <w:footnote w:id="5">
    <w:p w14:paraId="63452DDD" w14:textId="020D50D3" w:rsidR="00527704" w:rsidRDefault="00706ACF" w:rsidP="00527704">
      <w:pPr>
        <w:pStyle w:val="FootnoteText"/>
      </w:pPr>
      <w:r w:rsidRPr="00706ACF">
        <w:rPr>
          <w:rStyle w:val="FootnoteReference"/>
          <w:vertAlign w:val="baseline"/>
        </w:rPr>
        <w:footnoteRef/>
      </w:r>
      <w:r w:rsidR="00527704">
        <w:t xml:space="preserve"> </w:t>
      </w:r>
      <w:r w:rsidR="00967806" w:rsidRPr="009C0EA0">
        <w:tab/>
      </w:r>
      <w:r w:rsidR="00B22113" w:rsidRPr="009C0EA0">
        <w:t>Pawson</w:t>
      </w:r>
      <w:r w:rsidR="003C086F" w:rsidRPr="009C0EA0">
        <w:t>,</w:t>
      </w:r>
      <w:r w:rsidR="00B22113" w:rsidRPr="009C0EA0">
        <w:t xml:space="preserve"> H</w:t>
      </w:r>
      <w:r w:rsidR="003C086F" w:rsidRPr="009C0EA0">
        <w:t>.</w:t>
      </w:r>
      <w:r w:rsidR="00B22113" w:rsidRPr="009C0EA0">
        <w:t>, Milligan</w:t>
      </w:r>
      <w:r w:rsidR="003C086F" w:rsidRPr="009C0EA0">
        <w:t>,</w:t>
      </w:r>
      <w:r w:rsidR="00B22113" w:rsidRPr="009C0EA0">
        <w:t xml:space="preserve"> V</w:t>
      </w:r>
      <w:r w:rsidR="003C086F" w:rsidRPr="009C0EA0">
        <w:t>.,</w:t>
      </w:r>
      <w:r w:rsidR="00890FC1" w:rsidRPr="009C0EA0">
        <w:t xml:space="preserve"> </w:t>
      </w:r>
      <w:r w:rsidR="004175E4" w:rsidRPr="009C0EA0">
        <w:t>&amp;</w:t>
      </w:r>
      <w:r w:rsidR="00890FC1" w:rsidRPr="009C0EA0">
        <w:t xml:space="preserve"> Yates</w:t>
      </w:r>
      <w:r w:rsidR="004175E4" w:rsidRPr="009C0EA0">
        <w:t>,</w:t>
      </w:r>
      <w:r w:rsidR="00890FC1" w:rsidRPr="009C0EA0">
        <w:t xml:space="preserve"> J</w:t>
      </w:r>
      <w:r w:rsidR="004175E4" w:rsidRPr="009C0EA0">
        <w:t>.</w:t>
      </w:r>
      <w:r w:rsidR="00890FC1" w:rsidRPr="009C0EA0">
        <w:t xml:space="preserve"> (2020)</w:t>
      </w:r>
      <w:r w:rsidR="00D95209" w:rsidRPr="009C0EA0">
        <w:t>,</w:t>
      </w:r>
      <w:r w:rsidR="00875D93" w:rsidRPr="009C0EA0">
        <w:t xml:space="preserve"> </w:t>
      </w:r>
      <w:r w:rsidR="00320D61" w:rsidRPr="009C0EA0">
        <w:t>Housing Policy in Australia</w:t>
      </w:r>
      <w:r w:rsidR="00323368" w:rsidRPr="009C0EA0">
        <w:t>: A Case for System Reform</w:t>
      </w:r>
      <w:r w:rsidR="009F5673" w:rsidRPr="009C0EA0">
        <w:t>,</w:t>
      </w:r>
      <w:r w:rsidR="005B3702" w:rsidRPr="009C0EA0">
        <w:t xml:space="preserve"> </w:t>
      </w:r>
      <w:r w:rsidR="001B589B" w:rsidRPr="009C0EA0">
        <w:t>Palgrave Macmilla</w:t>
      </w:r>
      <w:r w:rsidR="00C706BE" w:rsidRPr="009C0EA0">
        <w:t>n,</w:t>
      </w:r>
      <w:r w:rsidR="00FA1BFE" w:rsidRPr="009C0EA0">
        <w:t xml:space="preserve"> </w:t>
      </w:r>
      <w:r w:rsidR="00861699" w:rsidRPr="009C0EA0">
        <w:t>p</w:t>
      </w:r>
      <w:r w:rsidR="00B54FB7" w:rsidRPr="009C0EA0">
        <w:t>.</w:t>
      </w:r>
      <w:r w:rsidR="00861699" w:rsidRPr="009C0EA0">
        <w:t xml:space="preserve"> </w:t>
      </w:r>
      <w:r w:rsidR="00015EF5" w:rsidRPr="009C0EA0">
        <w:t>95.</w:t>
      </w:r>
      <w:r w:rsidR="00D02ECC" w:rsidRPr="009C0EA0">
        <w:t xml:space="preserve"> </w:t>
      </w:r>
    </w:p>
  </w:footnote>
  <w:footnote w:id="6">
    <w:p w14:paraId="362D0792" w14:textId="5E9ECFDE" w:rsidR="00057FEF" w:rsidRDefault="00706ACF">
      <w:pPr>
        <w:pStyle w:val="FootnoteText"/>
      </w:pPr>
      <w:r w:rsidRPr="00706ACF">
        <w:rPr>
          <w:rStyle w:val="FootnoteReference"/>
          <w:vertAlign w:val="baseline"/>
        </w:rPr>
        <w:footnoteRef/>
      </w:r>
      <w:r w:rsidR="00057FEF">
        <w:t xml:space="preserve"> </w:t>
      </w:r>
      <w:r w:rsidR="00967806" w:rsidRPr="009C0EA0">
        <w:tab/>
      </w:r>
      <w:r w:rsidR="00057FEF" w:rsidRPr="009C0EA0">
        <w:t>Productivity Commission</w:t>
      </w:r>
      <w:r w:rsidR="0025150D" w:rsidRPr="009C0EA0">
        <w:t xml:space="preserve"> (</w:t>
      </w:r>
      <w:r w:rsidR="00D9309D" w:rsidRPr="009C0EA0">
        <w:t>2022)</w:t>
      </w:r>
      <w:r w:rsidR="00057FEF" w:rsidRPr="009C0EA0">
        <w:t xml:space="preserve">, </w:t>
      </w:r>
      <w:r w:rsidR="0004287B">
        <w:t>‘</w:t>
      </w:r>
      <w:r w:rsidR="00057FEF" w:rsidRPr="009C0EA0">
        <w:t>In need of repair: the National Housing and Homelessness Agreement</w:t>
      </w:r>
      <w:r w:rsidR="0004287B">
        <w:t>’</w:t>
      </w:r>
      <w:r w:rsidR="008B2C12" w:rsidRPr="009C0EA0">
        <w:t>, p. 18.</w:t>
      </w:r>
    </w:p>
  </w:footnote>
  <w:footnote w:id="7">
    <w:p w14:paraId="07311661" w14:textId="28D30120" w:rsidR="00914D71" w:rsidRDefault="00706ACF">
      <w:pPr>
        <w:pStyle w:val="FootnoteText"/>
      </w:pPr>
      <w:r w:rsidRPr="00706ACF">
        <w:rPr>
          <w:rStyle w:val="FootnoteReference"/>
          <w:vertAlign w:val="baseline"/>
        </w:rPr>
        <w:footnoteRef/>
      </w:r>
      <w:r w:rsidR="00914D71">
        <w:t xml:space="preserve"> </w:t>
      </w:r>
      <w:r w:rsidR="00967806" w:rsidRPr="009C0EA0">
        <w:tab/>
      </w:r>
      <w:r w:rsidR="004805BC" w:rsidRPr="009C0EA0">
        <w:t>National Housing Supply and Affordability Council</w:t>
      </w:r>
      <w:r w:rsidR="0076226D" w:rsidRPr="009C0EA0">
        <w:t xml:space="preserve"> (</w:t>
      </w:r>
      <w:r w:rsidR="00C6009E" w:rsidRPr="009C0EA0">
        <w:t xml:space="preserve">2024), </w:t>
      </w:r>
      <w:r w:rsidR="0004287B">
        <w:t>‘</w:t>
      </w:r>
      <w:hyperlink r:id="rId2" w:history="1">
        <w:r w:rsidR="004805BC" w:rsidRPr="009C0EA0">
          <w:rPr>
            <w:rStyle w:val="Hyperlink"/>
            <w:u w:val="none"/>
          </w:rPr>
          <w:t>State of the Housing System 2024</w:t>
        </w:r>
      </w:hyperlink>
      <w:r w:rsidR="0004287B">
        <w:rPr>
          <w:rStyle w:val="Hyperlink"/>
          <w:u w:val="none"/>
        </w:rPr>
        <w:t>‘</w:t>
      </w:r>
      <w:r w:rsidR="004805BC" w:rsidRPr="009C0EA0">
        <w:t>, p</w:t>
      </w:r>
      <w:r w:rsidR="00F23A68">
        <w:t>.</w:t>
      </w:r>
      <w:r w:rsidR="004805BC" w:rsidRPr="009C0EA0">
        <w:t xml:space="preserve"> </w:t>
      </w:r>
      <w:r w:rsidR="002D6A5A" w:rsidRPr="009C0EA0">
        <w:t>107.</w:t>
      </w:r>
    </w:p>
  </w:footnote>
  <w:footnote w:id="8">
    <w:p w14:paraId="65841891" w14:textId="67188F4C" w:rsidR="00A01C8E" w:rsidRDefault="00706ACF" w:rsidP="00967806">
      <w:pPr>
        <w:pStyle w:val="FootnoteText"/>
      </w:pPr>
      <w:r w:rsidRPr="00706ACF">
        <w:rPr>
          <w:rStyle w:val="FootnoteReference"/>
          <w:vertAlign w:val="baseline"/>
        </w:rPr>
        <w:footnoteRef/>
      </w:r>
      <w:r w:rsidR="00A01C8E">
        <w:t xml:space="preserve"> </w:t>
      </w:r>
      <w:r w:rsidR="00967806" w:rsidRPr="009C0EA0">
        <w:tab/>
      </w:r>
      <w:r w:rsidR="00375E49" w:rsidRPr="009C0EA0">
        <w:t>In this context, rental stress is defined as spending more than 30</w:t>
      </w:r>
      <w:r w:rsidR="0079584A" w:rsidRPr="009C0EA0">
        <w:t> per cent</w:t>
      </w:r>
      <w:r w:rsidR="00375E49" w:rsidRPr="009C0EA0">
        <w:t xml:space="preserve"> of gross income on rent. </w:t>
      </w:r>
      <w:r w:rsidR="00F93DE6" w:rsidRPr="009C0EA0">
        <w:t>C</w:t>
      </w:r>
      <w:r w:rsidR="005D2592" w:rsidRPr="009C0EA0">
        <w:t xml:space="preserve">ommonwealth </w:t>
      </w:r>
      <w:r w:rsidR="00F93DE6" w:rsidRPr="009C0EA0">
        <w:t>R</w:t>
      </w:r>
      <w:r w:rsidR="005D2592" w:rsidRPr="009C0EA0">
        <w:t xml:space="preserve">ent </w:t>
      </w:r>
      <w:r w:rsidR="00F93DE6" w:rsidRPr="009C0EA0">
        <w:t>A</w:t>
      </w:r>
      <w:r w:rsidR="005D2592" w:rsidRPr="009C0EA0">
        <w:t>ssistance</w:t>
      </w:r>
      <w:r w:rsidR="00F93DE6" w:rsidRPr="009C0EA0">
        <w:t xml:space="preserve"> data sourced from Department of Social Services </w:t>
      </w:r>
      <w:r w:rsidR="0068281C" w:rsidRPr="009C0EA0">
        <w:t>a</w:t>
      </w:r>
      <w:r w:rsidR="00F93DE6" w:rsidRPr="009C0EA0">
        <w:t xml:space="preserve">dministrative </w:t>
      </w:r>
      <w:r w:rsidR="0068281C" w:rsidRPr="009C0EA0">
        <w:t>d</w:t>
      </w:r>
      <w:r w:rsidR="00F93DE6" w:rsidRPr="009C0EA0">
        <w:t xml:space="preserve">ata. </w:t>
      </w:r>
    </w:p>
  </w:footnote>
  <w:footnote w:id="9">
    <w:p w14:paraId="05E00601" w14:textId="5278B679" w:rsidR="00BB6B13" w:rsidRDefault="00706ACF" w:rsidP="001739E7">
      <w:pPr>
        <w:pStyle w:val="FootnoteText"/>
      </w:pPr>
      <w:r w:rsidRPr="00706ACF">
        <w:footnoteRef/>
      </w:r>
      <w:r w:rsidR="00BB6B13">
        <w:t xml:space="preserve"> </w:t>
      </w:r>
      <w:r w:rsidR="001739E7" w:rsidRPr="009C0EA0">
        <w:tab/>
      </w:r>
      <w:r w:rsidR="00BB6B13" w:rsidRPr="009C0EA0">
        <w:t>Daley</w:t>
      </w:r>
      <w:r w:rsidR="00A23AF2" w:rsidRPr="009C0EA0">
        <w:t>, J</w:t>
      </w:r>
      <w:r w:rsidR="00BB6B13" w:rsidRPr="009C0EA0">
        <w:t xml:space="preserve"> </w:t>
      </w:r>
      <w:r w:rsidR="00A23AF2" w:rsidRPr="009C0EA0">
        <w:t xml:space="preserve">&amp; </w:t>
      </w:r>
      <w:r w:rsidR="00BB6B13" w:rsidRPr="009C0EA0">
        <w:t>B</w:t>
      </w:r>
      <w:r w:rsidR="00A23AF2" w:rsidRPr="009C0EA0">
        <w:t>,</w:t>
      </w:r>
      <w:r w:rsidR="00BB6B13" w:rsidRPr="009C0EA0">
        <w:t xml:space="preserve"> Coates</w:t>
      </w:r>
      <w:r w:rsidR="00A23AF2" w:rsidRPr="009C0EA0">
        <w:t xml:space="preserve"> (2018)</w:t>
      </w:r>
      <w:r w:rsidR="00BB6B13" w:rsidRPr="009C0EA0">
        <w:t xml:space="preserve">, </w:t>
      </w:r>
      <w:r w:rsidR="0004287B">
        <w:t>‘</w:t>
      </w:r>
      <w:hyperlink r:id="rId3" w:history="1">
        <w:r w:rsidR="00A570EA" w:rsidRPr="009C0EA0">
          <w:rPr>
            <w:rStyle w:val="Hyperlink"/>
          </w:rPr>
          <w:t>Reimagining the Australian dream</w:t>
        </w:r>
      </w:hyperlink>
      <w:r w:rsidR="0004287B">
        <w:rPr>
          <w:rStyle w:val="Hyperlink"/>
          <w:u w:val="none"/>
        </w:rPr>
        <w:t>‘</w:t>
      </w:r>
      <w:r w:rsidR="00A570EA" w:rsidRPr="009C0EA0">
        <w:t xml:space="preserve">, </w:t>
      </w:r>
      <w:r w:rsidR="002501E8" w:rsidRPr="009C0EA0">
        <w:t>Grattan Institute</w:t>
      </w:r>
      <w:r w:rsidR="00A570EA" w:rsidRPr="009C0EA0">
        <w:t>, p.</w:t>
      </w:r>
      <w:r w:rsidR="00A81872">
        <w:t xml:space="preserve"> </w:t>
      </w:r>
      <w:r w:rsidR="00A570EA" w:rsidRPr="009C0EA0">
        <w:t>17, 111.</w:t>
      </w:r>
    </w:p>
  </w:footnote>
  <w:footnote w:id="10">
    <w:p w14:paraId="7197F072" w14:textId="0A2167AF" w:rsidR="000F55D7" w:rsidRDefault="00706ACF" w:rsidP="000F55D7">
      <w:pPr>
        <w:pStyle w:val="FootnoteText"/>
      </w:pPr>
      <w:r w:rsidRPr="00706ACF">
        <w:rPr>
          <w:rStyle w:val="FootnoteReference"/>
          <w:vertAlign w:val="baseline"/>
        </w:rPr>
        <w:footnoteRef/>
      </w:r>
      <w:r w:rsidR="000F55D7">
        <w:t xml:space="preserve"> </w:t>
      </w:r>
      <w:r w:rsidR="00101E91" w:rsidRPr="009C0EA0">
        <w:tab/>
      </w:r>
      <w:r w:rsidR="000F55D7" w:rsidRPr="009C0EA0">
        <w:t>Dockery</w:t>
      </w:r>
      <w:r w:rsidR="00A169D0" w:rsidRPr="009C0EA0">
        <w:t>,</w:t>
      </w:r>
      <w:r w:rsidR="00CB18C2" w:rsidRPr="009C0EA0">
        <w:t xml:space="preserve"> </w:t>
      </w:r>
      <w:r w:rsidR="00AC7997" w:rsidRPr="009C0EA0">
        <w:t>M</w:t>
      </w:r>
      <w:r w:rsidR="00D67D4D" w:rsidRPr="009C0EA0">
        <w:t xml:space="preserve">, </w:t>
      </w:r>
      <w:r w:rsidR="00987A57" w:rsidRPr="009C0EA0">
        <w:t>Ong</w:t>
      </w:r>
      <w:r w:rsidR="00A169D0" w:rsidRPr="009C0EA0">
        <w:t>,</w:t>
      </w:r>
      <w:r w:rsidR="00E25310" w:rsidRPr="009C0EA0">
        <w:t xml:space="preserve"> R, Colqu</w:t>
      </w:r>
      <w:r w:rsidR="002D3840" w:rsidRPr="009C0EA0">
        <w:t>houn</w:t>
      </w:r>
      <w:r w:rsidR="00A169D0" w:rsidRPr="009C0EA0">
        <w:t>,</w:t>
      </w:r>
      <w:r w:rsidR="002D3840" w:rsidRPr="009C0EA0">
        <w:t xml:space="preserve"> S, Li</w:t>
      </w:r>
      <w:r w:rsidR="00A169D0" w:rsidRPr="009C0EA0">
        <w:t>,</w:t>
      </w:r>
      <w:r w:rsidR="002D3840" w:rsidRPr="009C0EA0">
        <w:t xml:space="preserve"> J</w:t>
      </w:r>
      <w:r w:rsidR="004E12E8" w:rsidRPr="009C0EA0">
        <w:t xml:space="preserve"> </w:t>
      </w:r>
      <w:r w:rsidR="00A169D0" w:rsidRPr="009C0EA0">
        <w:t>&amp;</w:t>
      </w:r>
      <w:r w:rsidR="000F664D" w:rsidRPr="009C0EA0">
        <w:t xml:space="preserve"> Kendall</w:t>
      </w:r>
      <w:r w:rsidR="00C52BEB" w:rsidRPr="009C0EA0">
        <w:t>,</w:t>
      </w:r>
      <w:r w:rsidR="000F664D" w:rsidRPr="009C0EA0">
        <w:t xml:space="preserve"> G</w:t>
      </w:r>
      <w:r w:rsidR="00C52BEB" w:rsidRPr="009C0EA0">
        <w:t xml:space="preserve"> (2013)</w:t>
      </w:r>
      <w:r w:rsidR="00C03866" w:rsidRPr="009C0EA0">
        <w:t>,</w:t>
      </w:r>
      <w:r w:rsidR="00695427" w:rsidRPr="009C0EA0">
        <w:t xml:space="preserve"> </w:t>
      </w:r>
      <w:r w:rsidR="0004287B">
        <w:t>‘</w:t>
      </w:r>
      <w:hyperlink r:id="rId4" w:history="1">
        <w:r w:rsidR="006402D4" w:rsidRPr="009C0EA0">
          <w:rPr>
            <w:rStyle w:val="Hyperlink"/>
          </w:rPr>
          <w:t>Housing and children</w:t>
        </w:r>
        <w:r w:rsidR="0004287B">
          <w:rPr>
            <w:rStyle w:val="Hyperlink"/>
          </w:rPr>
          <w:t>’</w:t>
        </w:r>
        <w:r w:rsidR="006402D4" w:rsidRPr="009C0EA0">
          <w:rPr>
            <w:rStyle w:val="Hyperlink"/>
          </w:rPr>
          <w:t>s development and wellbeing: evidence from Australian data</w:t>
        </w:r>
      </w:hyperlink>
      <w:r w:rsidR="0004287B">
        <w:t>‘</w:t>
      </w:r>
      <w:r w:rsidR="00EE028F" w:rsidRPr="009C0EA0">
        <w:t xml:space="preserve">, </w:t>
      </w:r>
      <w:r w:rsidR="005903CE" w:rsidRPr="009C0EA0">
        <w:t>Final Report No. 201</w:t>
      </w:r>
      <w:r w:rsidR="00EE028F" w:rsidRPr="009C0EA0">
        <w:t>, A</w:t>
      </w:r>
      <w:r w:rsidR="00456AA9" w:rsidRPr="009C0EA0">
        <w:t>ustralian Housing and Urban Research Institute Limited</w:t>
      </w:r>
      <w:r w:rsidR="00AB0D5C" w:rsidRPr="009C0EA0">
        <w:t>, p</w:t>
      </w:r>
      <w:r w:rsidR="00496729" w:rsidRPr="009C0EA0">
        <w:t>.</w:t>
      </w:r>
      <w:r w:rsidR="00AB0D5C" w:rsidRPr="009C0EA0">
        <w:t xml:space="preserve"> 5.</w:t>
      </w:r>
    </w:p>
  </w:footnote>
  <w:footnote w:id="11">
    <w:p w14:paraId="6CF03907" w14:textId="2EE398A6" w:rsidR="000F55D7" w:rsidRDefault="00706ACF" w:rsidP="000F55D7">
      <w:pPr>
        <w:pStyle w:val="FootnoteText"/>
      </w:pPr>
      <w:r w:rsidRPr="00706ACF">
        <w:rPr>
          <w:rStyle w:val="FootnoteReference"/>
          <w:vertAlign w:val="baseline"/>
        </w:rPr>
        <w:footnoteRef/>
      </w:r>
      <w:r w:rsidR="000F55D7">
        <w:t xml:space="preserve"> </w:t>
      </w:r>
      <w:r w:rsidR="00101E91" w:rsidRPr="009C0EA0">
        <w:tab/>
      </w:r>
      <w:r w:rsidR="000F55D7" w:rsidRPr="009C0EA0">
        <w:t>Brackertz</w:t>
      </w:r>
      <w:r w:rsidR="00496729" w:rsidRPr="009C0EA0">
        <w:t>,</w:t>
      </w:r>
      <w:r w:rsidR="00633A6D" w:rsidRPr="009C0EA0">
        <w:t xml:space="preserve"> N</w:t>
      </w:r>
      <w:r w:rsidR="00E815C7" w:rsidRPr="009C0EA0">
        <w:t>, Davidson</w:t>
      </w:r>
      <w:r w:rsidR="00496729" w:rsidRPr="009C0EA0">
        <w:t>,</w:t>
      </w:r>
      <w:r w:rsidR="00E815C7" w:rsidRPr="009C0EA0">
        <w:t xml:space="preserve"> J, Borrow</w:t>
      </w:r>
      <w:r w:rsidR="00E70CFD" w:rsidRPr="009C0EA0">
        <w:t>man</w:t>
      </w:r>
      <w:r w:rsidR="00DB38E3" w:rsidRPr="009C0EA0">
        <w:t>, L</w:t>
      </w:r>
      <w:r w:rsidR="00E70CFD" w:rsidRPr="009C0EA0">
        <w:t xml:space="preserve"> </w:t>
      </w:r>
      <w:r w:rsidR="008B0CE5" w:rsidRPr="009C0EA0">
        <w:t>&amp;</w:t>
      </w:r>
      <w:r w:rsidR="00E70CFD" w:rsidRPr="009C0EA0">
        <w:t xml:space="preserve"> Roggenbuck</w:t>
      </w:r>
      <w:r w:rsidR="008B0CE5" w:rsidRPr="009C0EA0">
        <w:t>,</w:t>
      </w:r>
      <w:r w:rsidR="00E70CFD" w:rsidRPr="009C0EA0">
        <w:t xml:space="preserve"> C</w:t>
      </w:r>
      <w:r w:rsidR="008B0CE5" w:rsidRPr="009C0EA0">
        <w:t xml:space="preserve"> (2019)</w:t>
      </w:r>
      <w:r w:rsidR="005279D4" w:rsidRPr="009C0EA0">
        <w:t xml:space="preserve">, </w:t>
      </w:r>
      <w:r w:rsidR="0004287B">
        <w:t>‘</w:t>
      </w:r>
      <w:hyperlink r:id="rId5" w:history="1">
        <w:r w:rsidR="00335035" w:rsidRPr="009C0EA0">
          <w:rPr>
            <w:rStyle w:val="Hyperlink"/>
          </w:rPr>
          <w:t>Overcr</w:t>
        </w:r>
        <w:bookmarkStart w:id="35" w:name="_Hlt166070718"/>
        <w:bookmarkStart w:id="36" w:name="_Hlt166070719"/>
        <w:r w:rsidR="00335035" w:rsidRPr="009C0EA0">
          <w:rPr>
            <w:rStyle w:val="Hyperlink"/>
          </w:rPr>
          <w:t>o</w:t>
        </w:r>
        <w:bookmarkEnd w:id="35"/>
        <w:bookmarkEnd w:id="36"/>
        <w:r w:rsidR="00335035" w:rsidRPr="009C0EA0">
          <w:rPr>
            <w:rStyle w:val="Hyperlink"/>
          </w:rPr>
          <w:t>wding and severe overcrowding: an analysis of literature, data, policies and programs</w:t>
        </w:r>
      </w:hyperlink>
      <w:r w:rsidR="0004287B">
        <w:rPr>
          <w:i/>
          <w:iCs/>
        </w:rPr>
        <w:t>‘</w:t>
      </w:r>
      <w:r w:rsidR="005279D4" w:rsidRPr="009C0EA0">
        <w:t>,</w:t>
      </w:r>
      <w:r w:rsidR="003369ED" w:rsidRPr="009C0EA0">
        <w:t xml:space="preserve"> Australian Housing and Urban Research Institute Limited</w:t>
      </w:r>
      <w:r w:rsidR="004F33E9" w:rsidRPr="009C0EA0">
        <w:t xml:space="preserve">, </w:t>
      </w:r>
      <w:r w:rsidR="00B115D7" w:rsidRPr="009C0EA0">
        <w:t>p 61</w:t>
      </w:r>
      <w:r w:rsidR="00D744DD" w:rsidRPr="009C0EA0">
        <w:t>, 67</w:t>
      </w:r>
      <w:r w:rsidR="0004287B">
        <w:noBreakHyphen/>
      </w:r>
      <w:r w:rsidR="00D744DD" w:rsidRPr="009C0EA0">
        <w:t>68.</w:t>
      </w:r>
    </w:p>
  </w:footnote>
  <w:footnote w:id="12">
    <w:p w14:paraId="163E8C78" w14:textId="3264548E" w:rsidR="00C71563" w:rsidRDefault="00706ACF">
      <w:pPr>
        <w:pStyle w:val="FootnoteText"/>
      </w:pPr>
      <w:r w:rsidRPr="00706ACF">
        <w:rPr>
          <w:rStyle w:val="FootnoteReference"/>
          <w:vertAlign w:val="baseline"/>
        </w:rPr>
        <w:footnoteRef/>
      </w:r>
      <w:r w:rsidR="00C71563">
        <w:t xml:space="preserve"> </w:t>
      </w:r>
      <w:r w:rsidR="00101E91" w:rsidRPr="009C0EA0">
        <w:tab/>
      </w:r>
      <w:r w:rsidR="00C71563" w:rsidRPr="009C0EA0">
        <w:t xml:space="preserve">Australian Institute </w:t>
      </w:r>
      <w:r w:rsidR="00EB3E93" w:rsidRPr="009C0EA0">
        <w:t>of Health and Welfare</w:t>
      </w:r>
      <w:r w:rsidR="00CD0E3A" w:rsidRPr="009C0EA0">
        <w:t xml:space="preserve"> </w:t>
      </w:r>
      <w:r w:rsidR="002843F7" w:rsidRPr="009C0EA0">
        <w:t>(n.d.)</w:t>
      </w:r>
      <w:r w:rsidR="005B22F0" w:rsidRPr="009C0EA0">
        <w:t xml:space="preserve">, </w:t>
      </w:r>
      <w:r w:rsidR="0004287B">
        <w:t>‘</w:t>
      </w:r>
      <w:hyperlink r:id="rId6" w:history="1">
        <w:r w:rsidR="005B22F0" w:rsidRPr="009C0EA0">
          <w:rPr>
            <w:rStyle w:val="Hyperlink"/>
          </w:rPr>
          <w:t xml:space="preserve">Specialist </w:t>
        </w:r>
        <w:r w:rsidR="008D534B" w:rsidRPr="009C0EA0">
          <w:rPr>
            <w:rStyle w:val="Hyperlink"/>
          </w:rPr>
          <w:t>Homelessness</w:t>
        </w:r>
        <w:r w:rsidR="00EE3FEF" w:rsidRPr="009C0EA0">
          <w:rPr>
            <w:rStyle w:val="Hyperlink"/>
          </w:rPr>
          <w:t xml:space="preserve"> Services Annual Report 2022</w:t>
        </w:r>
        <w:r w:rsidR="0004287B">
          <w:rPr>
            <w:rStyle w:val="Hyperlink"/>
          </w:rPr>
          <w:noBreakHyphen/>
        </w:r>
        <w:r w:rsidR="00EE3FEF" w:rsidRPr="009C0EA0">
          <w:rPr>
            <w:rStyle w:val="Hyperlink"/>
          </w:rPr>
          <w:t>23</w:t>
        </w:r>
      </w:hyperlink>
      <w:r w:rsidR="0004287B">
        <w:rPr>
          <w:rStyle w:val="Hyperlink"/>
          <w:u w:val="none"/>
        </w:rPr>
        <w:t>‘</w:t>
      </w:r>
      <w:r w:rsidR="009A3EEF" w:rsidRPr="009C0EA0">
        <w:t xml:space="preserve">, </w:t>
      </w:r>
      <w:r w:rsidR="00082F7C" w:rsidRPr="009C0EA0">
        <w:t xml:space="preserve">accessed </w:t>
      </w:r>
      <w:r w:rsidR="00E14228" w:rsidRPr="009C0EA0">
        <w:t>3 May 2024</w:t>
      </w:r>
      <w:r w:rsidR="00614000" w:rsidRPr="009C0EA0">
        <w:t>.</w:t>
      </w:r>
    </w:p>
  </w:footnote>
  <w:footnote w:id="13">
    <w:p w14:paraId="49FAA1F7" w14:textId="2EBF4F48" w:rsidR="003A02D1" w:rsidRDefault="00706ACF" w:rsidP="003A02D1">
      <w:pPr>
        <w:pStyle w:val="FootnoteText"/>
      </w:pPr>
      <w:r w:rsidRPr="00706ACF">
        <w:rPr>
          <w:rStyle w:val="FootnoteReference"/>
          <w:vertAlign w:val="baseline"/>
        </w:rPr>
        <w:footnoteRef/>
      </w:r>
      <w:r w:rsidR="003A02D1">
        <w:t xml:space="preserve"> </w:t>
      </w:r>
      <w:r w:rsidR="00101E91" w:rsidRPr="009C0EA0">
        <w:tab/>
      </w:r>
      <w:r w:rsidR="003A02D1" w:rsidRPr="009C0EA0">
        <w:t xml:space="preserve">Wong, </w:t>
      </w:r>
      <w:r w:rsidR="0012502D" w:rsidRPr="009C0EA0">
        <w:t>A (2024),</w:t>
      </w:r>
      <w:r w:rsidR="003A02D1" w:rsidRPr="009C0EA0">
        <w:t xml:space="preserve"> </w:t>
      </w:r>
      <w:r w:rsidR="0004287B">
        <w:t>‘</w:t>
      </w:r>
      <w:hyperlink r:id="rId7" w:history="1">
        <w:r w:rsidR="003A02D1" w:rsidRPr="009C0EA0">
          <w:rPr>
            <w:rStyle w:val="Hyperlink"/>
          </w:rPr>
          <w:t>Climbing the wage ladder: linking job mobility and wages</w:t>
        </w:r>
      </w:hyperlink>
      <w:r w:rsidR="0004287B">
        <w:rPr>
          <w:rStyle w:val="Hyperlink"/>
          <w:iCs/>
          <w:u w:val="none"/>
        </w:rPr>
        <w:t>‘</w:t>
      </w:r>
      <w:r w:rsidR="003A02D1" w:rsidRPr="009C0EA0">
        <w:t>, e61</w:t>
      </w:r>
      <w:r w:rsidR="002C175D" w:rsidRPr="009C0EA0">
        <w:t xml:space="preserve"> Institute</w:t>
      </w:r>
      <w:r w:rsidR="00083E49" w:rsidRPr="009C0EA0">
        <w:t>.</w:t>
      </w:r>
    </w:p>
  </w:footnote>
  <w:footnote w:id="14">
    <w:p w14:paraId="23A1A2F5" w14:textId="37325258" w:rsidR="003A02D1" w:rsidRPr="003B4768" w:rsidRDefault="00706ACF" w:rsidP="003A02D1">
      <w:pPr>
        <w:pStyle w:val="FootnoteText"/>
      </w:pPr>
      <w:r w:rsidRPr="00706ACF">
        <w:rPr>
          <w:rStyle w:val="FootnoteReference"/>
          <w:vertAlign w:val="baseline"/>
        </w:rPr>
        <w:footnoteRef/>
      </w:r>
      <w:r w:rsidR="003A02D1">
        <w:t xml:space="preserve"> </w:t>
      </w:r>
      <w:r w:rsidR="00101E91" w:rsidRPr="009C0EA0">
        <w:tab/>
      </w:r>
      <w:r w:rsidR="00311DA5" w:rsidRPr="009C0EA0">
        <w:t xml:space="preserve">Buckley, J (2023), </w:t>
      </w:r>
      <w:r w:rsidR="0004287B">
        <w:t>‘</w:t>
      </w:r>
      <w:hyperlink r:id="rId8" w:history="1">
        <w:r w:rsidR="00311DA5" w:rsidRPr="009C0EA0">
          <w:rPr>
            <w:rStyle w:val="Hyperlink"/>
          </w:rPr>
          <w:t>Productivity in motion: the role of job switching</w:t>
        </w:r>
      </w:hyperlink>
      <w:r w:rsidR="0004287B">
        <w:rPr>
          <w:rStyle w:val="Hyperlink"/>
          <w:u w:val="none"/>
        </w:rPr>
        <w:t>‘</w:t>
      </w:r>
      <w:r w:rsidR="00311DA5" w:rsidRPr="009C0EA0">
        <w:t>, e61 Institute.</w:t>
      </w:r>
    </w:p>
  </w:footnote>
  <w:footnote w:id="15">
    <w:p w14:paraId="0AF568F9" w14:textId="7E822EEF" w:rsidR="003A02D1" w:rsidRDefault="00706ACF" w:rsidP="003A02D1">
      <w:pPr>
        <w:pStyle w:val="FootnoteText"/>
      </w:pPr>
      <w:r w:rsidRPr="00706ACF">
        <w:rPr>
          <w:rStyle w:val="FootnoteReference"/>
          <w:vertAlign w:val="baseline"/>
        </w:rPr>
        <w:footnoteRef/>
      </w:r>
      <w:r w:rsidR="003A02D1">
        <w:t xml:space="preserve"> </w:t>
      </w:r>
      <w:r w:rsidR="00101E91" w:rsidRPr="009C0EA0">
        <w:tab/>
      </w:r>
      <w:r w:rsidR="008F6A95" w:rsidRPr="009C0EA0">
        <w:t>Deutscher</w:t>
      </w:r>
      <w:r w:rsidR="00BC6864" w:rsidRPr="009C0EA0">
        <w:t xml:space="preserve">, </w:t>
      </w:r>
      <w:r w:rsidR="00311DA5" w:rsidRPr="009C0EA0">
        <w:t>N (</w:t>
      </w:r>
      <w:r w:rsidR="00B619AA" w:rsidRPr="009C0EA0">
        <w:t>2019),</w:t>
      </w:r>
      <w:r w:rsidR="00BC6864" w:rsidRPr="009C0EA0">
        <w:t xml:space="preserve"> </w:t>
      </w:r>
      <w:r w:rsidR="0004287B">
        <w:t>‘</w:t>
      </w:r>
      <w:hyperlink r:id="rId9" w:history="1">
        <w:r w:rsidR="006F7DD1" w:rsidRPr="009C0EA0">
          <w:rPr>
            <w:rStyle w:val="Hyperlink"/>
          </w:rPr>
          <w:t>Job</w:t>
        </w:r>
        <w:r w:rsidR="0004287B">
          <w:rPr>
            <w:rStyle w:val="Hyperlink"/>
          </w:rPr>
          <w:noBreakHyphen/>
        </w:r>
        <w:r w:rsidR="00714573" w:rsidRPr="009C0EA0">
          <w:rPr>
            <w:rStyle w:val="Hyperlink"/>
          </w:rPr>
          <w:t>to</w:t>
        </w:r>
        <w:r w:rsidR="0004287B">
          <w:rPr>
            <w:rStyle w:val="Hyperlink"/>
          </w:rPr>
          <w:noBreakHyphen/>
        </w:r>
        <w:r w:rsidR="00714573" w:rsidRPr="009C0EA0">
          <w:rPr>
            <w:rStyle w:val="Hyperlink"/>
          </w:rPr>
          <w:t>job transitions and the wages of Australian workers</w:t>
        </w:r>
      </w:hyperlink>
      <w:r w:rsidR="0004287B">
        <w:t>‘</w:t>
      </w:r>
      <w:r w:rsidR="00077589" w:rsidRPr="009C0EA0">
        <w:t xml:space="preserve">, </w:t>
      </w:r>
      <w:r w:rsidR="006727C3" w:rsidRPr="009C0EA0">
        <w:t>Treasury Working Paper 2019</w:t>
      </w:r>
      <w:r w:rsidR="0004287B">
        <w:noBreakHyphen/>
      </w:r>
      <w:r w:rsidR="006727C3" w:rsidRPr="009C0EA0">
        <w:t>7,</w:t>
      </w:r>
      <w:r w:rsidR="00077589" w:rsidRPr="009C0EA0">
        <w:t xml:space="preserve"> Australian Government </w:t>
      </w:r>
      <w:r w:rsidR="00B9681B" w:rsidRPr="009C0EA0">
        <w:t>the Treasury</w:t>
      </w:r>
      <w:r w:rsidR="00A7648B" w:rsidRPr="009C0EA0">
        <w:t>;</w:t>
      </w:r>
      <w:r w:rsidR="0012609B" w:rsidRPr="009C0EA0">
        <w:t xml:space="preserve"> </w:t>
      </w:r>
      <w:r w:rsidR="00657B52" w:rsidRPr="009C0EA0">
        <w:t xml:space="preserve">Wong, A (2024), </w:t>
      </w:r>
      <w:r w:rsidR="0004287B">
        <w:t>‘</w:t>
      </w:r>
      <w:hyperlink r:id="rId10" w:history="1">
        <w:r w:rsidR="00657B52" w:rsidRPr="009C0EA0">
          <w:rPr>
            <w:rStyle w:val="Hyperlink"/>
          </w:rPr>
          <w:t>Climbing the wage ladder: linking job mobility and wages</w:t>
        </w:r>
      </w:hyperlink>
      <w:r w:rsidR="0004287B">
        <w:rPr>
          <w:rStyle w:val="Hyperlink"/>
          <w:u w:val="none"/>
        </w:rPr>
        <w:t>‘</w:t>
      </w:r>
      <w:r w:rsidR="00657B52" w:rsidRPr="009C0EA0">
        <w:t>, e61 Institute.</w:t>
      </w:r>
    </w:p>
  </w:footnote>
  <w:footnote w:id="16">
    <w:p w14:paraId="4A59593A" w14:textId="6FEFFAE8" w:rsidR="00904ABF" w:rsidRDefault="00706ACF">
      <w:pPr>
        <w:pStyle w:val="FootnoteText"/>
      </w:pPr>
      <w:r w:rsidRPr="00706ACF">
        <w:rPr>
          <w:rStyle w:val="FootnoteReference"/>
          <w:vertAlign w:val="baseline"/>
        </w:rPr>
        <w:footnoteRef/>
      </w:r>
      <w:r w:rsidR="00904ABF">
        <w:t xml:space="preserve"> </w:t>
      </w:r>
      <w:r w:rsidR="00101E91" w:rsidRPr="009C0EA0">
        <w:tab/>
      </w:r>
      <w:r w:rsidR="000C0F80" w:rsidRPr="009C0EA0">
        <w:t>National Housing Supply and Affordability Council</w:t>
      </w:r>
      <w:r w:rsidR="00F76468" w:rsidRPr="009C0EA0">
        <w:t xml:space="preserve"> (2024), </w:t>
      </w:r>
      <w:r w:rsidR="0004287B">
        <w:t>‘</w:t>
      </w:r>
      <w:hyperlink r:id="rId11" w:history="1">
        <w:r w:rsidR="00F76468" w:rsidRPr="009C0EA0">
          <w:rPr>
            <w:rStyle w:val="Hyperlink"/>
            <w:u w:val="none"/>
          </w:rPr>
          <w:t>State of the Housing System 2024</w:t>
        </w:r>
      </w:hyperlink>
      <w:r w:rsidR="0004287B">
        <w:rPr>
          <w:rStyle w:val="Hyperlink"/>
          <w:u w:val="none"/>
        </w:rPr>
        <w:t>‘</w:t>
      </w:r>
      <w:r w:rsidR="003456A6" w:rsidRPr="009C0EA0">
        <w:t>,</w:t>
      </w:r>
      <w:r w:rsidR="00904ABF" w:rsidRPr="009C0EA0">
        <w:t xml:space="preserve"> p.</w:t>
      </w:r>
      <w:r w:rsidR="00222163">
        <w:t xml:space="preserve"> </w:t>
      </w:r>
      <w:r w:rsidR="00904ABF" w:rsidRPr="009C0EA0">
        <w:t>35</w:t>
      </w:r>
      <w:r w:rsidR="0004287B">
        <w:noBreakHyphen/>
      </w:r>
      <w:r w:rsidR="00904ABF" w:rsidRPr="009C0EA0">
        <w:t>37.</w:t>
      </w:r>
      <w:r w:rsidR="0033413B" w:rsidRPr="009C0EA0">
        <w:t xml:space="preserve"> </w:t>
      </w:r>
    </w:p>
  </w:footnote>
  <w:footnote w:id="17">
    <w:p w14:paraId="6557B822" w14:textId="2B55D395" w:rsidR="00006238" w:rsidRDefault="00706ACF">
      <w:pPr>
        <w:pStyle w:val="FootnoteText"/>
      </w:pPr>
      <w:r w:rsidRPr="00706ACF">
        <w:rPr>
          <w:rStyle w:val="FootnoteReference"/>
          <w:vertAlign w:val="baseline"/>
        </w:rPr>
        <w:footnoteRef/>
      </w:r>
      <w:r w:rsidR="00006238">
        <w:t xml:space="preserve"> </w:t>
      </w:r>
      <w:r w:rsidR="00101E91" w:rsidRPr="009C0EA0">
        <w:tab/>
      </w:r>
      <w:r w:rsidR="000E1935" w:rsidRPr="009C0EA0">
        <w:t>A</w:t>
      </w:r>
      <w:r w:rsidR="008C25A8" w:rsidRPr="009C0EA0">
        <w:t>ustralian Bureau of Statistics</w:t>
      </w:r>
      <w:r w:rsidR="000D78C5" w:rsidRPr="009C0EA0">
        <w:t xml:space="preserve"> (released 18 October 2023)</w:t>
      </w:r>
      <w:r w:rsidR="008C25A8" w:rsidRPr="009C0EA0">
        <w:t xml:space="preserve">, </w:t>
      </w:r>
      <w:r w:rsidR="0004287B">
        <w:t>‘</w:t>
      </w:r>
      <w:r w:rsidR="00FE27BB" w:rsidRPr="009C0EA0">
        <w:rPr>
          <w:u w:val="single"/>
        </w:rPr>
        <w:t xml:space="preserve">Building activity, </w:t>
      </w:r>
      <w:r w:rsidR="0011081C" w:rsidRPr="009C0EA0">
        <w:rPr>
          <w:u w:val="single"/>
        </w:rPr>
        <w:t xml:space="preserve">average dwelling completion times, </w:t>
      </w:r>
      <w:r w:rsidR="00FE27BB" w:rsidRPr="009C0EA0">
        <w:rPr>
          <w:u w:val="single"/>
        </w:rPr>
        <w:t>Australia</w:t>
      </w:r>
      <w:r w:rsidR="0004287B">
        <w:t>’</w:t>
      </w:r>
      <w:r w:rsidR="00FE27BB" w:rsidRPr="009C0EA0">
        <w:rPr>
          <w:i/>
          <w:iCs/>
        </w:rPr>
        <w:t>,</w:t>
      </w:r>
      <w:r w:rsidR="00B3694C" w:rsidRPr="009C0EA0">
        <w:t xml:space="preserve"> </w:t>
      </w:r>
      <w:r w:rsidR="001A7978" w:rsidRPr="009C0EA0">
        <w:t xml:space="preserve">accessed </w:t>
      </w:r>
      <w:r w:rsidR="00EA557C" w:rsidRPr="009C0EA0">
        <w:t>30 April 2024.</w:t>
      </w:r>
    </w:p>
  </w:footnote>
  <w:footnote w:id="18">
    <w:p w14:paraId="532F0F67" w14:textId="1853ABE1" w:rsidR="00462BD5" w:rsidRDefault="00706ACF">
      <w:pPr>
        <w:pStyle w:val="FootnoteText"/>
      </w:pPr>
      <w:r w:rsidRPr="00706ACF">
        <w:rPr>
          <w:rStyle w:val="FootnoteReference"/>
          <w:vertAlign w:val="baseline"/>
        </w:rPr>
        <w:footnoteRef/>
      </w:r>
      <w:r w:rsidR="00462BD5">
        <w:t xml:space="preserve"> </w:t>
      </w:r>
      <w:r w:rsidR="00101E91" w:rsidRPr="009C0EA0">
        <w:tab/>
      </w:r>
      <w:r w:rsidR="00F579F6" w:rsidRPr="009C0EA0">
        <w:t>This empirical research cannot be extrapolated</w:t>
      </w:r>
      <w:r w:rsidR="00096252" w:rsidRPr="009C0EA0">
        <w:t xml:space="preserve"> to imply a price impact of the </w:t>
      </w:r>
      <w:r w:rsidR="00652A6A" w:rsidRPr="009C0EA0">
        <w:t xml:space="preserve">1.2 million new homes target under the National Housing Accord. </w:t>
      </w:r>
    </w:p>
  </w:footnote>
  <w:footnote w:id="19">
    <w:p w14:paraId="4C5209FC" w14:textId="1AA3D0CC" w:rsidR="002F076E" w:rsidRPr="00EF1F98" w:rsidRDefault="00706ACF" w:rsidP="002F076E">
      <w:pPr>
        <w:pStyle w:val="FootnoteText"/>
      </w:pPr>
      <w:r w:rsidRPr="00706ACF">
        <w:rPr>
          <w:rStyle w:val="FootnoteReference"/>
          <w:vertAlign w:val="baseline"/>
        </w:rPr>
        <w:footnoteRef/>
      </w:r>
      <w:r w:rsidR="002F076E">
        <w:t xml:space="preserve"> </w:t>
      </w:r>
      <w:r w:rsidR="00101E91" w:rsidRPr="009C0EA0">
        <w:tab/>
      </w:r>
      <w:r w:rsidR="002F076E" w:rsidRPr="009C0EA0">
        <w:t>The Centre for Independent Studies (</w:t>
      </w:r>
      <w:r w:rsidR="005620E5" w:rsidRPr="009C0EA0">
        <w:t>2021</w:t>
      </w:r>
      <w:r w:rsidR="002F076E" w:rsidRPr="009C0EA0">
        <w:t xml:space="preserve">), </w:t>
      </w:r>
      <w:r w:rsidR="0004287B">
        <w:t>‘</w:t>
      </w:r>
      <w:hyperlink r:id="rId12" w:history="1">
        <w:r w:rsidR="002F076E" w:rsidRPr="009C0EA0">
          <w:rPr>
            <w:rStyle w:val="Hyperlink"/>
          </w:rPr>
          <w:t>Submission to the Inquiry into Housing Affordability and Supply in Australia</w:t>
        </w:r>
      </w:hyperlink>
      <w:r w:rsidR="0004287B">
        <w:t>‘</w:t>
      </w:r>
      <w:r w:rsidR="002F076E" w:rsidRPr="009C0EA0">
        <w:t>, submission to the House of Representatives Standing Committee on Tax and Revenue, p</w:t>
      </w:r>
      <w:r w:rsidR="005620E5" w:rsidRPr="009C0EA0">
        <w:t>.</w:t>
      </w:r>
      <w:r w:rsidR="002F076E" w:rsidRPr="009C0EA0">
        <w:t xml:space="preserve"> 9; Productivity Commission (</w:t>
      </w:r>
      <w:r w:rsidR="00F22061" w:rsidRPr="009C0EA0">
        <w:t xml:space="preserve">2022), </w:t>
      </w:r>
      <w:r w:rsidR="0004287B">
        <w:t>‘</w:t>
      </w:r>
      <w:r w:rsidR="00F22061" w:rsidRPr="009C0EA0">
        <w:t>In need of repair: the National Housing and Homelessness Agreement</w:t>
      </w:r>
      <w:r w:rsidR="0004287B">
        <w:t>’</w:t>
      </w:r>
      <w:r w:rsidR="00F22061" w:rsidRPr="009C0EA0">
        <w:t>,</w:t>
      </w:r>
      <w:r w:rsidR="002F076E" w:rsidRPr="009C0EA0">
        <w:t xml:space="preserve"> p</w:t>
      </w:r>
      <w:r w:rsidR="00F22061" w:rsidRPr="009C0EA0">
        <w:t>.</w:t>
      </w:r>
      <w:r w:rsidR="002F076E" w:rsidRPr="009C0EA0">
        <w:t xml:space="preserve"> 462.</w:t>
      </w:r>
    </w:p>
  </w:footnote>
  <w:footnote w:id="20">
    <w:p w14:paraId="0255DF9E" w14:textId="2974E626" w:rsidR="002F076E" w:rsidRDefault="00706ACF" w:rsidP="002F076E">
      <w:pPr>
        <w:pStyle w:val="FootnoteText"/>
      </w:pPr>
      <w:r w:rsidRPr="00706ACF">
        <w:rPr>
          <w:rStyle w:val="FootnoteReference"/>
          <w:vertAlign w:val="baseline"/>
        </w:rPr>
        <w:footnoteRef/>
      </w:r>
      <w:r w:rsidR="002F076E">
        <w:t xml:space="preserve"> </w:t>
      </w:r>
      <w:r w:rsidR="00101E91" w:rsidRPr="009C0EA0">
        <w:tab/>
      </w:r>
      <w:r w:rsidR="00037351" w:rsidRPr="009C0EA0">
        <w:t xml:space="preserve">Daley, J &amp; B, Coates (2018), </w:t>
      </w:r>
      <w:r w:rsidR="0004287B">
        <w:t>‘</w:t>
      </w:r>
      <w:hyperlink r:id="rId13" w:history="1">
        <w:r w:rsidR="00037351" w:rsidRPr="009C0EA0">
          <w:rPr>
            <w:rStyle w:val="Hyperlink"/>
          </w:rPr>
          <w:t>Reimagining the Australian dream</w:t>
        </w:r>
      </w:hyperlink>
      <w:r w:rsidR="0004287B">
        <w:rPr>
          <w:rStyle w:val="Hyperlink"/>
          <w:u w:val="none"/>
        </w:rPr>
        <w:t>‘</w:t>
      </w:r>
      <w:r w:rsidR="00037351" w:rsidRPr="009C0EA0">
        <w:t>, Grattan Institute</w:t>
      </w:r>
      <w:r w:rsidR="002F076E" w:rsidRPr="009C0EA0">
        <w:t>, p.</w:t>
      </w:r>
      <w:r w:rsidR="00037351" w:rsidRPr="009C0EA0">
        <w:t xml:space="preserve"> </w:t>
      </w:r>
      <w:r w:rsidR="002F076E" w:rsidRPr="009C0EA0">
        <w:t>3; Productivity Commission (</w:t>
      </w:r>
      <w:r w:rsidR="00F22061" w:rsidRPr="009C0EA0">
        <w:t xml:space="preserve">2022), </w:t>
      </w:r>
      <w:r w:rsidR="0004287B">
        <w:t>‘</w:t>
      </w:r>
      <w:r w:rsidR="00F22061" w:rsidRPr="009C0EA0">
        <w:t>In need of repair: the National Housing and Homelessness Agreement</w:t>
      </w:r>
      <w:r w:rsidR="0004287B">
        <w:t>’</w:t>
      </w:r>
      <w:r w:rsidR="00F22061" w:rsidRPr="009C0EA0">
        <w:t xml:space="preserve">, </w:t>
      </w:r>
      <w:r w:rsidR="002F076E" w:rsidRPr="009C0EA0">
        <w:t>p</w:t>
      </w:r>
      <w:r w:rsidR="00F22061" w:rsidRPr="009C0EA0">
        <w:t>.</w:t>
      </w:r>
      <w:r w:rsidR="002F076E" w:rsidRPr="009C0EA0">
        <w:t xml:space="preserve"> 462.</w:t>
      </w:r>
    </w:p>
  </w:footnote>
  <w:footnote w:id="21">
    <w:p w14:paraId="3370666C" w14:textId="52074C4D" w:rsidR="002F076E" w:rsidRDefault="00706ACF" w:rsidP="002F076E">
      <w:pPr>
        <w:pStyle w:val="FootnoteText"/>
      </w:pPr>
      <w:r w:rsidRPr="00706ACF">
        <w:rPr>
          <w:rStyle w:val="FootnoteReference"/>
          <w:vertAlign w:val="baseline"/>
        </w:rPr>
        <w:footnoteRef/>
      </w:r>
      <w:r w:rsidR="002F076E">
        <w:t xml:space="preserve"> </w:t>
      </w:r>
      <w:r w:rsidR="00101E91" w:rsidRPr="009C0EA0">
        <w:tab/>
      </w:r>
      <w:r w:rsidR="002F076E" w:rsidRPr="009C0EA0">
        <w:t>Saunders</w:t>
      </w:r>
      <w:r w:rsidR="004C2930" w:rsidRPr="009C0EA0">
        <w:t>, T</w:t>
      </w:r>
      <w:r w:rsidR="002F076E" w:rsidRPr="009C0EA0">
        <w:t xml:space="preserve"> </w:t>
      </w:r>
      <w:r w:rsidR="004C2930" w:rsidRPr="009C0EA0">
        <w:t>&amp;</w:t>
      </w:r>
      <w:r w:rsidR="002F076E" w:rsidRPr="009C0EA0">
        <w:t xml:space="preserve"> Tulip,</w:t>
      </w:r>
      <w:r w:rsidR="004C2930" w:rsidRPr="009C0EA0">
        <w:t xml:space="preserve"> P (</w:t>
      </w:r>
      <w:r w:rsidR="00242E61" w:rsidRPr="009C0EA0">
        <w:t xml:space="preserve">2019), </w:t>
      </w:r>
      <w:r w:rsidR="0004287B">
        <w:t>‘</w:t>
      </w:r>
      <w:hyperlink r:id="rId14" w:history="1">
        <w:r w:rsidR="003F3F20" w:rsidRPr="009C0EA0">
          <w:rPr>
            <w:rStyle w:val="Hyperlink"/>
          </w:rPr>
          <w:t>A model of the Australian housing market</w:t>
        </w:r>
        <w:r w:rsidR="0004287B">
          <w:rPr>
            <w:rStyle w:val="Hyperlink"/>
            <w:u w:val="none"/>
          </w:rPr>
          <w:t>’</w:t>
        </w:r>
      </w:hyperlink>
      <w:r w:rsidR="003F3F20" w:rsidRPr="009C0EA0">
        <w:t xml:space="preserve">, Research </w:t>
      </w:r>
      <w:r w:rsidR="00CC3D0B" w:rsidRPr="009C0EA0">
        <w:t>D</w:t>
      </w:r>
      <w:r w:rsidR="003F3F20" w:rsidRPr="009C0EA0">
        <w:t xml:space="preserve">iscussion </w:t>
      </w:r>
      <w:r w:rsidR="00CC3D0B" w:rsidRPr="009C0EA0">
        <w:t>P</w:t>
      </w:r>
      <w:r w:rsidR="003F3F20" w:rsidRPr="009C0EA0">
        <w:t>aper</w:t>
      </w:r>
      <w:r w:rsidR="00CC3D0B" w:rsidRPr="009C0EA0">
        <w:t xml:space="preserve"> 2019</w:t>
      </w:r>
      <w:r w:rsidR="0004287B">
        <w:noBreakHyphen/>
      </w:r>
      <w:r w:rsidR="00CC3D0B" w:rsidRPr="009C0EA0">
        <w:t>01</w:t>
      </w:r>
      <w:r w:rsidR="003F3F20" w:rsidRPr="009C0EA0">
        <w:t>, Reserve Bank of Australia</w:t>
      </w:r>
      <w:r w:rsidR="008D3EAC" w:rsidRPr="009C0EA0">
        <w:t>, p</w:t>
      </w:r>
      <w:r w:rsidR="00AE59A1">
        <w:t xml:space="preserve"> </w:t>
      </w:r>
      <w:r w:rsidR="008D3EAC" w:rsidRPr="009C0EA0">
        <w:t>.28.</w:t>
      </w:r>
      <w:r w:rsidR="002F076E" w:rsidRPr="009C0EA0">
        <w:t xml:space="preserve"> Productivity Commission (</w:t>
      </w:r>
      <w:r w:rsidR="00F22061" w:rsidRPr="009C0EA0">
        <w:t xml:space="preserve">2022), </w:t>
      </w:r>
      <w:r w:rsidR="0004287B">
        <w:t>‘</w:t>
      </w:r>
      <w:r w:rsidR="00F22061" w:rsidRPr="009C0EA0">
        <w:t>In need of repair: the National Housing and Homelessness Agreement</w:t>
      </w:r>
      <w:r w:rsidR="0004287B">
        <w:t>’</w:t>
      </w:r>
      <w:r w:rsidR="002F076E" w:rsidRPr="009C0EA0">
        <w:t>, p</w:t>
      </w:r>
      <w:r w:rsidR="005D0EFE">
        <w:t>.</w:t>
      </w:r>
      <w:r w:rsidR="002F076E" w:rsidRPr="009C0EA0">
        <w:t xml:space="preserve"> 462.</w:t>
      </w:r>
    </w:p>
  </w:footnote>
  <w:footnote w:id="22">
    <w:p w14:paraId="2E459FD2" w14:textId="328D979A" w:rsidR="00150C56" w:rsidRDefault="00706ACF" w:rsidP="00150C56">
      <w:pPr>
        <w:pStyle w:val="FootnoteText"/>
      </w:pPr>
      <w:r w:rsidRPr="00706ACF">
        <w:rPr>
          <w:rStyle w:val="FootnoteReference"/>
          <w:vertAlign w:val="baseline"/>
        </w:rPr>
        <w:footnoteRef/>
      </w:r>
      <w:r w:rsidR="00150C56">
        <w:t xml:space="preserve"> </w:t>
      </w:r>
      <w:r w:rsidR="00101E91" w:rsidRPr="009C0EA0">
        <w:tab/>
      </w:r>
      <w:r w:rsidR="00712D5B" w:rsidRPr="009C0EA0">
        <w:t>Australian Bureau of Statistics</w:t>
      </w:r>
      <w:r w:rsidR="00EE2528" w:rsidRPr="009C0EA0">
        <w:t xml:space="preserve"> (released 18 October 2023)</w:t>
      </w:r>
      <w:r w:rsidR="00712D5B" w:rsidRPr="009C0EA0">
        <w:t xml:space="preserve">, </w:t>
      </w:r>
      <w:r w:rsidR="0004287B">
        <w:t>‘</w:t>
      </w:r>
      <w:r w:rsidR="00712D5B" w:rsidRPr="009C0EA0">
        <w:rPr>
          <w:u w:val="single"/>
        </w:rPr>
        <w:t>Building activity, average dwelling completion times, Australia</w:t>
      </w:r>
      <w:r w:rsidR="0004287B">
        <w:t>’</w:t>
      </w:r>
      <w:r w:rsidR="00712D5B" w:rsidRPr="009C0EA0">
        <w:rPr>
          <w:i/>
          <w:iCs/>
        </w:rPr>
        <w:t>,</w:t>
      </w:r>
      <w:r w:rsidR="00712D5B" w:rsidRPr="009C0EA0">
        <w:t xml:space="preserve"> accessed 30 April 2024.</w:t>
      </w:r>
    </w:p>
  </w:footnote>
  <w:footnote w:id="23">
    <w:p w14:paraId="40111068" w14:textId="46122435" w:rsidR="00150C56" w:rsidRDefault="00706ACF" w:rsidP="00150C56">
      <w:pPr>
        <w:pStyle w:val="FootnoteText"/>
      </w:pPr>
      <w:r w:rsidRPr="00706ACF">
        <w:rPr>
          <w:rStyle w:val="FootnoteReference"/>
          <w:vertAlign w:val="baseline"/>
        </w:rPr>
        <w:footnoteRef/>
      </w:r>
      <w:r w:rsidR="00150C56">
        <w:t xml:space="preserve"> </w:t>
      </w:r>
      <w:r w:rsidR="00101E91" w:rsidRPr="009C0EA0">
        <w:tab/>
      </w:r>
      <w:r w:rsidR="004D4086" w:rsidRPr="009C0EA0">
        <w:t>National Housing Supply and Affordability Council</w:t>
      </w:r>
      <w:r w:rsidR="00F76468" w:rsidRPr="009C0EA0">
        <w:t xml:space="preserve"> (2024), </w:t>
      </w:r>
      <w:r w:rsidR="0004287B">
        <w:t>‘</w:t>
      </w:r>
      <w:hyperlink r:id="rId15" w:history="1">
        <w:r w:rsidR="00F76468" w:rsidRPr="009C0EA0">
          <w:rPr>
            <w:rStyle w:val="Hyperlink"/>
            <w:u w:val="none"/>
          </w:rPr>
          <w:t>State of the Housing System 2024</w:t>
        </w:r>
      </w:hyperlink>
      <w:r w:rsidR="0004287B">
        <w:rPr>
          <w:rStyle w:val="Hyperlink"/>
          <w:u w:val="none"/>
        </w:rPr>
        <w:t>‘</w:t>
      </w:r>
      <w:r w:rsidR="004D4086" w:rsidRPr="009C0EA0">
        <w:t xml:space="preserve">, </w:t>
      </w:r>
      <w:r w:rsidR="00150C56" w:rsidRPr="009C0EA0">
        <w:t>p.</w:t>
      </w:r>
      <w:r w:rsidR="00AE59A1">
        <w:t xml:space="preserve"> </w:t>
      </w:r>
      <w:r w:rsidR="00150C56" w:rsidRPr="009C0EA0">
        <w:t>88.</w:t>
      </w:r>
    </w:p>
  </w:footnote>
  <w:footnote w:id="24">
    <w:p w14:paraId="6037EBBB" w14:textId="518BDC52" w:rsidR="00D16550" w:rsidRDefault="00706ACF">
      <w:pPr>
        <w:pStyle w:val="FootnoteText"/>
      </w:pPr>
      <w:r w:rsidRPr="00706ACF">
        <w:rPr>
          <w:rStyle w:val="FootnoteReference"/>
          <w:vertAlign w:val="baseline"/>
        </w:rPr>
        <w:footnoteRef/>
      </w:r>
      <w:r w:rsidR="00D16550">
        <w:t xml:space="preserve"> </w:t>
      </w:r>
      <w:r w:rsidR="00101E91" w:rsidRPr="009C0EA0">
        <w:tab/>
      </w:r>
      <w:r w:rsidR="00EF5275" w:rsidRPr="009C0EA0">
        <w:t>Productivity Commission</w:t>
      </w:r>
      <w:r w:rsidR="00F22061" w:rsidRPr="009C0EA0">
        <w:t xml:space="preserve"> (2022), </w:t>
      </w:r>
      <w:r w:rsidR="0004287B">
        <w:t>‘</w:t>
      </w:r>
      <w:r w:rsidR="00F22061" w:rsidRPr="009C0EA0">
        <w:t>In need of repair: the National Housing and Homelessness Agreement</w:t>
      </w:r>
      <w:r w:rsidR="0004287B">
        <w:t>’</w:t>
      </w:r>
      <w:r w:rsidR="00F22061" w:rsidRPr="009C0EA0">
        <w:t>,</w:t>
      </w:r>
      <w:r w:rsidR="00D16550" w:rsidRPr="009C0EA0">
        <w:t xml:space="preserve"> p.</w:t>
      </w:r>
      <w:r w:rsidR="00AF476F">
        <w:t xml:space="preserve"> </w:t>
      </w:r>
      <w:r w:rsidR="00D16550" w:rsidRPr="009C0EA0">
        <w:t>525</w:t>
      </w:r>
      <w:r w:rsidR="00640181" w:rsidRPr="009C0EA0">
        <w:t>.</w:t>
      </w:r>
    </w:p>
  </w:footnote>
  <w:footnote w:id="25">
    <w:p w14:paraId="37FD3A03" w14:textId="4AF6D144" w:rsidR="00A318D5" w:rsidRDefault="00706ACF">
      <w:pPr>
        <w:pStyle w:val="FootnoteText"/>
      </w:pPr>
      <w:r w:rsidRPr="00706ACF">
        <w:rPr>
          <w:rStyle w:val="FootnoteReference"/>
          <w:vertAlign w:val="baseline"/>
        </w:rPr>
        <w:footnoteRef/>
      </w:r>
      <w:r w:rsidR="00A318D5">
        <w:t xml:space="preserve"> </w:t>
      </w:r>
      <w:r w:rsidR="00101E91" w:rsidRPr="009C0EA0">
        <w:tab/>
      </w:r>
      <w:r w:rsidR="006B7303" w:rsidRPr="009C0EA0">
        <w:t>Productivity Commission</w:t>
      </w:r>
      <w:r w:rsidR="00F22061" w:rsidRPr="009C0EA0">
        <w:t xml:space="preserve"> (2022), </w:t>
      </w:r>
      <w:r w:rsidR="0004287B">
        <w:t>‘</w:t>
      </w:r>
      <w:r w:rsidR="00F22061" w:rsidRPr="009C0EA0">
        <w:t>In need of repair: the National Housing and Homelessness Agreement</w:t>
      </w:r>
      <w:r w:rsidR="0004287B">
        <w:t>’</w:t>
      </w:r>
      <w:r w:rsidR="00F22061" w:rsidRPr="009C0EA0">
        <w:t>,</w:t>
      </w:r>
      <w:r w:rsidR="00A318D5" w:rsidRPr="009C0EA0">
        <w:t xml:space="preserve"> p.</w:t>
      </w:r>
      <w:r w:rsidR="00AF476F">
        <w:t xml:space="preserve"> </w:t>
      </w:r>
      <w:r w:rsidR="00A318D5" w:rsidRPr="009C0EA0">
        <w:t>468.</w:t>
      </w:r>
    </w:p>
  </w:footnote>
  <w:footnote w:id="26">
    <w:p w14:paraId="51E35525" w14:textId="64E3E430" w:rsidR="00CF0ADC" w:rsidRPr="00FE0FB6" w:rsidRDefault="00706ACF" w:rsidP="00CF0ADC">
      <w:pPr>
        <w:pStyle w:val="FootnoteText"/>
      </w:pPr>
      <w:r w:rsidRPr="00706ACF">
        <w:rPr>
          <w:rStyle w:val="FootnoteReference"/>
          <w:vertAlign w:val="baseline"/>
        </w:rPr>
        <w:footnoteRef/>
      </w:r>
      <w:r w:rsidR="00CF0ADC">
        <w:t xml:space="preserve"> </w:t>
      </w:r>
      <w:r w:rsidR="007D6D2B" w:rsidRPr="009C0EA0">
        <w:tab/>
      </w:r>
      <w:r w:rsidR="00051781" w:rsidRPr="009C0EA0">
        <w:t>Department of Transport and Planning</w:t>
      </w:r>
      <w:r w:rsidR="00CF0061" w:rsidRPr="009C0EA0">
        <w:t xml:space="preserve"> (n.d.)</w:t>
      </w:r>
      <w:r w:rsidR="00051781" w:rsidRPr="009C0EA0">
        <w:t xml:space="preserve">, </w:t>
      </w:r>
      <w:r w:rsidR="0004287B">
        <w:t>‘</w:t>
      </w:r>
      <w:hyperlink r:id="rId16" w:history="1">
        <w:r w:rsidR="00051781" w:rsidRPr="009C0EA0">
          <w:rPr>
            <w:rStyle w:val="Hyperlink"/>
          </w:rPr>
          <w:t>Pl</w:t>
        </w:r>
        <w:bookmarkStart w:id="44" w:name="_Hlt166134434"/>
        <w:bookmarkStart w:id="45" w:name="_Hlt166134435"/>
        <w:r w:rsidR="00051781" w:rsidRPr="009C0EA0">
          <w:rPr>
            <w:rStyle w:val="Hyperlink"/>
          </w:rPr>
          <w:t>a</w:t>
        </w:r>
        <w:bookmarkEnd w:id="44"/>
        <w:bookmarkEnd w:id="45"/>
        <w:r w:rsidR="00051781" w:rsidRPr="009C0EA0">
          <w:rPr>
            <w:rStyle w:val="Hyperlink"/>
          </w:rPr>
          <w:t>nning permit activity reporting</w:t>
        </w:r>
      </w:hyperlink>
      <w:r w:rsidR="0004287B">
        <w:t>‘</w:t>
      </w:r>
      <w:r w:rsidR="00473DA9" w:rsidRPr="009C0EA0">
        <w:t>, Victorian Government</w:t>
      </w:r>
      <w:r w:rsidR="00CF0ADC" w:rsidRPr="009C0EA0">
        <w:t xml:space="preserve">, accessed </w:t>
      </w:r>
      <w:r w:rsidR="00473DA9" w:rsidRPr="009C0EA0">
        <w:t>8 May</w:t>
      </w:r>
      <w:r w:rsidR="00CF0ADC" w:rsidRPr="009C0EA0">
        <w:t xml:space="preserve"> 2024; </w:t>
      </w:r>
      <w:r w:rsidR="001B1675" w:rsidRPr="009C0EA0">
        <w:t>New South Wales Government</w:t>
      </w:r>
      <w:r w:rsidR="000153BF" w:rsidRPr="009C0EA0">
        <w:t xml:space="preserve"> (n.d.)</w:t>
      </w:r>
      <w:r w:rsidR="001B1675" w:rsidRPr="009C0EA0">
        <w:t xml:space="preserve">, </w:t>
      </w:r>
      <w:r w:rsidR="0004287B">
        <w:t>‘</w:t>
      </w:r>
      <w:hyperlink r:id="rId17" w:history="1">
        <w:r w:rsidR="001B1675" w:rsidRPr="009C0EA0">
          <w:rPr>
            <w:rStyle w:val="Hyperlink"/>
          </w:rPr>
          <w:t>NSW Planning Performance Dashboard</w:t>
        </w:r>
      </w:hyperlink>
      <w:r w:rsidR="0004287B">
        <w:t>‘</w:t>
      </w:r>
      <w:r w:rsidR="004B36D9" w:rsidRPr="009C0EA0">
        <w:t>,</w:t>
      </w:r>
      <w:r w:rsidR="001B1675" w:rsidRPr="009C0EA0">
        <w:t xml:space="preserve"> </w:t>
      </w:r>
      <w:r w:rsidR="00CF0ADC" w:rsidRPr="009C0EA0">
        <w:t xml:space="preserve">accessed 27 April 2024. </w:t>
      </w:r>
    </w:p>
  </w:footnote>
  <w:footnote w:id="27">
    <w:p w14:paraId="4B9D45CC" w14:textId="4D7AB078" w:rsidR="006C1181" w:rsidRDefault="00706ACF" w:rsidP="006C1181">
      <w:pPr>
        <w:pStyle w:val="FootnoteText"/>
      </w:pPr>
      <w:r w:rsidRPr="00706ACF">
        <w:rPr>
          <w:rStyle w:val="FootnoteReference"/>
          <w:vertAlign w:val="baseline"/>
        </w:rPr>
        <w:footnoteRef/>
      </w:r>
      <w:r w:rsidR="006C1181">
        <w:t xml:space="preserve"> </w:t>
      </w:r>
      <w:r w:rsidR="007D6D2B" w:rsidRPr="009C0EA0">
        <w:tab/>
      </w:r>
      <w:r w:rsidR="000A5CD7" w:rsidRPr="009C0EA0">
        <w:t xml:space="preserve">Daley, J &amp; B, Coates (2018), </w:t>
      </w:r>
      <w:r w:rsidR="0004287B">
        <w:t>‘</w:t>
      </w:r>
      <w:hyperlink r:id="rId18" w:history="1">
        <w:r w:rsidR="000A5CD7" w:rsidRPr="009C0EA0">
          <w:rPr>
            <w:rStyle w:val="Hyperlink"/>
          </w:rPr>
          <w:t>Reimagining the Australian dream</w:t>
        </w:r>
      </w:hyperlink>
      <w:r w:rsidR="0004287B">
        <w:rPr>
          <w:rStyle w:val="Hyperlink"/>
          <w:u w:val="none"/>
        </w:rPr>
        <w:t>‘</w:t>
      </w:r>
      <w:r w:rsidR="000A5CD7" w:rsidRPr="009C0EA0">
        <w:t>, Grattan Institute</w:t>
      </w:r>
      <w:r w:rsidR="006C1181" w:rsidRPr="009C0EA0">
        <w:t>, p.</w:t>
      </w:r>
      <w:r w:rsidR="00AF476F">
        <w:t xml:space="preserve"> </w:t>
      </w:r>
      <w:r w:rsidR="006C1181" w:rsidRPr="009C0EA0">
        <w:t>56.</w:t>
      </w:r>
    </w:p>
  </w:footnote>
  <w:footnote w:id="28">
    <w:p w14:paraId="6B8B6EEF" w14:textId="732080D8" w:rsidR="006C1181" w:rsidRPr="0001771E" w:rsidRDefault="00706ACF" w:rsidP="006C1181">
      <w:pPr>
        <w:pStyle w:val="FootnoteText"/>
      </w:pPr>
      <w:r w:rsidRPr="00706ACF">
        <w:rPr>
          <w:rStyle w:val="FootnoteReference"/>
          <w:vertAlign w:val="baseline"/>
        </w:rPr>
        <w:footnoteRef/>
      </w:r>
      <w:r w:rsidR="006C1181">
        <w:t xml:space="preserve"> </w:t>
      </w:r>
      <w:r w:rsidR="007D6D2B" w:rsidRPr="009C0EA0">
        <w:tab/>
      </w:r>
      <w:r w:rsidR="006C1181" w:rsidRPr="009C0EA0">
        <w:t>Jenner</w:t>
      </w:r>
      <w:r w:rsidR="00DA2E7B" w:rsidRPr="009C0EA0">
        <w:t>, K</w:t>
      </w:r>
      <w:r w:rsidR="006C1181" w:rsidRPr="009C0EA0">
        <w:t xml:space="preserve"> </w:t>
      </w:r>
      <w:r w:rsidR="00DA2E7B" w:rsidRPr="009C0EA0">
        <w:t>&amp;</w:t>
      </w:r>
      <w:r w:rsidR="006C1181" w:rsidRPr="009C0EA0">
        <w:t xml:space="preserve"> Tulip, </w:t>
      </w:r>
      <w:r w:rsidR="00DA2E7B" w:rsidRPr="009C0EA0">
        <w:t xml:space="preserve">P (2020), </w:t>
      </w:r>
      <w:r w:rsidR="0004287B">
        <w:t>‘</w:t>
      </w:r>
      <w:hyperlink r:id="rId19" w:history="1">
        <w:r w:rsidR="001E1132" w:rsidRPr="009C0EA0">
          <w:rPr>
            <w:rStyle w:val="Hyperlink"/>
          </w:rPr>
          <w:t>The apartment shortage</w:t>
        </w:r>
        <w:r w:rsidR="0004287B">
          <w:rPr>
            <w:rStyle w:val="Hyperlink"/>
          </w:rPr>
          <w:t>’</w:t>
        </w:r>
      </w:hyperlink>
      <w:r w:rsidR="00F85878" w:rsidRPr="009C0EA0">
        <w:t>,</w:t>
      </w:r>
      <w:r w:rsidR="006C1181" w:rsidRPr="009C0EA0">
        <w:t xml:space="preserve"> </w:t>
      </w:r>
      <w:r w:rsidR="00CD0B88" w:rsidRPr="009C0EA0">
        <w:t>Research Discussion Paper 2020</w:t>
      </w:r>
      <w:r w:rsidR="0004287B">
        <w:noBreakHyphen/>
      </w:r>
      <w:r w:rsidR="00CD0B88" w:rsidRPr="009C0EA0">
        <w:t>04</w:t>
      </w:r>
      <w:r w:rsidR="006C1181" w:rsidRPr="009C0EA0">
        <w:t xml:space="preserve">, </w:t>
      </w:r>
      <w:r w:rsidR="00A03F2C" w:rsidRPr="009C0EA0">
        <w:t>Reserve Bank of Australia,</w:t>
      </w:r>
      <w:r w:rsidR="006C1181" w:rsidRPr="009C0EA0">
        <w:t xml:space="preserve"> p.</w:t>
      </w:r>
      <w:r w:rsidR="00AF476F">
        <w:t xml:space="preserve"> </w:t>
      </w:r>
      <w:r w:rsidR="006C1181" w:rsidRPr="009C0EA0">
        <w:t>5.</w:t>
      </w:r>
    </w:p>
  </w:footnote>
  <w:footnote w:id="29">
    <w:p w14:paraId="13B65882" w14:textId="16B16A2C" w:rsidR="004A4499" w:rsidRDefault="00706ACF">
      <w:pPr>
        <w:pStyle w:val="FootnoteText"/>
      </w:pPr>
      <w:r w:rsidRPr="00706ACF">
        <w:rPr>
          <w:rStyle w:val="FootnoteReference"/>
          <w:vertAlign w:val="baseline"/>
        </w:rPr>
        <w:footnoteRef/>
      </w:r>
      <w:r w:rsidR="004A4499">
        <w:t xml:space="preserve"> </w:t>
      </w:r>
      <w:r w:rsidR="007D6D2B" w:rsidRPr="009C0EA0">
        <w:tab/>
      </w:r>
      <w:r w:rsidR="00194E68" w:rsidRPr="009C0EA0">
        <w:t>Australian Bureau of Statistics</w:t>
      </w:r>
      <w:r w:rsidR="006F2FD7" w:rsidRPr="009C0EA0">
        <w:t xml:space="preserve"> (released </w:t>
      </w:r>
      <w:r w:rsidR="00B84A22" w:rsidRPr="009C0EA0">
        <w:t>May 2024)</w:t>
      </w:r>
      <w:r w:rsidR="00194E68" w:rsidRPr="009C0EA0">
        <w:t>,</w:t>
      </w:r>
      <w:r w:rsidR="006F2FD7" w:rsidRPr="009C0EA0">
        <w:t xml:space="preserve"> </w:t>
      </w:r>
      <w:r w:rsidR="0004287B">
        <w:t>‘</w:t>
      </w:r>
      <w:r w:rsidR="006F2FD7" w:rsidRPr="009C0EA0">
        <w:rPr>
          <w:u w:val="single"/>
        </w:rPr>
        <w:t>Building approvals, Australia</w:t>
      </w:r>
      <w:r w:rsidR="0004287B">
        <w:t>’</w:t>
      </w:r>
      <w:r w:rsidR="00194E68" w:rsidRPr="009C0EA0">
        <w:rPr>
          <w:i/>
          <w:iCs/>
        </w:rPr>
        <w:t>,</w:t>
      </w:r>
      <w:r w:rsidR="00194E68" w:rsidRPr="009C0EA0">
        <w:t xml:space="preserve"> accessed </w:t>
      </w:r>
      <w:r w:rsidR="0023613A" w:rsidRPr="009C0EA0">
        <w:t>6</w:t>
      </w:r>
      <w:r w:rsidR="00194E68" w:rsidRPr="009C0EA0">
        <w:t xml:space="preserve"> </w:t>
      </w:r>
      <w:r w:rsidR="0023613A" w:rsidRPr="009C0EA0">
        <w:t>May</w:t>
      </w:r>
      <w:r w:rsidR="00194E68" w:rsidRPr="009C0EA0">
        <w:t xml:space="preserve"> 2024.</w:t>
      </w:r>
    </w:p>
  </w:footnote>
  <w:footnote w:id="30">
    <w:p w14:paraId="6DC05706" w14:textId="5D265F83" w:rsidR="00AA6C6F" w:rsidRDefault="00706ACF">
      <w:pPr>
        <w:pStyle w:val="FootnoteText"/>
      </w:pPr>
      <w:r w:rsidRPr="00706ACF">
        <w:rPr>
          <w:rStyle w:val="FootnoteReference"/>
          <w:vertAlign w:val="baseline"/>
        </w:rPr>
        <w:footnoteRef/>
      </w:r>
      <w:r w:rsidR="00AA6C6F">
        <w:t xml:space="preserve"> </w:t>
      </w:r>
      <w:r w:rsidR="007D6D2B" w:rsidRPr="009C0EA0">
        <w:tab/>
      </w:r>
      <w:r w:rsidR="00437902" w:rsidRPr="009C0EA0">
        <w:t>NSW Productivity Commission</w:t>
      </w:r>
      <w:r w:rsidR="00071EDE" w:rsidRPr="009C0EA0">
        <w:t xml:space="preserve"> (2023)</w:t>
      </w:r>
      <w:r w:rsidR="000E7A45" w:rsidRPr="009C0EA0">
        <w:t xml:space="preserve">, </w:t>
      </w:r>
      <w:r w:rsidR="0004287B">
        <w:t>‘</w:t>
      </w:r>
      <w:hyperlink r:id="rId20" w:history="1">
        <w:r w:rsidR="000E7A45" w:rsidRPr="009C0EA0">
          <w:rPr>
            <w:rStyle w:val="Hyperlink"/>
          </w:rPr>
          <w:t>Building more homes where infrastructure costs less</w:t>
        </w:r>
      </w:hyperlink>
      <w:r w:rsidR="0004287B">
        <w:rPr>
          <w:rStyle w:val="Hyperlink"/>
          <w:i/>
          <w:u w:val="none"/>
        </w:rPr>
        <w:t>‘</w:t>
      </w:r>
      <w:r w:rsidR="000F222B" w:rsidRPr="009C0EA0">
        <w:t xml:space="preserve">, </w:t>
      </w:r>
      <w:r w:rsidR="000E7A45" w:rsidRPr="009C0EA0">
        <w:t>p.</w:t>
      </w:r>
      <w:r w:rsidR="002660B0">
        <w:t xml:space="preserve"> </w:t>
      </w:r>
      <w:r w:rsidR="000E7A45" w:rsidRPr="009C0EA0">
        <w:t>13.</w:t>
      </w:r>
    </w:p>
  </w:footnote>
  <w:footnote w:id="31">
    <w:p w14:paraId="5A679773" w14:textId="5A0178DB" w:rsidR="000007AC" w:rsidRDefault="00706ACF" w:rsidP="000007AC">
      <w:pPr>
        <w:pStyle w:val="FootnoteText"/>
      </w:pPr>
      <w:r w:rsidRPr="00706ACF">
        <w:rPr>
          <w:rStyle w:val="FootnoteReference"/>
          <w:vertAlign w:val="baseline"/>
        </w:rPr>
        <w:footnoteRef/>
      </w:r>
      <w:r w:rsidR="000007AC">
        <w:t xml:space="preserve"> </w:t>
      </w:r>
      <w:r w:rsidR="007D6D2B" w:rsidRPr="009C0EA0">
        <w:tab/>
      </w:r>
      <w:r w:rsidR="000007AC" w:rsidRPr="009C0EA0">
        <w:t>Greenaway</w:t>
      </w:r>
      <w:r w:rsidR="0004287B">
        <w:noBreakHyphen/>
      </w:r>
      <w:r w:rsidR="000007AC" w:rsidRPr="009C0EA0">
        <w:t>McGrevy</w:t>
      </w:r>
      <w:r w:rsidR="007B021D" w:rsidRPr="009C0EA0">
        <w:t>, R,</w:t>
      </w:r>
      <w:r w:rsidR="000007AC" w:rsidRPr="009C0EA0">
        <w:t xml:space="preserve"> </w:t>
      </w:r>
      <w:r w:rsidR="007B021D" w:rsidRPr="009C0EA0">
        <w:t>&amp;</w:t>
      </w:r>
      <w:r w:rsidR="000007AC" w:rsidRPr="009C0EA0">
        <w:t xml:space="preserve"> Jones, </w:t>
      </w:r>
      <w:r w:rsidR="007B021D" w:rsidRPr="009C0EA0">
        <w:t>J. A.</w:t>
      </w:r>
      <w:r w:rsidR="001A335C" w:rsidRPr="009C0EA0">
        <w:t xml:space="preserve"> (2023),</w:t>
      </w:r>
      <w:r w:rsidR="000007AC" w:rsidRPr="009C0EA0">
        <w:t xml:space="preserve"> </w:t>
      </w:r>
      <w:r w:rsidR="0004287B">
        <w:t>‘</w:t>
      </w:r>
      <w:r w:rsidR="000007AC" w:rsidRPr="009C0EA0">
        <w:rPr>
          <w:u w:val="single"/>
        </w:rPr>
        <w:t>Can zoning reform change urban development patterns? Evidence from Auckland</w:t>
      </w:r>
      <w:r w:rsidR="0004287B">
        <w:t>’</w:t>
      </w:r>
      <w:r w:rsidR="000007AC" w:rsidRPr="009C0EA0">
        <w:t xml:space="preserve">, </w:t>
      </w:r>
      <w:r w:rsidR="00AC47C7" w:rsidRPr="009C0EA0">
        <w:t>Working Paper No. 012, Economic Policy Centre, The University of Auckland,</w:t>
      </w:r>
      <w:r w:rsidR="000007AC" w:rsidRPr="009C0EA0">
        <w:t xml:space="preserve"> p.</w:t>
      </w:r>
      <w:r w:rsidR="002660B0">
        <w:t xml:space="preserve"> </w:t>
      </w:r>
      <w:r w:rsidR="000007AC" w:rsidRPr="009C0EA0">
        <w:t>26.</w:t>
      </w:r>
    </w:p>
  </w:footnote>
  <w:footnote w:id="32">
    <w:p w14:paraId="12358DF7" w14:textId="132F9B5C" w:rsidR="00C24CF1" w:rsidRPr="004B4C59" w:rsidRDefault="00706ACF" w:rsidP="00A6615B">
      <w:pPr>
        <w:pStyle w:val="FootnoteText"/>
        <w:jc w:val="both"/>
      </w:pPr>
      <w:r w:rsidRPr="00706ACF">
        <w:rPr>
          <w:rStyle w:val="FootnoteReference"/>
          <w:vertAlign w:val="baseline"/>
        </w:rPr>
        <w:footnoteRef/>
      </w:r>
      <w:r w:rsidR="00C24CF1">
        <w:t xml:space="preserve"> </w:t>
      </w:r>
      <w:r w:rsidR="004D466C" w:rsidRPr="009C0EA0">
        <w:tab/>
      </w:r>
      <w:r w:rsidR="006A13EA" w:rsidRPr="009C0EA0">
        <w:t>Master Builders</w:t>
      </w:r>
      <w:r w:rsidR="00845854" w:rsidRPr="009C0EA0">
        <w:t xml:space="preserve"> </w:t>
      </w:r>
      <w:r w:rsidR="006A13EA" w:rsidRPr="009C0EA0">
        <w:t>Australia</w:t>
      </w:r>
      <w:r w:rsidR="008D10AC" w:rsidRPr="009C0EA0">
        <w:t xml:space="preserve"> (2024)</w:t>
      </w:r>
      <w:r w:rsidR="006A13EA" w:rsidRPr="009C0EA0">
        <w:t>,</w:t>
      </w:r>
      <w:r w:rsidR="0004287B">
        <w:t>’</w:t>
      </w:r>
      <w:hyperlink r:id="rId21" w:history="1">
        <w:r w:rsidR="006A13EA" w:rsidRPr="009C0EA0">
          <w:rPr>
            <w:rStyle w:val="Hyperlink"/>
          </w:rPr>
          <w:t>2024</w:t>
        </w:r>
        <w:r w:rsidR="0004287B">
          <w:rPr>
            <w:rStyle w:val="Hyperlink"/>
          </w:rPr>
          <w:noBreakHyphen/>
        </w:r>
        <w:r w:rsidR="006A13EA" w:rsidRPr="009C0EA0">
          <w:rPr>
            <w:rStyle w:val="Hyperlink"/>
          </w:rPr>
          <w:t>25 Pre</w:t>
        </w:r>
        <w:r w:rsidR="0004287B">
          <w:rPr>
            <w:rStyle w:val="Hyperlink"/>
          </w:rPr>
          <w:noBreakHyphen/>
        </w:r>
        <w:r w:rsidR="006A13EA" w:rsidRPr="009C0EA0">
          <w:rPr>
            <w:rStyle w:val="Hyperlink"/>
          </w:rPr>
          <w:t>Budget submission: finding Australia</w:t>
        </w:r>
        <w:r w:rsidR="0004287B">
          <w:rPr>
            <w:rStyle w:val="Hyperlink"/>
          </w:rPr>
          <w:t>’</w:t>
        </w:r>
        <w:r w:rsidR="006A13EA" w:rsidRPr="009C0EA0">
          <w:rPr>
            <w:rStyle w:val="Hyperlink"/>
          </w:rPr>
          <w:t>s missing tradies: how to harness the skilled migrant workforce</w:t>
        </w:r>
      </w:hyperlink>
      <w:r w:rsidR="0004287B">
        <w:rPr>
          <w:rStyle w:val="Hyperlink"/>
          <w:i/>
          <w:u w:val="none"/>
        </w:rPr>
        <w:t>‘</w:t>
      </w:r>
      <w:r w:rsidR="004B4C59" w:rsidRPr="009C0EA0">
        <w:t xml:space="preserve">, </w:t>
      </w:r>
      <w:r w:rsidR="00D472EB" w:rsidRPr="009C0EA0">
        <w:t>accessed 29 April 2024.</w:t>
      </w:r>
    </w:p>
  </w:footnote>
  <w:footnote w:id="33">
    <w:p w14:paraId="21141C91" w14:textId="5CD81483" w:rsidR="005B0016" w:rsidRDefault="00706ACF">
      <w:pPr>
        <w:pStyle w:val="FootnoteText"/>
      </w:pPr>
      <w:r w:rsidRPr="00706ACF">
        <w:rPr>
          <w:rStyle w:val="FootnoteReference"/>
          <w:vertAlign w:val="baseline"/>
        </w:rPr>
        <w:footnoteRef/>
      </w:r>
      <w:r w:rsidR="005B0016">
        <w:t xml:space="preserve"> </w:t>
      </w:r>
      <w:r w:rsidR="004D466C" w:rsidRPr="009C0EA0">
        <w:tab/>
      </w:r>
      <w:r w:rsidR="003F3B38" w:rsidRPr="009C0EA0">
        <w:t>H</w:t>
      </w:r>
      <w:r w:rsidR="00127AC8" w:rsidRPr="009C0EA0">
        <w:t xml:space="preserve">ousing </w:t>
      </w:r>
      <w:r w:rsidR="003F3B38" w:rsidRPr="009C0EA0">
        <w:t>I</w:t>
      </w:r>
      <w:r w:rsidR="00127AC8" w:rsidRPr="009C0EA0">
        <w:t xml:space="preserve">ndustry </w:t>
      </w:r>
      <w:r w:rsidR="003F3B38" w:rsidRPr="009C0EA0">
        <w:t>A</w:t>
      </w:r>
      <w:r w:rsidR="00127AC8" w:rsidRPr="009C0EA0">
        <w:t>ssociation</w:t>
      </w:r>
      <w:r w:rsidR="00805446" w:rsidRPr="009C0EA0">
        <w:t xml:space="preserve"> (</w:t>
      </w:r>
      <w:r w:rsidR="00230BEC" w:rsidRPr="009C0EA0">
        <w:t>2023)</w:t>
      </w:r>
      <w:r w:rsidR="003F3B38" w:rsidRPr="009C0EA0">
        <w:t>,</w:t>
      </w:r>
      <w:r w:rsidR="00127AC8" w:rsidRPr="009C0EA0">
        <w:t xml:space="preserve"> </w:t>
      </w:r>
      <w:r w:rsidR="0004287B">
        <w:t>‘</w:t>
      </w:r>
      <w:hyperlink r:id="rId22" w:anchor=":~:text=%E2%80%9CThe%20HIA%20Trades%20Availability%20Index,building%20activity%E2%80%9D%20added%20Mr%20Devitt." w:history="1">
        <w:r w:rsidR="00127AC8" w:rsidRPr="009C0EA0">
          <w:rPr>
            <w:rStyle w:val="Hyperlink"/>
          </w:rPr>
          <w:t xml:space="preserve">Access </w:t>
        </w:r>
        <w:bookmarkStart w:id="52" w:name="_Hlt166083812"/>
        <w:bookmarkStart w:id="53" w:name="_Hlt166083813"/>
        <w:r w:rsidR="00127AC8" w:rsidRPr="009C0EA0">
          <w:rPr>
            <w:rStyle w:val="Hyperlink"/>
          </w:rPr>
          <w:t>t</w:t>
        </w:r>
        <w:bookmarkEnd w:id="52"/>
        <w:bookmarkEnd w:id="53"/>
        <w:r w:rsidR="00127AC8" w:rsidRPr="009C0EA0">
          <w:rPr>
            <w:rStyle w:val="Hyperlink"/>
          </w:rPr>
          <w:t>o skilled labour a barrier to 1.2 million new homes</w:t>
        </w:r>
      </w:hyperlink>
      <w:r w:rsidR="0004287B">
        <w:rPr>
          <w:rStyle w:val="Hyperlink"/>
          <w:iCs/>
          <w:u w:val="none"/>
        </w:rPr>
        <w:t>‘</w:t>
      </w:r>
      <w:r w:rsidR="00127AC8" w:rsidRPr="009C0EA0">
        <w:t xml:space="preserve">, </w:t>
      </w:r>
      <w:r w:rsidR="00355BD3" w:rsidRPr="009C0EA0">
        <w:t xml:space="preserve">accessed </w:t>
      </w:r>
      <w:r w:rsidR="00930CB8" w:rsidRPr="009C0EA0">
        <w:t>29 April 2024.</w:t>
      </w:r>
    </w:p>
  </w:footnote>
  <w:footnote w:id="34">
    <w:p w14:paraId="7AD2B8B5" w14:textId="5517300C" w:rsidR="008141A4" w:rsidRDefault="00706ACF" w:rsidP="008141A4">
      <w:pPr>
        <w:pStyle w:val="FootnoteText"/>
      </w:pPr>
      <w:r w:rsidRPr="00706ACF">
        <w:rPr>
          <w:rStyle w:val="FootnoteReference"/>
          <w:vertAlign w:val="baseline"/>
        </w:rPr>
        <w:footnoteRef/>
      </w:r>
      <w:r w:rsidR="008141A4">
        <w:t xml:space="preserve"> </w:t>
      </w:r>
      <w:r w:rsidR="000F104C" w:rsidRPr="009C0EA0">
        <w:tab/>
      </w:r>
      <w:r w:rsidR="008141A4" w:rsidRPr="009C0EA0">
        <w:t>Urban Development Institute of Australia</w:t>
      </w:r>
      <w:r w:rsidR="00C90642" w:rsidRPr="009C0EA0">
        <w:t xml:space="preserve"> (2024)</w:t>
      </w:r>
      <w:r w:rsidR="008141A4" w:rsidRPr="009C0EA0">
        <w:t xml:space="preserve">, </w:t>
      </w:r>
      <w:r w:rsidR="0004287B">
        <w:t>‘</w:t>
      </w:r>
      <w:hyperlink r:id="rId23" w:history="1">
        <w:r w:rsidR="008141A4" w:rsidRPr="009C0EA0">
          <w:rPr>
            <w:rStyle w:val="Hyperlink"/>
          </w:rPr>
          <w:t>State of the land</w:t>
        </w:r>
      </w:hyperlink>
      <w:r w:rsidR="008141A4" w:rsidRPr="009C0EA0">
        <w:rPr>
          <w:u w:val="single"/>
        </w:rPr>
        <w:t xml:space="preserve"> 2024: national residential greenfield and apartment market study</w:t>
      </w:r>
      <w:r w:rsidR="0004287B">
        <w:rPr>
          <w:i/>
          <w:iCs/>
        </w:rPr>
        <w:t>’</w:t>
      </w:r>
      <w:r w:rsidR="008141A4" w:rsidRPr="009C0EA0">
        <w:t>, p.</w:t>
      </w:r>
      <w:r w:rsidR="00665419">
        <w:t xml:space="preserve"> </w:t>
      </w:r>
      <w:r w:rsidR="008141A4" w:rsidRPr="009C0EA0">
        <w:t>6.</w:t>
      </w:r>
    </w:p>
  </w:footnote>
  <w:footnote w:id="35">
    <w:p w14:paraId="64AD233B" w14:textId="25AFE467" w:rsidR="00FD6015" w:rsidRPr="00400D34" w:rsidRDefault="00706ACF" w:rsidP="00FD6015">
      <w:pPr>
        <w:pStyle w:val="FootnoteText"/>
      </w:pPr>
      <w:r w:rsidRPr="00706ACF">
        <w:rPr>
          <w:rStyle w:val="FootnoteReference"/>
          <w:vertAlign w:val="baseline"/>
        </w:rPr>
        <w:footnoteRef/>
      </w:r>
      <w:r w:rsidR="00FD6015">
        <w:t xml:space="preserve"> </w:t>
      </w:r>
      <w:r w:rsidR="000F104C" w:rsidRPr="009C0EA0">
        <w:tab/>
      </w:r>
      <w:r w:rsidR="00FD6015" w:rsidRPr="009C0EA0">
        <w:t>Productivity Commission</w:t>
      </w:r>
      <w:r w:rsidR="00F22061" w:rsidRPr="009C0EA0">
        <w:t xml:space="preserve"> (2022), </w:t>
      </w:r>
      <w:r w:rsidR="0004287B">
        <w:t>‘</w:t>
      </w:r>
      <w:r w:rsidR="00F22061" w:rsidRPr="009C0EA0">
        <w:t>In need of repair: the National Housing and Homelessness Agreement</w:t>
      </w:r>
      <w:r w:rsidR="0004287B">
        <w:t>’</w:t>
      </w:r>
      <w:r w:rsidR="00FD6015" w:rsidRPr="009C0EA0">
        <w:t>, p.</w:t>
      </w:r>
      <w:r w:rsidR="00AE59A1">
        <w:t xml:space="preserve"> </w:t>
      </w:r>
      <w:r w:rsidR="00FD6015" w:rsidRPr="009C0EA0">
        <w:t>381.</w:t>
      </w:r>
    </w:p>
  </w:footnote>
  <w:footnote w:id="36">
    <w:p w14:paraId="5A8B050F" w14:textId="7318BD7B" w:rsidR="00584121" w:rsidRDefault="00706ACF" w:rsidP="00584121">
      <w:pPr>
        <w:pStyle w:val="FootnoteText"/>
      </w:pPr>
      <w:r w:rsidRPr="00706ACF">
        <w:rPr>
          <w:rStyle w:val="FootnoteReference"/>
          <w:vertAlign w:val="baseline"/>
        </w:rPr>
        <w:footnoteRef/>
      </w:r>
      <w:r w:rsidR="00584121">
        <w:t xml:space="preserve"> </w:t>
      </w:r>
      <w:r w:rsidR="00342373">
        <w:tab/>
      </w:r>
      <w:r w:rsidR="00584121" w:rsidRPr="009C0EA0">
        <w:t>EY</w:t>
      </w:r>
      <w:r w:rsidR="00753B39" w:rsidRPr="009C0EA0">
        <w:t xml:space="preserve"> (April 2023)</w:t>
      </w:r>
      <w:r w:rsidR="00584121" w:rsidRPr="009C0EA0">
        <w:t xml:space="preserve">, </w:t>
      </w:r>
      <w:r w:rsidR="0004287B">
        <w:t>‘</w:t>
      </w:r>
      <w:r w:rsidR="00584121" w:rsidRPr="009C0EA0">
        <w:rPr>
          <w:u w:val="single"/>
        </w:rPr>
        <w:t>A new form of housing supply in Australia: build</w:t>
      </w:r>
      <w:r w:rsidR="0004287B">
        <w:rPr>
          <w:u w:val="single"/>
        </w:rPr>
        <w:noBreakHyphen/>
      </w:r>
      <w:r w:rsidR="00584121" w:rsidRPr="009C0EA0">
        <w:rPr>
          <w:u w:val="single"/>
        </w:rPr>
        <w:t>to</w:t>
      </w:r>
      <w:r w:rsidR="0004287B">
        <w:rPr>
          <w:u w:val="single"/>
        </w:rPr>
        <w:noBreakHyphen/>
      </w:r>
      <w:r w:rsidR="00584121" w:rsidRPr="009C0EA0">
        <w:rPr>
          <w:u w:val="single"/>
        </w:rPr>
        <w:t>rent housing</w:t>
      </w:r>
      <w:r w:rsidR="0004287B">
        <w:t>’</w:t>
      </w:r>
      <w:r w:rsidR="00584121" w:rsidRPr="009C0EA0">
        <w:t>, prepared for Property Council of Australia, p.</w:t>
      </w:r>
      <w:r w:rsidR="00AE59A1">
        <w:t xml:space="preserve"> </w:t>
      </w:r>
      <w:r w:rsidR="00584121" w:rsidRPr="009C0EA0">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4EFD" w14:textId="5F84A2C0" w:rsidR="00FB5DDD" w:rsidRPr="00AA5439" w:rsidRDefault="00FB5DDD" w:rsidP="00AA5439">
    <w:pPr>
      <w:pStyle w:val="HeaderEven"/>
      <w:rPr>
        <w:sz w:val="2"/>
        <w:szCs w:val="2"/>
      </w:rPr>
    </w:pPr>
  </w:p>
  <w:p w14:paraId="15485611" w14:textId="1145E73C" w:rsidR="00FB5DDD" w:rsidRPr="00AA5439" w:rsidRDefault="00FB5DDD" w:rsidP="00AA5439">
    <w:pPr>
      <w:pStyle w:val="HeaderEven"/>
      <w:rPr>
        <w:sz w:val="2"/>
        <w:szCs w:val="4"/>
      </w:rPr>
    </w:pPr>
  </w:p>
  <w:p w14:paraId="1C830E4E" w14:textId="48FB2265" w:rsidR="00FB5DDD" w:rsidRDefault="00FB5DDD" w:rsidP="007703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0A22" w14:textId="77777777" w:rsidR="00E14A51" w:rsidRPr="000635BE" w:rsidRDefault="00E14A51" w:rsidP="000635BE">
    <w:pPr>
      <w:pStyle w:val="HeaderOdd"/>
      <w:rPr>
        <w:sz w:val="2"/>
        <w:szCs w:val="4"/>
      </w:rPr>
    </w:pPr>
    <w:r>
      <w:rPr>
        <w:noProof/>
        <w:sz w:val="2"/>
        <w:szCs w:val="2"/>
      </w:rPr>
      <w:drawing>
        <wp:anchor distT="0" distB="0" distL="114300" distR="114300" simplePos="0" relativeHeight="251658247" behindDoc="1" locked="1" layoutInCell="1" allowOverlap="1" wp14:anchorId="57F04D04" wp14:editId="38C783D2">
          <wp:simplePos x="0" y="0"/>
          <wp:positionH relativeFrom="page">
            <wp:align>center</wp:align>
          </wp:positionH>
          <wp:positionV relativeFrom="page">
            <wp:align>top</wp:align>
          </wp:positionV>
          <wp:extent cx="7560000" cy="10692000"/>
          <wp:effectExtent l="0" t="0" r="3175"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98629D">
      <w:rPr>
        <w:noProof/>
        <w:sz w:val="2"/>
        <w:szCs w:val="4"/>
      </w:rPr>
      <mc:AlternateContent>
        <mc:Choice Requires="wps">
          <w:drawing>
            <wp:anchor distT="0" distB="0" distL="0" distR="0" simplePos="0" relativeHeight="251658249" behindDoc="0" locked="1" layoutInCell="0" allowOverlap="1" wp14:anchorId="5918E24F" wp14:editId="7163AA52">
              <wp:simplePos x="0" y="0"/>
              <wp:positionH relativeFrom="page">
                <wp:posOffset>1321435</wp:posOffset>
              </wp:positionH>
              <wp:positionV relativeFrom="page">
                <wp:posOffset>360045</wp:posOffset>
              </wp:positionV>
              <wp:extent cx="4910455" cy="615315"/>
              <wp:effectExtent l="0" t="0" r="0" b="0"/>
              <wp:wrapSquare wrapText="bothSides"/>
              <wp:docPr id="48" name="Text Box 4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DAF3" w14:textId="3BD742B1" w:rsidR="00E14A51" w:rsidRDefault="00E14A51">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18E24F" id="_x0000_t202" coordsize="21600,21600" o:spt="202" path="m,l,21600r21600,l21600,xe">
              <v:stroke joinstyle="miter"/>
              <v:path gradientshapeok="t" o:connecttype="rect"/>
            </v:shapetype>
            <v:shape id="Text Box 48" o:spid="_x0000_s1031" type="#_x0000_t202" alt="Portrait Classification Header" style="position:absolute;left:0;text-align:left;margin-left:104.05pt;margin-top:28.35pt;width:386.65pt;height:48.45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BC2gEAAJgDAAAOAAAAZHJzL2Uyb0RvYy54bWysU9tu1DAQfUfiHyy/s9mUbgXRZqvSqgip&#10;UKTCBziOk1gkHjPj3WT5esbOZsvlDfFijcf2mXPOjLfX09CLg0Gy4EqZr9ZSGKehtq4t5dcv96/e&#10;SEFBuVr14Ewpj4bk9e7li+3oC3MBHfS1QcEgjorRl7ILwRdZRrozg6IVeOP4sAEcVOAttlmNamT0&#10;oc8u1uurbASsPYI2RJy9mw/lLuE3jdHhsWnIBNGXkrmFtGJaq7hmu60qWlS+s/pEQ/0Di0FZx0XP&#10;UHcqKLFH+xfUYDUCQRNWGoYMmsZqkzSwmnz9h5qnTnmTtLA55M820f+D1Z8OT/4zijC9g4kbmESQ&#10;fwD9jYSD20651twgwtgZVXPhPFqWjZ6K09NoNRUUQarxI9TcZLUPkICmBofoCusUjM4NOJ5NN1MQ&#10;mpOXb/P15WYjheazq3zzOt+kEqpYXnuk8N7AIGJQSuSmJnR1eKAQ2ahiuRKLObi3fZ8a27vfEnwx&#10;ZhL7SHimHqZqErYuZaobxVRQH1kOwjwuPN4cdIA/pBh5VEpJ3/cKjRT9B8eWxLlaAlyCagmU0/y0&#10;lEGKObwN8/ztPdq2Y+TZdAc3bFtjk6JnFie63P4k9DSqcb5+3adbzx9q9xMAAP//AwBQSwMEFAAG&#10;AAgAAAAhANFuvIXgAAAACgEAAA8AAABkcnMvZG93bnJldi54bWxMj8FOwzAQRO9I/IO1SNyonUJD&#10;GuJUFYITEmoaDhyd2E2sxusQu234e5YTHFfzNPO22MxuYGczBetRQrIQwAy2XlvsJHzUr3cZsBAV&#10;ajV4NBK+TYBNeX1VqFz7C1bmvI8doxIMuZLQxzjmnIe2N06FhR8NUnbwk1ORzqnjelIXKncDXwqR&#10;cqcs0kKvRvPcm/a4PzkJ20+sXuzXe7OrDpWt67XAt/Qo5e3NvH0CFs0c/2D41Sd1KMmp8SfUgQ0S&#10;liJLCJWwSh+BEbDOkgdgDZGr+xR4WfD/L5Q/AAAA//8DAFBLAQItABQABgAIAAAAIQC2gziS/gAA&#10;AOEBAAATAAAAAAAAAAAAAAAAAAAAAABbQ29udGVudF9UeXBlc10ueG1sUEsBAi0AFAAGAAgAAAAh&#10;ADj9If/WAAAAlAEAAAsAAAAAAAAAAAAAAAAALwEAAF9yZWxzLy5yZWxzUEsBAi0AFAAGAAgAAAAh&#10;ALtdYELaAQAAmAMAAA4AAAAAAAAAAAAAAAAALgIAAGRycy9lMm9Eb2MueG1sUEsBAi0AFAAGAAgA&#10;AAAhANFuvIXgAAAACgEAAA8AAAAAAAAAAAAAAAAANAQAAGRycy9kb3ducmV2LnhtbFBLBQYAAAAA&#10;BAAEAPMAAABBBQAAAAA=&#10;" o:allowincell="f" filled="f" stroked="f">
              <v:textbox inset="0,0,0,0">
                <w:txbxContent>
                  <w:p w14:paraId="03BADAF3" w14:textId="3BD742B1" w:rsidR="00E14A51" w:rsidRDefault="00E14A51">
                    <w:pPr>
                      <w:pStyle w:val="Classification"/>
                    </w:pPr>
                    <w:r>
                      <w:t xml:space="preserve">: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14A51" w14:paraId="42492AA1" w14:textId="77777777" w:rsidTr="00446F3B">
      <w:trPr>
        <w:trHeight w:hRule="exact" w:val="340"/>
      </w:trPr>
      <w:tc>
        <w:tcPr>
          <w:tcW w:w="7797" w:type="dxa"/>
          <w:tcMar>
            <w:left w:w="108" w:type="dxa"/>
            <w:right w:w="108" w:type="dxa"/>
          </w:tcMar>
        </w:tcPr>
        <w:p w14:paraId="376895D7" w14:textId="3E68D8FF" w:rsidR="00E14A51" w:rsidRPr="00D13BF9" w:rsidRDefault="000417B6" w:rsidP="00D13BF9">
          <w:pPr>
            <w:pStyle w:val="HeaderOdd"/>
          </w:pPr>
          <w:r>
            <w:fldChar w:fldCharType="begin"/>
          </w:r>
          <w:r>
            <w:instrText xml:space="preserve"> TITLE   \* MERGEFORMAT </w:instrText>
          </w:r>
          <w:r>
            <w:fldChar w:fldCharType="separate"/>
          </w:r>
          <w:r w:rsidR="00F62828">
            <w:t>Budget Paper No. 1</w:t>
          </w:r>
          <w:r>
            <w:fldChar w:fldCharType="end"/>
          </w:r>
          <w:r w:rsidR="00E14A51" w:rsidRPr="00D13BF9">
            <w:t xml:space="preserve">  |  </w:t>
          </w:r>
          <w:r w:rsidR="00E14A51" w:rsidRPr="00C9389A">
            <w:rPr>
              <w:noProof/>
              <w:position w:val="-8"/>
            </w:rPr>
            <w:drawing>
              <wp:inline distT="0" distB="0" distL="0" distR="0" wp14:anchorId="101850BD" wp14:editId="0FDE0ECC">
                <wp:extent cx="878400" cy="19800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BF52DF2" w14:textId="77777777" w:rsidR="00E14A51" w:rsidRPr="00AA5439" w:rsidRDefault="00E14A51" w:rsidP="00AA5439">
    <w:pPr>
      <w:pStyle w:val="Heade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14A51" w14:paraId="7DCBC484" w14:textId="77777777">
      <w:trPr>
        <w:trHeight w:hRule="exact" w:val="340"/>
      </w:trPr>
      <w:tc>
        <w:tcPr>
          <w:tcW w:w="7797" w:type="dxa"/>
          <w:tcMar>
            <w:left w:w="108" w:type="dxa"/>
            <w:right w:w="108" w:type="dxa"/>
          </w:tcMar>
        </w:tcPr>
        <w:p w14:paraId="5264BDA2" w14:textId="098F5D10" w:rsidR="00E14A51" w:rsidRPr="00D13BF9" w:rsidRDefault="000417B6" w:rsidP="00D13BF9">
          <w:pPr>
            <w:pStyle w:val="HeaderOdd"/>
          </w:pPr>
          <w:r>
            <w:fldChar w:fldCharType="begin"/>
          </w:r>
          <w:r>
            <w:instrText xml:space="preserve"> TITLE   \* MERGEFORMAT </w:instrText>
          </w:r>
          <w:r>
            <w:fldChar w:fldCharType="separate"/>
          </w:r>
          <w:r w:rsidR="00F62828">
            <w:t>Budget Paper No. 1</w:t>
          </w:r>
          <w:r>
            <w:fldChar w:fldCharType="end"/>
          </w:r>
          <w:r w:rsidR="00E14A51" w:rsidRPr="00D13BF9">
            <w:t xml:space="preserve">  |  </w:t>
          </w:r>
          <w:r w:rsidR="00E14A51" w:rsidRPr="00C9389A">
            <w:rPr>
              <w:noProof/>
              <w:position w:val="-8"/>
            </w:rPr>
            <w:drawing>
              <wp:inline distT="0" distB="0" distL="0" distR="0" wp14:anchorId="45D20B77" wp14:editId="3C993F17">
                <wp:extent cx="878400" cy="1980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D3F05E6" w14:textId="77777777" w:rsidR="00E14A51" w:rsidRDefault="00E14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3BB8" w14:paraId="4E84D06F" w14:textId="77777777">
      <w:trPr>
        <w:trHeight w:hRule="exact" w:val="340"/>
      </w:trPr>
      <w:tc>
        <w:tcPr>
          <w:tcW w:w="7797" w:type="dxa"/>
          <w:tcMar>
            <w:left w:w="108" w:type="dxa"/>
            <w:right w:w="108" w:type="dxa"/>
          </w:tcMar>
        </w:tcPr>
        <w:p w14:paraId="23BE16FE" w14:textId="355B3748" w:rsidR="00D73BB8" w:rsidRPr="00D13BF9" w:rsidRDefault="000417B6" w:rsidP="00D13BF9">
          <w:pPr>
            <w:pStyle w:val="HeaderOdd"/>
          </w:pPr>
          <w:r>
            <w:fldChar w:fldCharType="begin"/>
          </w:r>
          <w:r>
            <w:instrText xml:space="preserve"> TITLE   \* MERGEFORMAT </w:instrText>
          </w:r>
          <w:r>
            <w:fldChar w:fldCharType="separate"/>
          </w:r>
          <w:r w:rsidR="00F62828">
            <w:t>Budget Paper No. 1</w:t>
          </w:r>
          <w:r>
            <w:fldChar w:fldCharType="end"/>
          </w:r>
          <w:r w:rsidR="00D73BB8" w:rsidRPr="00D13BF9">
            <w:t xml:space="preserve">  |  </w:t>
          </w:r>
          <w:r w:rsidR="00D73BB8" w:rsidRPr="00C9389A">
            <w:rPr>
              <w:noProof/>
              <w:position w:val="-8"/>
            </w:rPr>
            <w:drawing>
              <wp:inline distT="0" distB="0" distL="0" distR="0" wp14:anchorId="583D1B13" wp14:editId="76F55C75">
                <wp:extent cx="878400" cy="1980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8ADE9F6" w14:textId="7C5851B1"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50E9" w14:textId="33802109" w:rsidR="00931BF8" w:rsidRDefault="001F7A25">
    <w:pPr>
      <w:pStyle w:val="Header"/>
    </w:pPr>
    <w:r>
      <w:rPr>
        <w:noProof/>
      </w:rPr>
      <w:drawing>
        <wp:anchor distT="0" distB="0" distL="114300" distR="114300" simplePos="0" relativeHeight="251658240" behindDoc="1" locked="1" layoutInCell="1" allowOverlap="1" wp14:anchorId="5580216C" wp14:editId="13466D80">
          <wp:simplePos x="0" y="0"/>
          <wp:positionH relativeFrom="page">
            <wp:align>center</wp:align>
          </wp:positionH>
          <wp:positionV relativeFrom="page">
            <wp:align>center</wp:align>
          </wp:positionV>
          <wp:extent cx="7559675" cy="10691495"/>
          <wp:effectExtent l="0" t="0" r="3175"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1659" w14:textId="7A9F0AE9" w:rsidR="003A7EE6" w:rsidRPr="00AA5439" w:rsidRDefault="003A7EE6" w:rsidP="00AA5439">
    <w:pPr>
      <w:pStyle w:val="HeaderEven"/>
      <w:rPr>
        <w:sz w:val="2"/>
        <w:szCs w:val="2"/>
      </w:rPr>
    </w:pPr>
  </w:p>
  <w:p w14:paraId="6F505402" w14:textId="77777777" w:rsidR="003A7EE6" w:rsidRPr="00AA5439" w:rsidRDefault="003A7EE6"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3BB8" w14:paraId="0C5EDDA8" w14:textId="77777777">
      <w:trPr>
        <w:trHeight w:hRule="exact" w:val="340"/>
      </w:trPr>
      <w:tc>
        <w:tcPr>
          <w:tcW w:w="7797" w:type="dxa"/>
        </w:tcPr>
        <w:p w14:paraId="6710D8ED" w14:textId="084E6C87" w:rsidR="00D73BB8" w:rsidRPr="008C56E1" w:rsidRDefault="00D73BB8" w:rsidP="00F60EA1">
          <w:pPr>
            <w:pStyle w:val="HeaderEven"/>
          </w:pPr>
          <w:r w:rsidRPr="008C56E1">
            <w:rPr>
              <w:noProof/>
              <w:position w:val="-8"/>
            </w:rPr>
            <w:drawing>
              <wp:inline distT="0" distB="0" distL="0" distR="0" wp14:anchorId="2E6A3C8A" wp14:editId="2DFD8A1F">
                <wp:extent cx="874979" cy="198000"/>
                <wp:effectExtent l="0" t="0" r="1905"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0417B6">
            <w:fldChar w:fldCharType="begin"/>
          </w:r>
          <w:r w:rsidR="000417B6">
            <w:instrText xml:space="preserve"> TITLE   \* MERGEFORMAT </w:instrText>
          </w:r>
          <w:r w:rsidR="000417B6">
            <w:fldChar w:fldCharType="separate"/>
          </w:r>
          <w:r w:rsidR="00F62828">
            <w:t>Budget Paper No. 1</w:t>
          </w:r>
          <w:r w:rsidR="000417B6">
            <w:fldChar w:fldCharType="end"/>
          </w:r>
        </w:p>
      </w:tc>
    </w:tr>
  </w:tbl>
  <w:p w14:paraId="77B3BE58" w14:textId="5DA920FA" w:rsidR="003A7EE6" w:rsidRDefault="007270C9" w:rsidP="007703C7">
    <w:pPr>
      <w:pStyle w:val="Header"/>
    </w:pPr>
    <w:r>
      <w:rPr>
        <w:noProof/>
      </w:rPr>
      <w:drawing>
        <wp:anchor distT="0" distB="0" distL="114300" distR="114300" simplePos="0" relativeHeight="251662336" behindDoc="1" locked="0" layoutInCell="1" allowOverlap="1" wp14:anchorId="0CDD4588" wp14:editId="6F04E0F0">
          <wp:simplePos x="0" y="0"/>
          <wp:positionH relativeFrom="page">
            <wp:align>center</wp:align>
          </wp:positionH>
          <wp:positionV relativeFrom="page">
            <wp:align>center</wp:align>
          </wp:positionV>
          <wp:extent cx="7560000" cy="10692000"/>
          <wp:effectExtent l="0" t="0" r="3175" b="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97FEA" w14:paraId="0D54E332" w14:textId="77777777">
      <w:trPr>
        <w:trHeight w:hRule="exact" w:val="340"/>
      </w:trPr>
      <w:tc>
        <w:tcPr>
          <w:tcW w:w="7797" w:type="dxa"/>
          <w:tcMar>
            <w:left w:w="108" w:type="dxa"/>
            <w:right w:w="108" w:type="dxa"/>
          </w:tcMar>
        </w:tcPr>
        <w:p w14:paraId="3E278638" w14:textId="658A6A6D" w:rsidR="00D97FEA" w:rsidRPr="00D13BF9" w:rsidRDefault="000417B6" w:rsidP="00D13BF9">
          <w:pPr>
            <w:pStyle w:val="HeaderOdd"/>
          </w:pPr>
          <w:r>
            <w:fldChar w:fldCharType="begin"/>
          </w:r>
          <w:r>
            <w:instrText xml:space="preserve"> TITLE   \* MERGEFORMAT </w:instrText>
          </w:r>
          <w:r>
            <w:fldChar w:fldCharType="separate"/>
          </w:r>
          <w:r w:rsidR="00F62828">
            <w:t>Budget Paper No. 1</w:t>
          </w:r>
          <w:r>
            <w:fldChar w:fldCharType="end"/>
          </w:r>
          <w:r w:rsidR="00D97FEA" w:rsidRPr="00D13BF9">
            <w:t xml:space="preserve">  |  </w:t>
          </w:r>
          <w:r w:rsidR="00D97FEA" w:rsidRPr="00C9389A">
            <w:rPr>
              <w:noProof/>
              <w:position w:val="-8"/>
            </w:rPr>
            <w:drawing>
              <wp:inline distT="0" distB="0" distL="0" distR="0" wp14:anchorId="0C9CA845" wp14:editId="489866DF">
                <wp:extent cx="878400" cy="1980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FEF337B" w14:textId="76BFDDB3" w:rsidR="00931BF8" w:rsidRDefault="00272E96">
    <w:pPr>
      <w:pStyle w:val="Header"/>
    </w:pPr>
    <w:r>
      <w:rPr>
        <w:noProof/>
        <w:sz w:val="2"/>
        <w:szCs w:val="2"/>
      </w:rPr>
      <w:drawing>
        <wp:anchor distT="0" distB="0" distL="114300" distR="114300" simplePos="0" relativeHeight="251660288" behindDoc="1" locked="1" layoutInCell="1" allowOverlap="1" wp14:anchorId="39A91C28" wp14:editId="6AAFDEA9">
          <wp:simplePos x="0" y="0"/>
          <wp:positionH relativeFrom="page">
            <wp:align>center</wp:align>
          </wp:positionH>
          <wp:positionV relativeFrom="page">
            <wp:align>center</wp:align>
          </wp:positionV>
          <wp:extent cx="7560000" cy="10692000"/>
          <wp:effectExtent l="0" t="0" r="3175"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0A01" w14:textId="60526312" w:rsidR="00E14A51" w:rsidRDefault="001E52AC" w:rsidP="007703C7">
    <w:pPr>
      <w:pStyle w:val="Header"/>
    </w:pPr>
    <w:r>
      <w:rPr>
        <w:noProof/>
      </w:rPr>
      <w:drawing>
        <wp:anchor distT="0" distB="0" distL="114300" distR="114300" simplePos="0" relativeHeight="251666432" behindDoc="1" locked="1" layoutInCell="1" allowOverlap="1" wp14:anchorId="53AF91FD" wp14:editId="55BC90BC">
          <wp:simplePos x="0" y="0"/>
          <wp:positionH relativeFrom="page">
            <wp:align>center</wp:align>
          </wp:positionH>
          <wp:positionV relativeFrom="page">
            <wp:align>center</wp:align>
          </wp:positionV>
          <wp:extent cx="7559675" cy="10691495"/>
          <wp:effectExtent l="0" t="381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V="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r w:rsidR="00E14A51" w:rsidRPr="00FB5DDD">
      <w:rPr>
        <w:noProof/>
        <w:sz w:val="32"/>
        <w:szCs w:val="32"/>
      </w:rPr>
      <mc:AlternateContent>
        <mc:Choice Requires="wps">
          <w:drawing>
            <wp:anchor distT="0" distB="0" distL="114300" distR="114300" simplePos="0" relativeHeight="251652096" behindDoc="0" locked="0" layoutInCell="1" allowOverlap="1" wp14:anchorId="1F1B61A9" wp14:editId="787E54CD">
              <wp:simplePos x="0" y="0"/>
              <wp:positionH relativeFrom="column">
                <wp:posOffset>7560945</wp:posOffset>
              </wp:positionH>
              <wp:positionV relativeFrom="margin">
                <wp:align>top</wp:align>
              </wp:positionV>
              <wp:extent cx="399600" cy="4896000"/>
              <wp:effectExtent l="0" t="0" r="635" b="0"/>
              <wp:wrapNone/>
              <wp:docPr id="77" name="Text Box 77"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32AAE" w14:textId="2837E873" w:rsidR="00E14A51" w:rsidRPr="00137C7E" w:rsidRDefault="00E14A51" w:rsidP="00CC6004">
                          <w:pPr>
                            <w:pStyle w:val="HeaderEven"/>
                          </w:pPr>
                          <w:r w:rsidRPr="005476BD">
                            <w:rPr>
                              <w:noProof/>
                              <w:position w:val="-8"/>
                            </w:rPr>
                            <w:drawing>
                              <wp:inline distT="0" distB="0" distL="0" distR="0" wp14:anchorId="147E5F58" wp14:editId="3DE8FB4D">
                                <wp:extent cx="878400" cy="198000"/>
                                <wp:effectExtent l="0" t="254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0417B6">
                            <w:fldChar w:fldCharType="begin"/>
                          </w:r>
                          <w:r w:rsidR="000417B6">
                            <w:instrText xml:space="preserve"> TITLE   \* MERGEFORMAT </w:instrText>
                          </w:r>
                          <w:r w:rsidR="000417B6">
                            <w:fldChar w:fldCharType="separate"/>
                          </w:r>
                          <w:r w:rsidR="00F62828">
                            <w:t>Budget Paper No. 1</w:t>
                          </w:r>
                          <w:r w:rsidR="000417B6">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F1B61A9" id="_x0000_t202" coordsize="21600,21600" o:spt="202" path="m,l,21600r21600,l21600,xe">
              <v:stroke joinstyle="miter"/>
              <v:path gradientshapeok="t" o:connecttype="rect"/>
            </v:shapetype>
            <v:shape id="Text Box 77" o:spid="_x0000_s1026" type="#_x0000_t202" alt="Landscape Odd Header" style="position:absolute;margin-left:595.35pt;margin-top:0;width:31.45pt;height:385.5pt;z-index:25165209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73C32AAE" w14:textId="2837E873" w:rsidR="00E14A51" w:rsidRPr="00137C7E" w:rsidRDefault="00E14A51" w:rsidP="00CC6004">
                    <w:pPr>
                      <w:pStyle w:val="HeaderEven"/>
                    </w:pPr>
                    <w:r w:rsidRPr="005476BD">
                      <w:rPr>
                        <w:noProof/>
                        <w:position w:val="-8"/>
                      </w:rPr>
                      <w:drawing>
                        <wp:inline distT="0" distB="0" distL="0" distR="0" wp14:anchorId="147E5F58" wp14:editId="3DE8FB4D">
                          <wp:extent cx="878400" cy="198000"/>
                          <wp:effectExtent l="0" t="254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F62828">
                        <w:t>Budget Paper No. 1</w:t>
                      </w:r>
                    </w:fldSimple>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A9DB" w14:textId="4AE74E2E" w:rsidR="00E14A51" w:rsidRPr="00AA5439" w:rsidRDefault="001C0B6B" w:rsidP="00AA5439">
    <w:pPr>
      <w:pStyle w:val="Header"/>
      <w:rPr>
        <w:sz w:val="2"/>
        <w:szCs w:val="2"/>
      </w:rPr>
    </w:pPr>
    <w:r>
      <w:rPr>
        <w:noProof/>
      </w:rPr>
      <w:drawing>
        <wp:anchor distT="0" distB="0" distL="114300" distR="114300" simplePos="0" relativeHeight="251664384" behindDoc="1" locked="1" layoutInCell="1" allowOverlap="1" wp14:anchorId="437B42DE" wp14:editId="083AFCF3">
          <wp:simplePos x="0" y="0"/>
          <wp:positionH relativeFrom="page">
            <wp:align>center</wp:align>
          </wp:positionH>
          <wp:positionV relativeFrom="page">
            <wp:align>center</wp:align>
          </wp:positionV>
          <wp:extent cx="7559675" cy="10691495"/>
          <wp:effectExtent l="0" t="3810" r="0"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r w:rsidR="00E14A51" w:rsidRPr="00E14A51">
      <w:rPr>
        <w:noProof/>
        <w:sz w:val="32"/>
        <w:szCs w:val="32"/>
      </w:rPr>
      <mc:AlternateContent>
        <mc:Choice Requires="wps">
          <w:drawing>
            <wp:anchor distT="0" distB="0" distL="114300" distR="114300" simplePos="0" relativeHeight="251650048" behindDoc="0" locked="0" layoutInCell="1" allowOverlap="1" wp14:anchorId="46097568" wp14:editId="50CB268F">
              <wp:simplePos x="0" y="0"/>
              <wp:positionH relativeFrom="column">
                <wp:posOffset>7560945</wp:posOffset>
              </wp:positionH>
              <wp:positionV relativeFrom="margin">
                <wp:align>bottom</wp:align>
              </wp:positionV>
              <wp:extent cx="399600" cy="4896000"/>
              <wp:effectExtent l="0" t="0" r="635" b="0"/>
              <wp:wrapNone/>
              <wp:docPr id="391" name="Text Box 39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C173" w14:textId="5A01FA3F" w:rsidR="00E14A51" w:rsidRPr="00137C7E" w:rsidRDefault="000417B6" w:rsidP="001D33D6">
                          <w:pPr>
                            <w:pStyle w:val="HeaderOdd"/>
                          </w:pPr>
                          <w:r>
                            <w:fldChar w:fldCharType="begin"/>
                          </w:r>
                          <w:r>
                            <w:instrText xml:space="preserve"> TITLE   \* MERGEFORMAT </w:instrText>
                          </w:r>
                          <w:r>
                            <w:fldChar w:fldCharType="separate"/>
                          </w:r>
                          <w:r w:rsidR="00F62828">
                            <w:t>Budget Paper No. 1</w:t>
                          </w:r>
                          <w:r>
                            <w:fldChar w:fldCharType="end"/>
                          </w:r>
                          <w:r w:rsidR="00E14A51">
                            <w:t xml:space="preserve">  |  </w:t>
                          </w:r>
                          <w:r w:rsidR="00E14A51" w:rsidRPr="005476BD">
                            <w:rPr>
                              <w:noProof/>
                              <w:position w:val="-8"/>
                            </w:rPr>
                            <w:drawing>
                              <wp:inline distT="0" distB="0" distL="0" distR="0" wp14:anchorId="7DCC3769" wp14:editId="72A8963C">
                                <wp:extent cx="878400" cy="198000"/>
                                <wp:effectExtent l="0" t="254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6097568" id="_x0000_t202" coordsize="21600,21600" o:spt="202" path="m,l,21600r21600,l21600,xe">
              <v:stroke joinstyle="miter"/>
              <v:path gradientshapeok="t" o:connecttype="rect"/>
            </v:shapetype>
            <v:shape id="Text Box 391" o:spid="_x0000_s1027" type="#_x0000_t202" alt="Landscape Odd Header" style="position:absolute;margin-left:595.35pt;margin-top:0;width:31.45pt;height:385.5pt;z-index:25165004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3CAAC173" w14:textId="5A01FA3F" w:rsidR="00E14A51" w:rsidRPr="00137C7E" w:rsidRDefault="00000000" w:rsidP="001D33D6">
                    <w:pPr>
                      <w:pStyle w:val="HeaderOdd"/>
                    </w:pPr>
                    <w:fldSimple w:instr=" TITLE   \* MERGEFORMAT ">
                      <w:r w:rsidR="00F62828">
                        <w:t>Budget Paper No. 1</w:t>
                      </w:r>
                    </w:fldSimple>
                    <w:r w:rsidR="00E14A51">
                      <w:t xml:space="preserve">  |  </w:t>
                    </w:r>
                    <w:r w:rsidR="00E14A51" w:rsidRPr="005476BD">
                      <w:rPr>
                        <w:noProof/>
                        <w:position w:val="-8"/>
                      </w:rPr>
                      <w:drawing>
                        <wp:inline distT="0" distB="0" distL="0" distR="0" wp14:anchorId="7DCC3769" wp14:editId="72A8963C">
                          <wp:extent cx="878400" cy="198000"/>
                          <wp:effectExtent l="0" t="254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7B2C" w14:textId="169CFFC8" w:rsidR="00E14A51" w:rsidRDefault="00E14A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76FC" w14:textId="77777777" w:rsidR="00E14A51" w:rsidRPr="00AA5439" w:rsidRDefault="00E14A51"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14A51" w14:paraId="1C1A5060" w14:textId="77777777" w:rsidTr="00446F3B">
      <w:trPr>
        <w:trHeight w:hRule="exact" w:val="340"/>
      </w:trPr>
      <w:tc>
        <w:tcPr>
          <w:tcW w:w="7797" w:type="dxa"/>
        </w:tcPr>
        <w:p w14:paraId="0F3C6C7A" w14:textId="76DD2378" w:rsidR="00E14A51" w:rsidRPr="008C56E1" w:rsidRDefault="00E14A51" w:rsidP="00F60EA1">
          <w:pPr>
            <w:pStyle w:val="HeaderEven"/>
          </w:pPr>
          <w:r w:rsidRPr="008C56E1">
            <w:rPr>
              <w:noProof/>
              <w:position w:val="-8"/>
            </w:rPr>
            <w:drawing>
              <wp:inline distT="0" distB="0" distL="0" distR="0" wp14:anchorId="25327518" wp14:editId="1BC2E147">
                <wp:extent cx="874979" cy="198000"/>
                <wp:effectExtent l="0" t="0" r="190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0417B6">
            <w:fldChar w:fldCharType="begin"/>
          </w:r>
          <w:r w:rsidR="000417B6">
            <w:instrText xml:space="preserve"> TITLE   \* MERGEFORMAT </w:instrText>
          </w:r>
          <w:r w:rsidR="000417B6">
            <w:fldChar w:fldCharType="separate"/>
          </w:r>
          <w:r w:rsidR="00F62828">
            <w:t>Budget Paper No. 1</w:t>
          </w:r>
          <w:r w:rsidR="000417B6">
            <w:fldChar w:fldCharType="end"/>
          </w:r>
        </w:p>
      </w:tc>
    </w:tr>
  </w:tbl>
  <w:p w14:paraId="388A345D" w14:textId="77777777" w:rsidR="00E14A51" w:rsidRPr="00AA5439" w:rsidRDefault="00E14A51" w:rsidP="00AA5439">
    <w:pPr>
      <w:pStyle w:val="HeaderEven"/>
      <w:rPr>
        <w:sz w:val="2"/>
        <w:szCs w:val="4"/>
      </w:rPr>
    </w:pPr>
  </w:p>
  <w:p w14:paraId="2907A42F" w14:textId="77777777" w:rsidR="00E14A51" w:rsidRDefault="00E14A51" w:rsidP="0077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F2A"/>
    <w:multiLevelType w:val="multilevel"/>
    <w:tmpl w:val="F6F849AC"/>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3" w15:restartNumberingAfterBreak="0">
    <w:nsid w:val="115114EB"/>
    <w:multiLevelType w:val="multilevel"/>
    <w:tmpl w:val="B170A2E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num w:numId="1">
    <w:abstractNumId w:val="5"/>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25AA4"/>
    <w:rsid w:val="00000159"/>
    <w:rsid w:val="00000277"/>
    <w:rsid w:val="000002C9"/>
    <w:rsid w:val="0000036E"/>
    <w:rsid w:val="0000044B"/>
    <w:rsid w:val="000004EA"/>
    <w:rsid w:val="000004F7"/>
    <w:rsid w:val="000005A0"/>
    <w:rsid w:val="000005A3"/>
    <w:rsid w:val="000005AB"/>
    <w:rsid w:val="000007AC"/>
    <w:rsid w:val="000007F5"/>
    <w:rsid w:val="00000C6B"/>
    <w:rsid w:val="00000CEC"/>
    <w:rsid w:val="00000D8D"/>
    <w:rsid w:val="00000E03"/>
    <w:rsid w:val="00000E8B"/>
    <w:rsid w:val="00000E8F"/>
    <w:rsid w:val="00001170"/>
    <w:rsid w:val="0000131A"/>
    <w:rsid w:val="000013F3"/>
    <w:rsid w:val="00001440"/>
    <w:rsid w:val="000014DD"/>
    <w:rsid w:val="0000161A"/>
    <w:rsid w:val="00001688"/>
    <w:rsid w:val="00001B61"/>
    <w:rsid w:val="00001BB3"/>
    <w:rsid w:val="00001C04"/>
    <w:rsid w:val="00001CE3"/>
    <w:rsid w:val="00001DE7"/>
    <w:rsid w:val="00001EF2"/>
    <w:rsid w:val="00001FDA"/>
    <w:rsid w:val="000020F4"/>
    <w:rsid w:val="000020F8"/>
    <w:rsid w:val="00002102"/>
    <w:rsid w:val="000022A5"/>
    <w:rsid w:val="000028A4"/>
    <w:rsid w:val="000029C3"/>
    <w:rsid w:val="00002BC1"/>
    <w:rsid w:val="00002F04"/>
    <w:rsid w:val="0000300F"/>
    <w:rsid w:val="0000303A"/>
    <w:rsid w:val="0000313A"/>
    <w:rsid w:val="00003260"/>
    <w:rsid w:val="00003283"/>
    <w:rsid w:val="00003286"/>
    <w:rsid w:val="0000359B"/>
    <w:rsid w:val="0000369C"/>
    <w:rsid w:val="000036CC"/>
    <w:rsid w:val="00003800"/>
    <w:rsid w:val="0000395B"/>
    <w:rsid w:val="00003B25"/>
    <w:rsid w:val="00003D5A"/>
    <w:rsid w:val="00003D70"/>
    <w:rsid w:val="00004124"/>
    <w:rsid w:val="0000430A"/>
    <w:rsid w:val="000044F5"/>
    <w:rsid w:val="0000450E"/>
    <w:rsid w:val="00004702"/>
    <w:rsid w:val="00004711"/>
    <w:rsid w:val="0000471A"/>
    <w:rsid w:val="00004890"/>
    <w:rsid w:val="000049DC"/>
    <w:rsid w:val="00004CF0"/>
    <w:rsid w:val="0000506D"/>
    <w:rsid w:val="000052A2"/>
    <w:rsid w:val="000052C2"/>
    <w:rsid w:val="000053AE"/>
    <w:rsid w:val="000055B3"/>
    <w:rsid w:val="00005693"/>
    <w:rsid w:val="0000597E"/>
    <w:rsid w:val="000060DC"/>
    <w:rsid w:val="000061A9"/>
    <w:rsid w:val="00006238"/>
    <w:rsid w:val="000062AA"/>
    <w:rsid w:val="00006316"/>
    <w:rsid w:val="000063F9"/>
    <w:rsid w:val="0000655A"/>
    <w:rsid w:val="0000673F"/>
    <w:rsid w:val="0000680A"/>
    <w:rsid w:val="00006867"/>
    <w:rsid w:val="00006A23"/>
    <w:rsid w:val="00006D80"/>
    <w:rsid w:val="0000705F"/>
    <w:rsid w:val="000070A9"/>
    <w:rsid w:val="0000722D"/>
    <w:rsid w:val="00007310"/>
    <w:rsid w:val="0000746D"/>
    <w:rsid w:val="00007476"/>
    <w:rsid w:val="0000759E"/>
    <w:rsid w:val="0000766E"/>
    <w:rsid w:val="00007673"/>
    <w:rsid w:val="00007AB7"/>
    <w:rsid w:val="00007D1C"/>
    <w:rsid w:val="00007E2A"/>
    <w:rsid w:val="00007E57"/>
    <w:rsid w:val="00007E9E"/>
    <w:rsid w:val="00007F07"/>
    <w:rsid w:val="00007F24"/>
    <w:rsid w:val="00007F74"/>
    <w:rsid w:val="000100D0"/>
    <w:rsid w:val="000101E1"/>
    <w:rsid w:val="00010253"/>
    <w:rsid w:val="000102F0"/>
    <w:rsid w:val="0001046C"/>
    <w:rsid w:val="00010941"/>
    <w:rsid w:val="00010A88"/>
    <w:rsid w:val="00010B39"/>
    <w:rsid w:val="00010B77"/>
    <w:rsid w:val="00010C9E"/>
    <w:rsid w:val="00010CAB"/>
    <w:rsid w:val="00010D6B"/>
    <w:rsid w:val="00010DE5"/>
    <w:rsid w:val="00010DFE"/>
    <w:rsid w:val="00010F2F"/>
    <w:rsid w:val="00010FB0"/>
    <w:rsid w:val="00011138"/>
    <w:rsid w:val="000111E6"/>
    <w:rsid w:val="0001142F"/>
    <w:rsid w:val="00011720"/>
    <w:rsid w:val="00011750"/>
    <w:rsid w:val="00011A6C"/>
    <w:rsid w:val="00011C8A"/>
    <w:rsid w:val="00011D4C"/>
    <w:rsid w:val="00011D9E"/>
    <w:rsid w:val="00011DBB"/>
    <w:rsid w:val="00011E41"/>
    <w:rsid w:val="00011E9E"/>
    <w:rsid w:val="00011EB0"/>
    <w:rsid w:val="00012072"/>
    <w:rsid w:val="00012190"/>
    <w:rsid w:val="00012434"/>
    <w:rsid w:val="00012514"/>
    <w:rsid w:val="00012675"/>
    <w:rsid w:val="00012816"/>
    <w:rsid w:val="000128AE"/>
    <w:rsid w:val="0001293B"/>
    <w:rsid w:val="000129F0"/>
    <w:rsid w:val="000129F4"/>
    <w:rsid w:val="00012A3B"/>
    <w:rsid w:val="00012CD9"/>
    <w:rsid w:val="00012DCB"/>
    <w:rsid w:val="00012E80"/>
    <w:rsid w:val="000133BF"/>
    <w:rsid w:val="000133EC"/>
    <w:rsid w:val="00013507"/>
    <w:rsid w:val="00013591"/>
    <w:rsid w:val="000136B7"/>
    <w:rsid w:val="00013732"/>
    <w:rsid w:val="0001376E"/>
    <w:rsid w:val="00013851"/>
    <w:rsid w:val="0001390D"/>
    <w:rsid w:val="00013BB5"/>
    <w:rsid w:val="00013D3E"/>
    <w:rsid w:val="00013EA8"/>
    <w:rsid w:val="0001404F"/>
    <w:rsid w:val="000140CB"/>
    <w:rsid w:val="000141F7"/>
    <w:rsid w:val="000142B2"/>
    <w:rsid w:val="00014422"/>
    <w:rsid w:val="00014513"/>
    <w:rsid w:val="00014579"/>
    <w:rsid w:val="000147C4"/>
    <w:rsid w:val="0001488D"/>
    <w:rsid w:val="000148C3"/>
    <w:rsid w:val="000148DB"/>
    <w:rsid w:val="00014BE3"/>
    <w:rsid w:val="00014DCD"/>
    <w:rsid w:val="00014EE1"/>
    <w:rsid w:val="00014F8E"/>
    <w:rsid w:val="0001502B"/>
    <w:rsid w:val="0001512A"/>
    <w:rsid w:val="00015298"/>
    <w:rsid w:val="0001533D"/>
    <w:rsid w:val="0001534A"/>
    <w:rsid w:val="0001537A"/>
    <w:rsid w:val="000153BF"/>
    <w:rsid w:val="0001550F"/>
    <w:rsid w:val="0001555F"/>
    <w:rsid w:val="0001582E"/>
    <w:rsid w:val="000158AD"/>
    <w:rsid w:val="0001593E"/>
    <w:rsid w:val="000159D2"/>
    <w:rsid w:val="00015CAA"/>
    <w:rsid w:val="00015D1F"/>
    <w:rsid w:val="00015E3D"/>
    <w:rsid w:val="00015EF5"/>
    <w:rsid w:val="00015F2C"/>
    <w:rsid w:val="00015F94"/>
    <w:rsid w:val="000162E8"/>
    <w:rsid w:val="00016321"/>
    <w:rsid w:val="00016324"/>
    <w:rsid w:val="000164D1"/>
    <w:rsid w:val="000165AC"/>
    <w:rsid w:val="000166C4"/>
    <w:rsid w:val="000166F0"/>
    <w:rsid w:val="00016A55"/>
    <w:rsid w:val="00016ABF"/>
    <w:rsid w:val="00016AEB"/>
    <w:rsid w:val="00016B30"/>
    <w:rsid w:val="00016B8C"/>
    <w:rsid w:val="00016DCB"/>
    <w:rsid w:val="00016E44"/>
    <w:rsid w:val="000171DD"/>
    <w:rsid w:val="00017299"/>
    <w:rsid w:val="000172EE"/>
    <w:rsid w:val="00017437"/>
    <w:rsid w:val="000176B7"/>
    <w:rsid w:val="0001771E"/>
    <w:rsid w:val="000177B1"/>
    <w:rsid w:val="000177D3"/>
    <w:rsid w:val="00017A9E"/>
    <w:rsid w:val="00017C62"/>
    <w:rsid w:val="00017CB9"/>
    <w:rsid w:val="00017DBE"/>
    <w:rsid w:val="00020299"/>
    <w:rsid w:val="0002031C"/>
    <w:rsid w:val="000206F3"/>
    <w:rsid w:val="0002087E"/>
    <w:rsid w:val="000208BC"/>
    <w:rsid w:val="00020B3B"/>
    <w:rsid w:val="00020B9A"/>
    <w:rsid w:val="00020BE8"/>
    <w:rsid w:val="00020C65"/>
    <w:rsid w:val="00020D7B"/>
    <w:rsid w:val="00020D90"/>
    <w:rsid w:val="00020DE5"/>
    <w:rsid w:val="00021119"/>
    <w:rsid w:val="000214D8"/>
    <w:rsid w:val="00021568"/>
    <w:rsid w:val="000215AB"/>
    <w:rsid w:val="000216A1"/>
    <w:rsid w:val="000216E9"/>
    <w:rsid w:val="000219B6"/>
    <w:rsid w:val="00021A32"/>
    <w:rsid w:val="00021AD2"/>
    <w:rsid w:val="00021BBB"/>
    <w:rsid w:val="00021C0B"/>
    <w:rsid w:val="00021D6E"/>
    <w:rsid w:val="00021DE9"/>
    <w:rsid w:val="00021F16"/>
    <w:rsid w:val="00021FF6"/>
    <w:rsid w:val="00022201"/>
    <w:rsid w:val="00022387"/>
    <w:rsid w:val="000223CD"/>
    <w:rsid w:val="00022404"/>
    <w:rsid w:val="0002246F"/>
    <w:rsid w:val="000225C1"/>
    <w:rsid w:val="00022638"/>
    <w:rsid w:val="00022709"/>
    <w:rsid w:val="0002288F"/>
    <w:rsid w:val="000228C1"/>
    <w:rsid w:val="000228C2"/>
    <w:rsid w:val="0002296C"/>
    <w:rsid w:val="000229AE"/>
    <w:rsid w:val="00022D1E"/>
    <w:rsid w:val="00022D48"/>
    <w:rsid w:val="00022E91"/>
    <w:rsid w:val="00022EE9"/>
    <w:rsid w:val="000231F6"/>
    <w:rsid w:val="0002328C"/>
    <w:rsid w:val="00023377"/>
    <w:rsid w:val="00023526"/>
    <w:rsid w:val="00023580"/>
    <w:rsid w:val="0002373F"/>
    <w:rsid w:val="0002376C"/>
    <w:rsid w:val="00023791"/>
    <w:rsid w:val="00023794"/>
    <w:rsid w:val="000237A0"/>
    <w:rsid w:val="00023898"/>
    <w:rsid w:val="0002391A"/>
    <w:rsid w:val="000239D0"/>
    <w:rsid w:val="00023B02"/>
    <w:rsid w:val="00023C1C"/>
    <w:rsid w:val="00023C3C"/>
    <w:rsid w:val="00024008"/>
    <w:rsid w:val="000243B1"/>
    <w:rsid w:val="000244EC"/>
    <w:rsid w:val="000245A6"/>
    <w:rsid w:val="00024643"/>
    <w:rsid w:val="00024699"/>
    <w:rsid w:val="000246D6"/>
    <w:rsid w:val="000246FA"/>
    <w:rsid w:val="00024843"/>
    <w:rsid w:val="0002485B"/>
    <w:rsid w:val="0002490F"/>
    <w:rsid w:val="000249B5"/>
    <w:rsid w:val="00024A9B"/>
    <w:rsid w:val="00024AF1"/>
    <w:rsid w:val="00024BA4"/>
    <w:rsid w:val="00024BF2"/>
    <w:rsid w:val="000251E6"/>
    <w:rsid w:val="0002528C"/>
    <w:rsid w:val="000255F5"/>
    <w:rsid w:val="00025631"/>
    <w:rsid w:val="00025696"/>
    <w:rsid w:val="000256BF"/>
    <w:rsid w:val="00025785"/>
    <w:rsid w:val="000257C1"/>
    <w:rsid w:val="0002583D"/>
    <w:rsid w:val="000258DC"/>
    <w:rsid w:val="00025A18"/>
    <w:rsid w:val="00025AF7"/>
    <w:rsid w:val="00025B3A"/>
    <w:rsid w:val="00025C52"/>
    <w:rsid w:val="00025E82"/>
    <w:rsid w:val="00025EC0"/>
    <w:rsid w:val="000260DF"/>
    <w:rsid w:val="0002649C"/>
    <w:rsid w:val="0002651F"/>
    <w:rsid w:val="00026565"/>
    <w:rsid w:val="000265D7"/>
    <w:rsid w:val="000265DD"/>
    <w:rsid w:val="00026648"/>
    <w:rsid w:val="00026929"/>
    <w:rsid w:val="00026B19"/>
    <w:rsid w:val="00026C87"/>
    <w:rsid w:val="00026CB9"/>
    <w:rsid w:val="00026CD3"/>
    <w:rsid w:val="00026F21"/>
    <w:rsid w:val="00026FAC"/>
    <w:rsid w:val="00026FE3"/>
    <w:rsid w:val="00027072"/>
    <w:rsid w:val="000270A1"/>
    <w:rsid w:val="00027123"/>
    <w:rsid w:val="00027387"/>
    <w:rsid w:val="000273AF"/>
    <w:rsid w:val="0002743A"/>
    <w:rsid w:val="00027455"/>
    <w:rsid w:val="00027461"/>
    <w:rsid w:val="000274C5"/>
    <w:rsid w:val="0002752F"/>
    <w:rsid w:val="00027908"/>
    <w:rsid w:val="0002796A"/>
    <w:rsid w:val="00027B96"/>
    <w:rsid w:val="00027CF1"/>
    <w:rsid w:val="00027D55"/>
    <w:rsid w:val="00027E63"/>
    <w:rsid w:val="00027EAC"/>
    <w:rsid w:val="00030113"/>
    <w:rsid w:val="00030246"/>
    <w:rsid w:val="000302F7"/>
    <w:rsid w:val="00030311"/>
    <w:rsid w:val="00030404"/>
    <w:rsid w:val="000304DA"/>
    <w:rsid w:val="000305DC"/>
    <w:rsid w:val="0003095B"/>
    <w:rsid w:val="0003097E"/>
    <w:rsid w:val="000309B2"/>
    <w:rsid w:val="00030C2C"/>
    <w:rsid w:val="00030D33"/>
    <w:rsid w:val="00030E03"/>
    <w:rsid w:val="00030E8C"/>
    <w:rsid w:val="0003108B"/>
    <w:rsid w:val="00031360"/>
    <w:rsid w:val="00031409"/>
    <w:rsid w:val="00031465"/>
    <w:rsid w:val="000318C8"/>
    <w:rsid w:val="00031973"/>
    <w:rsid w:val="00031994"/>
    <w:rsid w:val="00031C24"/>
    <w:rsid w:val="00031CCA"/>
    <w:rsid w:val="00031EE7"/>
    <w:rsid w:val="0003201F"/>
    <w:rsid w:val="00032240"/>
    <w:rsid w:val="000322EE"/>
    <w:rsid w:val="000323B5"/>
    <w:rsid w:val="000324BE"/>
    <w:rsid w:val="000324FB"/>
    <w:rsid w:val="00032607"/>
    <w:rsid w:val="000327CF"/>
    <w:rsid w:val="00032945"/>
    <w:rsid w:val="000329F4"/>
    <w:rsid w:val="00032A6F"/>
    <w:rsid w:val="00032A7A"/>
    <w:rsid w:val="00032FC3"/>
    <w:rsid w:val="00033006"/>
    <w:rsid w:val="00033047"/>
    <w:rsid w:val="00033081"/>
    <w:rsid w:val="00033151"/>
    <w:rsid w:val="0003348A"/>
    <w:rsid w:val="00033817"/>
    <w:rsid w:val="00033916"/>
    <w:rsid w:val="00033962"/>
    <w:rsid w:val="00033A2F"/>
    <w:rsid w:val="00033C76"/>
    <w:rsid w:val="00033C77"/>
    <w:rsid w:val="00033DAD"/>
    <w:rsid w:val="00033E8B"/>
    <w:rsid w:val="00033F1B"/>
    <w:rsid w:val="00033F68"/>
    <w:rsid w:val="00034196"/>
    <w:rsid w:val="000343BF"/>
    <w:rsid w:val="000343F0"/>
    <w:rsid w:val="00034615"/>
    <w:rsid w:val="00034732"/>
    <w:rsid w:val="00034744"/>
    <w:rsid w:val="00034880"/>
    <w:rsid w:val="00034983"/>
    <w:rsid w:val="00034A60"/>
    <w:rsid w:val="0003502C"/>
    <w:rsid w:val="00035146"/>
    <w:rsid w:val="0003546D"/>
    <w:rsid w:val="0003555D"/>
    <w:rsid w:val="00035579"/>
    <w:rsid w:val="00035608"/>
    <w:rsid w:val="000359EB"/>
    <w:rsid w:val="00035A55"/>
    <w:rsid w:val="00035D8D"/>
    <w:rsid w:val="00035E8D"/>
    <w:rsid w:val="00035EEA"/>
    <w:rsid w:val="00035F0B"/>
    <w:rsid w:val="00035FE5"/>
    <w:rsid w:val="00036023"/>
    <w:rsid w:val="00036147"/>
    <w:rsid w:val="000361DB"/>
    <w:rsid w:val="00036267"/>
    <w:rsid w:val="000362C5"/>
    <w:rsid w:val="0003646F"/>
    <w:rsid w:val="000364CB"/>
    <w:rsid w:val="000365E7"/>
    <w:rsid w:val="00036764"/>
    <w:rsid w:val="00036844"/>
    <w:rsid w:val="00036866"/>
    <w:rsid w:val="00036D7E"/>
    <w:rsid w:val="00036D8D"/>
    <w:rsid w:val="00036E55"/>
    <w:rsid w:val="00036FC5"/>
    <w:rsid w:val="00037010"/>
    <w:rsid w:val="0003705A"/>
    <w:rsid w:val="0003709F"/>
    <w:rsid w:val="00037198"/>
    <w:rsid w:val="000371BF"/>
    <w:rsid w:val="00037351"/>
    <w:rsid w:val="000373E6"/>
    <w:rsid w:val="00037477"/>
    <w:rsid w:val="00037691"/>
    <w:rsid w:val="00037696"/>
    <w:rsid w:val="000376FE"/>
    <w:rsid w:val="00037881"/>
    <w:rsid w:val="000378F6"/>
    <w:rsid w:val="00037981"/>
    <w:rsid w:val="000379AC"/>
    <w:rsid w:val="000379CE"/>
    <w:rsid w:val="00037B65"/>
    <w:rsid w:val="00037BB6"/>
    <w:rsid w:val="00037BFF"/>
    <w:rsid w:val="00037C33"/>
    <w:rsid w:val="00037C64"/>
    <w:rsid w:val="00037CC5"/>
    <w:rsid w:val="00037D51"/>
    <w:rsid w:val="00037F7B"/>
    <w:rsid w:val="00040033"/>
    <w:rsid w:val="00040234"/>
    <w:rsid w:val="000403A3"/>
    <w:rsid w:val="000403C2"/>
    <w:rsid w:val="0004045F"/>
    <w:rsid w:val="000404B9"/>
    <w:rsid w:val="00040647"/>
    <w:rsid w:val="00040C9B"/>
    <w:rsid w:val="00040E21"/>
    <w:rsid w:val="0004104F"/>
    <w:rsid w:val="00041076"/>
    <w:rsid w:val="000410BD"/>
    <w:rsid w:val="00041102"/>
    <w:rsid w:val="0004111F"/>
    <w:rsid w:val="000411C5"/>
    <w:rsid w:val="00041204"/>
    <w:rsid w:val="00041232"/>
    <w:rsid w:val="0004139B"/>
    <w:rsid w:val="000414EE"/>
    <w:rsid w:val="00041592"/>
    <w:rsid w:val="000417B6"/>
    <w:rsid w:val="00041894"/>
    <w:rsid w:val="00041A3B"/>
    <w:rsid w:val="00041BBB"/>
    <w:rsid w:val="00041E72"/>
    <w:rsid w:val="00041F3E"/>
    <w:rsid w:val="00041F7A"/>
    <w:rsid w:val="000420CB"/>
    <w:rsid w:val="0004219D"/>
    <w:rsid w:val="00042238"/>
    <w:rsid w:val="0004226F"/>
    <w:rsid w:val="0004233B"/>
    <w:rsid w:val="00042540"/>
    <w:rsid w:val="0004287B"/>
    <w:rsid w:val="00042913"/>
    <w:rsid w:val="000429A1"/>
    <w:rsid w:val="00042E9B"/>
    <w:rsid w:val="0004308B"/>
    <w:rsid w:val="00043142"/>
    <w:rsid w:val="000432F7"/>
    <w:rsid w:val="00043536"/>
    <w:rsid w:val="0004363D"/>
    <w:rsid w:val="00043829"/>
    <w:rsid w:val="0004397A"/>
    <w:rsid w:val="000439A4"/>
    <w:rsid w:val="00043A24"/>
    <w:rsid w:val="00043A29"/>
    <w:rsid w:val="00043C37"/>
    <w:rsid w:val="00043C6F"/>
    <w:rsid w:val="00043CE0"/>
    <w:rsid w:val="00043D40"/>
    <w:rsid w:val="00043D50"/>
    <w:rsid w:val="00043DDE"/>
    <w:rsid w:val="00044091"/>
    <w:rsid w:val="000440DE"/>
    <w:rsid w:val="00044130"/>
    <w:rsid w:val="00044243"/>
    <w:rsid w:val="00044263"/>
    <w:rsid w:val="000442B8"/>
    <w:rsid w:val="0004431F"/>
    <w:rsid w:val="0004444F"/>
    <w:rsid w:val="000444DC"/>
    <w:rsid w:val="000444E3"/>
    <w:rsid w:val="00044540"/>
    <w:rsid w:val="00044590"/>
    <w:rsid w:val="000447DE"/>
    <w:rsid w:val="000448DC"/>
    <w:rsid w:val="0004495D"/>
    <w:rsid w:val="00044A82"/>
    <w:rsid w:val="00044BB9"/>
    <w:rsid w:val="00044CC7"/>
    <w:rsid w:val="00044EA8"/>
    <w:rsid w:val="00045032"/>
    <w:rsid w:val="0004523E"/>
    <w:rsid w:val="0004546A"/>
    <w:rsid w:val="00045599"/>
    <w:rsid w:val="0004559E"/>
    <w:rsid w:val="000455D7"/>
    <w:rsid w:val="000458BA"/>
    <w:rsid w:val="0004593B"/>
    <w:rsid w:val="00045AE7"/>
    <w:rsid w:val="00045B30"/>
    <w:rsid w:val="00045C74"/>
    <w:rsid w:val="00045EC7"/>
    <w:rsid w:val="00045FB6"/>
    <w:rsid w:val="0004601D"/>
    <w:rsid w:val="000460A5"/>
    <w:rsid w:val="000461AF"/>
    <w:rsid w:val="00046436"/>
    <w:rsid w:val="00046470"/>
    <w:rsid w:val="00046536"/>
    <w:rsid w:val="00046719"/>
    <w:rsid w:val="000469C8"/>
    <w:rsid w:val="000469F1"/>
    <w:rsid w:val="00046A8E"/>
    <w:rsid w:val="00046BBD"/>
    <w:rsid w:val="00046CF5"/>
    <w:rsid w:val="00046D98"/>
    <w:rsid w:val="00046F16"/>
    <w:rsid w:val="00046F97"/>
    <w:rsid w:val="0004727F"/>
    <w:rsid w:val="00047289"/>
    <w:rsid w:val="0004752A"/>
    <w:rsid w:val="0004756A"/>
    <w:rsid w:val="000478D7"/>
    <w:rsid w:val="00047C68"/>
    <w:rsid w:val="00047D3E"/>
    <w:rsid w:val="00047DA4"/>
    <w:rsid w:val="00047E01"/>
    <w:rsid w:val="00047E0B"/>
    <w:rsid w:val="00047FBA"/>
    <w:rsid w:val="00047FC0"/>
    <w:rsid w:val="00047FD6"/>
    <w:rsid w:val="0005000E"/>
    <w:rsid w:val="00050063"/>
    <w:rsid w:val="000500A0"/>
    <w:rsid w:val="000501D3"/>
    <w:rsid w:val="00050466"/>
    <w:rsid w:val="00050485"/>
    <w:rsid w:val="0005054F"/>
    <w:rsid w:val="000505A2"/>
    <w:rsid w:val="000505DD"/>
    <w:rsid w:val="00050786"/>
    <w:rsid w:val="000508D4"/>
    <w:rsid w:val="00050C2F"/>
    <w:rsid w:val="00050C3F"/>
    <w:rsid w:val="00050E28"/>
    <w:rsid w:val="00050E60"/>
    <w:rsid w:val="00050E8B"/>
    <w:rsid w:val="00050EB9"/>
    <w:rsid w:val="00050F7A"/>
    <w:rsid w:val="00051146"/>
    <w:rsid w:val="00051163"/>
    <w:rsid w:val="00051173"/>
    <w:rsid w:val="000511D1"/>
    <w:rsid w:val="000512AB"/>
    <w:rsid w:val="000512D4"/>
    <w:rsid w:val="000513FF"/>
    <w:rsid w:val="0005144D"/>
    <w:rsid w:val="00051569"/>
    <w:rsid w:val="00051579"/>
    <w:rsid w:val="000515C0"/>
    <w:rsid w:val="00051781"/>
    <w:rsid w:val="00051815"/>
    <w:rsid w:val="000518A7"/>
    <w:rsid w:val="000518D4"/>
    <w:rsid w:val="00051954"/>
    <w:rsid w:val="000519DA"/>
    <w:rsid w:val="00051B29"/>
    <w:rsid w:val="00051E90"/>
    <w:rsid w:val="0005214E"/>
    <w:rsid w:val="0005220E"/>
    <w:rsid w:val="0005239D"/>
    <w:rsid w:val="00052633"/>
    <w:rsid w:val="000526EF"/>
    <w:rsid w:val="000529D8"/>
    <w:rsid w:val="00052C5E"/>
    <w:rsid w:val="00052DB1"/>
    <w:rsid w:val="00052EA6"/>
    <w:rsid w:val="00052F0E"/>
    <w:rsid w:val="00053049"/>
    <w:rsid w:val="000532C3"/>
    <w:rsid w:val="000533A8"/>
    <w:rsid w:val="000533E9"/>
    <w:rsid w:val="00053523"/>
    <w:rsid w:val="00053574"/>
    <w:rsid w:val="00053711"/>
    <w:rsid w:val="000537E6"/>
    <w:rsid w:val="000537F7"/>
    <w:rsid w:val="00053B6B"/>
    <w:rsid w:val="00054001"/>
    <w:rsid w:val="0005407C"/>
    <w:rsid w:val="00054097"/>
    <w:rsid w:val="000541D6"/>
    <w:rsid w:val="00054504"/>
    <w:rsid w:val="00054579"/>
    <w:rsid w:val="000546EB"/>
    <w:rsid w:val="0005471B"/>
    <w:rsid w:val="00054828"/>
    <w:rsid w:val="000549B5"/>
    <w:rsid w:val="00054A27"/>
    <w:rsid w:val="00054BD6"/>
    <w:rsid w:val="00054C7F"/>
    <w:rsid w:val="00054CB5"/>
    <w:rsid w:val="00054CC6"/>
    <w:rsid w:val="00054D35"/>
    <w:rsid w:val="00054DF5"/>
    <w:rsid w:val="00054F85"/>
    <w:rsid w:val="00054FBD"/>
    <w:rsid w:val="00055041"/>
    <w:rsid w:val="0005516F"/>
    <w:rsid w:val="000553D1"/>
    <w:rsid w:val="000555C2"/>
    <w:rsid w:val="00055714"/>
    <w:rsid w:val="00055761"/>
    <w:rsid w:val="000557C1"/>
    <w:rsid w:val="00055A18"/>
    <w:rsid w:val="00055A9F"/>
    <w:rsid w:val="00055BB0"/>
    <w:rsid w:val="00055C4E"/>
    <w:rsid w:val="00055DBE"/>
    <w:rsid w:val="00055E00"/>
    <w:rsid w:val="00055E31"/>
    <w:rsid w:val="00055E7F"/>
    <w:rsid w:val="00056214"/>
    <w:rsid w:val="0005660F"/>
    <w:rsid w:val="00056621"/>
    <w:rsid w:val="0005681A"/>
    <w:rsid w:val="0005690C"/>
    <w:rsid w:val="0005690E"/>
    <w:rsid w:val="00056942"/>
    <w:rsid w:val="000569F1"/>
    <w:rsid w:val="00056A31"/>
    <w:rsid w:val="00056ADC"/>
    <w:rsid w:val="00056AF4"/>
    <w:rsid w:val="00056BDE"/>
    <w:rsid w:val="00056C37"/>
    <w:rsid w:val="00056D19"/>
    <w:rsid w:val="00056F75"/>
    <w:rsid w:val="00056FA3"/>
    <w:rsid w:val="00056FFF"/>
    <w:rsid w:val="00057234"/>
    <w:rsid w:val="0005741A"/>
    <w:rsid w:val="00057425"/>
    <w:rsid w:val="0005751C"/>
    <w:rsid w:val="0005754A"/>
    <w:rsid w:val="000575C8"/>
    <w:rsid w:val="00057666"/>
    <w:rsid w:val="0005766A"/>
    <w:rsid w:val="0005788D"/>
    <w:rsid w:val="000578FD"/>
    <w:rsid w:val="00057D1F"/>
    <w:rsid w:val="00057E69"/>
    <w:rsid w:val="00057FEE"/>
    <w:rsid w:val="00057FEF"/>
    <w:rsid w:val="0006018C"/>
    <w:rsid w:val="000601A0"/>
    <w:rsid w:val="000604CA"/>
    <w:rsid w:val="0006075C"/>
    <w:rsid w:val="00060823"/>
    <w:rsid w:val="0006098C"/>
    <w:rsid w:val="00060B01"/>
    <w:rsid w:val="00060BA6"/>
    <w:rsid w:val="00060C20"/>
    <w:rsid w:val="00060DB5"/>
    <w:rsid w:val="00060E01"/>
    <w:rsid w:val="0006109E"/>
    <w:rsid w:val="0006113B"/>
    <w:rsid w:val="00061377"/>
    <w:rsid w:val="000613D7"/>
    <w:rsid w:val="0006141F"/>
    <w:rsid w:val="000614C0"/>
    <w:rsid w:val="00061561"/>
    <w:rsid w:val="0006160F"/>
    <w:rsid w:val="00061788"/>
    <w:rsid w:val="00061977"/>
    <w:rsid w:val="00061D8A"/>
    <w:rsid w:val="00061E0C"/>
    <w:rsid w:val="00061ED2"/>
    <w:rsid w:val="00061EF0"/>
    <w:rsid w:val="0006204A"/>
    <w:rsid w:val="000620EB"/>
    <w:rsid w:val="0006210A"/>
    <w:rsid w:val="000622DA"/>
    <w:rsid w:val="0006249E"/>
    <w:rsid w:val="0006251A"/>
    <w:rsid w:val="00062555"/>
    <w:rsid w:val="000626E0"/>
    <w:rsid w:val="0006279C"/>
    <w:rsid w:val="000627F8"/>
    <w:rsid w:val="00062A42"/>
    <w:rsid w:val="00062CD9"/>
    <w:rsid w:val="00062E2A"/>
    <w:rsid w:val="000630F5"/>
    <w:rsid w:val="00063220"/>
    <w:rsid w:val="00063476"/>
    <w:rsid w:val="000634A7"/>
    <w:rsid w:val="00063508"/>
    <w:rsid w:val="00063568"/>
    <w:rsid w:val="00063576"/>
    <w:rsid w:val="000635BE"/>
    <w:rsid w:val="00063B35"/>
    <w:rsid w:val="00063C10"/>
    <w:rsid w:val="0006403F"/>
    <w:rsid w:val="000641A5"/>
    <w:rsid w:val="000645B2"/>
    <w:rsid w:val="00064662"/>
    <w:rsid w:val="0006491D"/>
    <w:rsid w:val="00064A33"/>
    <w:rsid w:val="00064B0F"/>
    <w:rsid w:val="00064B2E"/>
    <w:rsid w:val="00064BE2"/>
    <w:rsid w:val="00064CB9"/>
    <w:rsid w:val="00064DBC"/>
    <w:rsid w:val="00064E18"/>
    <w:rsid w:val="00064F14"/>
    <w:rsid w:val="00064F1A"/>
    <w:rsid w:val="000650DE"/>
    <w:rsid w:val="000652EF"/>
    <w:rsid w:val="00065302"/>
    <w:rsid w:val="0006556F"/>
    <w:rsid w:val="00065575"/>
    <w:rsid w:val="000655D8"/>
    <w:rsid w:val="00065723"/>
    <w:rsid w:val="0006598B"/>
    <w:rsid w:val="00065B3D"/>
    <w:rsid w:val="00065C67"/>
    <w:rsid w:val="00065C72"/>
    <w:rsid w:val="00065D81"/>
    <w:rsid w:val="00065E2C"/>
    <w:rsid w:val="00065ECE"/>
    <w:rsid w:val="0006613C"/>
    <w:rsid w:val="000662B9"/>
    <w:rsid w:val="000662C5"/>
    <w:rsid w:val="000662CE"/>
    <w:rsid w:val="000662D2"/>
    <w:rsid w:val="0006659B"/>
    <w:rsid w:val="000665AD"/>
    <w:rsid w:val="0006678D"/>
    <w:rsid w:val="0006692B"/>
    <w:rsid w:val="00066A63"/>
    <w:rsid w:val="00066B51"/>
    <w:rsid w:val="00066BF4"/>
    <w:rsid w:val="00066CBF"/>
    <w:rsid w:val="00066FF9"/>
    <w:rsid w:val="00067013"/>
    <w:rsid w:val="00067185"/>
    <w:rsid w:val="000671E1"/>
    <w:rsid w:val="0006727E"/>
    <w:rsid w:val="000672EC"/>
    <w:rsid w:val="0006730C"/>
    <w:rsid w:val="00067347"/>
    <w:rsid w:val="0006742E"/>
    <w:rsid w:val="00067478"/>
    <w:rsid w:val="00067530"/>
    <w:rsid w:val="00067644"/>
    <w:rsid w:val="0006783C"/>
    <w:rsid w:val="00067860"/>
    <w:rsid w:val="00067A92"/>
    <w:rsid w:val="00067BC0"/>
    <w:rsid w:val="00067BDC"/>
    <w:rsid w:val="00067BFF"/>
    <w:rsid w:val="00067E2C"/>
    <w:rsid w:val="00067EBE"/>
    <w:rsid w:val="00067ED8"/>
    <w:rsid w:val="00067F48"/>
    <w:rsid w:val="000700E4"/>
    <w:rsid w:val="0007038E"/>
    <w:rsid w:val="00070484"/>
    <w:rsid w:val="00070583"/>
    <w:rsid w:val="000708E2"/>
    <w:rsid w:val="00070C37"/>
    <w:rsid w:val="00070C73"/>
    <w:rsid w:val="00070D08"/>
    <w:rsid w:val="00070DC1"/>
    <w:rsid w:val="00070E56"/>
    <w:rsid w:val="00070E66"/>
    <w:rsid w:val="00070F3D"/>
    <w:rsid w:val="00071031"/>
    <w:rsid w:val="0007126E"/>
    <w:rsid w:val="00071288"/>
    <w:rsid w:val="00071423"/>
    <w:rsid w:val="000716B2"/>
    <w:rsid w:val="00071932"/>
    <w:rsid w:val="000719DC"/>
    <w:rsid w:val="00071A75"/>
    <w:rsid w:val="00071AE0"/>
    <w:rsid w:val="00071C0F"/>
    <w:rsid w:val="00071EA3"/>
    <w:rsid w:val="00071EDE"/>
    <w:rsid w:val="00071EE7"/>
    <w:rsid w:val="00071EF4"/>
    <w:rsid w:val="00071F97"/>
    <w:rsid w:val="00071FEF"/>
    <w:rsid w:val="00072158"/>
    <w:rsid w:val="000722AB"/>
    <w:rsid w:val="000723C1"/>
    <w:rsid w:val="000723FB"/>
    <w:rsid w:val="0007250D"/>
    <w:rsid w:val="00072686"/>
    <w:rsid w:val="00072738"/>
    <w:rsid w:val="000727BE"/>
    <w:rsid w:val="00072814"/>
    <w:rsid w:val="00072894"/>
    <w:rsid w:val="00072B2A"/>
    <w:rsid w:val="00072CB3"/>
    <w:rsid w:val="00072D41"/>
    <w:rsid w:val="00072DB4"/>
    <w:rsid w:val="00072F8E"/>
    <w:rsid w:val="00073016"/>
    <w:rsid w:val="0007313C"/>
    <w:rsid w:val="0007325F"/>
    <w:rsid w:val="000732B0"/>
    <w:rsid w:val="000732BF"/>
    <w:rsid w:val="00073429"/>
    <w:rsid w:val="000735B1"/>
    <w:rsid w:val="00073699"/>
    <w:rsid w:val="00073793"/>
    <w:rsid w:val="000737D2"/>
    <w:rsid w:val="0007390D"/>
    <w:rsid w:val="000739B2"/>
    <w:rsid w:val="00073AA3"/>
    <w:rsid w:val="00073ADB"/>
    <w:rsid w:val="00073B3B"/>
    <w:rsid w:val="00073C81"/>
    <w:rsid w:val="00073C99"/>
    <w:rsid w:val="00073CAB"/>
    <w:rsid w:val="00073CFB"/>
    <w:rsid w:val="00073E31"/>
    <w:rsid w:val="00073F92"/>
    <w:rsid w:val="00074222"/>
    <w:rsid w:val="00074268"/>
    <w:rsid w:val="00074473"/>
    <w:rsid w:val="000744DB"/>
    <w:rsid w:val="000747B8"/>
    <w:rsid w:val="000749A9"/>
    <w:rsid w:val="00074C53"/>
    <w:rsid w:val="00074E2C"/>
    <w:rsid w:val="00074E30"/>
    <w:rsid w:val="00074EE2"/>
    <w:rsid w:val="00074F73"/>
    <w:rsid w:val="00074FB1"/>
    <w:rsid w:val="0007516C"/>
    <w:rsid w:val="000751BD"/>
    <w:rsid w:val="000752F2"/>
    <w:rsid w:val="00075469"/>
    <w:rsid w:val="00075598"/>
    <w:rsid w:val="00075603"/>
    <w:rsid w:val="0007566B"/>
    <w:rsid w:val="0007567B"/>
    <w:rsid w:val="00075887"/>
    <w:rsid w:val="000759F0"/>
    <w:rsid w:val="00075B9D"/>
    <w:rsid w:val="00075D33"/>
    <w:rsid w:val="00075E2F"/>
    <w:rsid w:val="00075E51"/>
    <w:rsid w:val="00075F31"/>
    <w:rsid w:val="000763A7"/>
    <w:rsid w:val="00076413"/>
    <w:rsid w:val="0007668D"/>
    <w:rsid w:val="0007682F"/>
    <w:rsid w:val="000768E4"/>
    <w:rsid w:val="000769BC"/>
    <w:rsid w:val="00076A1C"/>
    <w:rsid w:val="00076A39"/>
    <w:rsid w:val="00076CCA"/>
    <w:rsid w:val="00077072"/>
    <w:rsid w:val="000770A6"/>
    <w:rsid w:val="00077203"/>
    <w:rsid w:val="00077589"/>
    <w:rsid w:val="00077A17"/>
    <w:rsid w:val="00077B13"/>
    <w:rsid w:val="00077B6C"/>
    <w:rsid w:val="00077B9D"/>
    <w:rsid w:val="00077CEC"/>
    <w:rsid w:val="00077CF9"/>
    <w:rsid w:val="00077DE3"/>
    <w:rsid w:val="00080182"/>
    <w:rsid w:val="000801E4"/>
    <w:rsid w:val="0008072C"/>
    <w:rsid w:val="000808EA"/>
    <w:rsid w:val="0008092B"/>
    <w:rsid w:val="000809D5"/>
    <w:rsid w:val="00080A36"/>
    <w:rsid w:val="00080C20"/>
    <w:rsid w:val="00080C40"/>
    <w:rsid w:val="00080C6B"/>
    <w:rsid w:val="00080D5A"/>
    <w:rsid w:val="00080ED1"/>
    <w:rsid w:val="00080F65"/>
    <w:rsid w:val="0008113D"/>
    <w:rsid w:val="00081254"/>
    <w:rsid w:val="0008127E"/>
    <w:rsid w:val="000815A8"/>
    <w:rsid w:val="00081635"/>
    <w:rsid w:val="00081688"/>
    <w:rsid w:val="00081B08"/>
    <w:rsid w:val="00081EC3"/>
    <w:rsid w:val="00081EDB"/>
    <w:rsid w:val="00081F0A"/>
    <w:rsid w:val="0008218D"/>
    <w:rsid w:val="000821DB"/>
    <w:rsid w:val="00082379"/>
    <w:rsid w:val="000825D1"/>
    <w:rsid w:val="0008272B"/>
    <w:rsid w:val="000827B5"/>
    <w:rsid w:val="000828CE"/>
    <w:rsid w:val="00082940"/>
    <w:rsid w:val="000829CD"/>
    <w:rsid w:val="00082A59"/>
    <w:rsid w:val="00082B31"/>
    <w:rsid w:val="00082C07"/>
    <w:rsid w:val="00082D09"/>
    <w:rsid w:val="00082E43"/>
    <w:rsid w:val="00082F7C"/>
    <w:rsid w:val="00082F92"/>
    <w:rsid w:val="0008325A"/>
    <w:rsid w:val="00083495"/>
    <w:rsid w:val="00083572"/>
    <w:rsid w:val="000837BC"/>
    <w:rsid w:val="0008399A"/>
    <w:rsid w:val="000839D5"/>
    <w:rsid w:val="00083E49"/>
    <w:rsid w:val="00084192"/>
    <w:rsid w:val="0008421F"/>
    <w:rsid w:val="0008424D"/>
    <w:rsid w:val="000842D4"/>
    <w:rsid w:val="0008454A"/>
    <w:rsid w:val="00084938"/>
    <w:rsid w:val="00084B26"/>
    <w:rsid w:val="00084D91"/>
    <w:rsid w:val="000855F7"/>
    <w:rsid w:val="000856FF"/>
    <w:rsid w:val="00085770"/>
    <w:rsid w:val="00085785"/>
    <w:rsid w:val="000857D6"/>
    <w:rsid w:val="00085942"/>
    <w:rsid w:val="0008597F"/>
    <w:rsid w:val="00085B2E"/>
    <w:rsid w:val="00085B47"/>
    <w:rsid w:val="00085C20"/>
    <w:rsid w:val="0008600A"/>
    <w:rsid w:val="0008601B"/>
    <w:rsid w:val="0008613C"/>
    <w:rsid w:val="000861AF"/>
    <w:rsid w:val="000861D5"/>
    <w:rsid w:val="000861E7"/>
    <w:rsid w:val="000862D8"/>
    <w:rsid w:val="000863C6"/>
    <w:rsid w:val="00086505"/>
    <w:rsid w:val="00086590"/>
    <w:rsid w:val="000866A3"/>
    <w:rsid w:val="000866AB"/>
    <w:rsid w:val="00086880"/>
    <w:rsid w:val="00086989"/>
    <w:rsid w:val="00086A77"/>
    <w:rsid w:val="00086B7A"/>
    <w:rsid w:val="0008703A"/>
    <w:rsid w:val="000870CB"/>
    <w:rsid w:val="000871F2"/>
    <w:rsid w:val="000873A6"/>
    <w:rsid w:val="00087492"/>
    <w:rsid w:val="000874C7"/>
    <w:rsid w:val="0008752F"/>
    <w:rsid w:val="0008765C"/>
    <w:rsid w:val="00087736"/>
    <w:rsid w:val="000877C5"/>
    <w:rsid w:val="00087876"/>
    <w:rsid w:val="000878F7"/>
    <w:rsid w:val="0008794A"/>
    <w:rsid w:val="00087980"/>
    <w:rsid w:val="00087ACF"/>
    <w:rsid w:val="00087B24"/>
    <w:rsid w:val="00087B2D"/>
    <w:rsid w:val="00087CA8"/>
    <w:rsid w:val="00087E4B"/>
    <w:rsid w:val="00087E7B"/>
    <w:rsid w:val="00087F9C"/>
    <w:rsid w:val="00087FDD"/>
    <w:rsid w:val="00090084"/>
    <w:rsid w:val="000903BD"/>
    <w:rsid w:val="000903FD"/>
    <w:rsid w:val="00090432"/>
    <w:rsid w:val="00090504"/>
    <w:rsid w:val="0009056F"/>
    <w:rsid w:val="000907C2"/>
    <w:rsid w:val="00090841"/>
    <w:rsid w:val="0009084D"/>
    <w:rsid w:val="00090A9E"/>
    <w:rsid w:val="00090C11"/>
    <w:rsid w:val="00090E33"/>
    <w:rsid w:val="00090EC8"/>
    <w:rsid w:val="00090EDA"/>
    <w:rsid w:val="00090F81"/>
    <w:rsid w:val="00090F9D"/>
    <w:rsid w:val="00090F9F"/>
    <w:rsid w:val="00091113"/>
    <w:rsid w:val="000911C2"/>
    <w:rsid w:val="00091482"/>
    <w:rsid w:val="0009158E"/>
    <w:rsid w:val="000917D3"/>
    <w:rsid w:val="000917E4"/>
    <w:rsid w:val="0009183F"/>
    <w:rsid w:val="00091890"/>
    <w:rsid w:val="000918F1"/>
    <w:rsid w:val="000919BD"/>
    <w:rsid w:val="00091C1C"/>
    <w:rsid w:val="00091C59"/>
    <w:rsid w:val="00091CD0"/>
    <w:rsid w:val="00091DA7"/>
    <w:rsid w:val="0009209D"/>
    <w:rsid w:val="000921C8"/>
    <w:rsid w:val="0009226D"/>
    <w:rsid w:val="00092327"/>
    <w:rsid w:val="00092527"/>
    <w:rsid w:val="00092558"/>
    <w:rsid w:val="00092864"/>
    <w:rsid w:val="000928BF"/>
    <w:rsid w:val="0009291E"/>
    <w:rsid w:val="00092ABF"/>
    <w:rsid w:val="00092AD8"/>
    <w:rsid w:val="00092B87"/>
    <w:rsid w:val="00092BED"/>
    <w:rsid w:val="00092C8E"/>
    <w:rsid w:val="00092CBD"/>
    <w:rsid w:val="00092DEB"/>
    <w:rsid w:val="00092E1F"/>
    <w:rsid w:val="00092ED2"/>
    <w:rsid w:val="00093118"/>
    <w:rsid w:val="000931B7"/>
    <w:rsid w:val="00093422"/>
    <w:rsid w:val="000935EA"/>
    <w:rsid w:val="000937AC"/>
    <w:rsid w:val="000937F3"/>
    <w:rsid w:val="000939D8"/>
    <w:rsid w:val="00093A2F"/>
    <w:rsid w:val="00093AA8"/>
    <w:rsid w:val="00093D27"/>
    <w:rsid w:val="00093EC2"/>
    <w:rsid w:val="00093FAD"/>
    <w:rsid w:val="00094022"/>
    <w:rsid w:val="00094060"/>
    <w:rsid w:val="00094095"/>
    <w:rsid w:val="00094341"/>
    <w:rsid w:val="00094595"/>
    <w:rsid w:val="0009459F"/>
    <w:rsid w:val="00094A23"/>
    <w:rsid w:val="00094E64"/>
    <w:rsid w:val="00094F7F"/>
    <w:rsid w:val="00095048"/>
    <w:rsid w:val="000950E8"/>
    <w:rsid w:val="00095364"/>
    <w:rsid w:val="00095503"/>
    <w:rsid w:val="0009556F"/>
    <w:rsid w:val="00095669"/>
    <w:rsid w:val="0009566B"/>
    <w:rsid w:val="00095990"/>
    <w:rsid w:val="00095AC9"/>
    <w:rsid w:val="00095B57"/>
    <w:rsid w:val="000960FF"/>
    <w:rsid w:val="000961B9"/>
    <w:rsid w:val="000961D7"/>
    <w:rsid w:val="00096252"/>
    <w:rsid w:val="00096289"/>
    <w:rsid w:val="00096433"/>
    <w:rsid w:val="00096443"/>
    <w:rsid w:val="00096453"/>
    <w:rsid w:val="00096494"/>
    <w:rsid w:val="000965A0"/>
    <w:rsid w:val="000965B2"/>
    <w:rsid w:val="00096647"/>
    <w:rsid w:val="0009688C"/>
    <w:rsid w:val="000969F1"/>
    <w:rsid w:val="00096A1B"/>
    <w:rsid w:val="00096AA2"/>
    <w:rsid w:val="00096C03"/>
    <w:rsid w:val="00096C1C"/>
    <w:rsid w:val="00096D55"/>
    <w:rsid w:val="00096D90"/>
    <w:rsid w:val="00096E4F"/>
    <w:rsid w:val="000970B8"/>
    <w:rsid w:val="0009710A"/>
    <w:rsid w:val="0009714B"/>
    <w:rsid w:val="0009717A"/>
    <w:rsid w:val="00097202"/>
    <w:rsid w:val="00097240"/>
    <w:rsid w:val="000972C3"/>
    <w:rsid w:val="000973F6"/>
    <w:rsid w:val="0009755C"/>
    <w:rsid w:val="000975C3"/>
    <w:rsid w:val="00097620"/>
    <w:rsid w:val="00097653"/>
    <w:rsid w:val="000976D6"/>
    <w:rsid w:val="00097778"/>
    <w:rsid w:val="000977A9"/>
    <w:rsid w:val="00097897"/>
    <w:rsid w:val="00097A29"/>
    <w:rsid w:val="00097AD8"/>
    <w:rsid w:val="00097DE5"/>
    <w:rsid w:val="000A00A4"/>
    <w:rsid w:val="000A03B5"/>
    <w:rsid w:val="000A0724"/>
    <w:rsid w:val="000A0831"/>
    <w:rsid w:val="000A087F"/>
    <w:rsid w:val="000A08BB"/>
    <w:rsid w:val="000A0AA0"/>
    <w:rsid w:val="000A0DBC"/>
    <w:rsid w:val="000A1035"/>
    <w:rsid w:val="000A10A2"/>
    <w:rsid w:val="000A1438"/>
    <w:rsid w:val="000A180D"/>
    <w:rsid w:val="000A185F"/>
    <w:rsid w:val="000A19EC"/>
    <w:rsid w:val="000A1A70"/>
    <w:rsid w:val="000A1ACA"/>
    <w:rsid w:val="000A1BC3"/>
    <w:rsid w:val="000A1D58"/>
    <w:rsid w:val="000A1EB0"/>
    <w:rsid w:val="000A1F51"/>
    <w:rsid w:val="000A20A3"/>
    <w:rsid w:val="000A20C4"/>
    <w:rsid w:val="000A20E5"/>
    <w:rsid w:val="000A224F"/>
    <w:rsid w:val="000A2392"/>
    <w:rsid w:val="000A2449"/>
    <w:rsid w:val="000A246D"/>
    <w:rsid w:val="000A2525"/>
    <w:rsid w:val="000A2AC0"/>
    <w:rsid w:val="000A2C4E"/>
    <w:rsid w:val="000A2E51"/>
    <w:rsid w:val="000A2E66"/>
    <w:rsid w:val="000A2F16"/>
    <w:rsid w:val="000A2F1F"/>
    <w:rsid w:val="000A2FFD"/>
    <w:rsid w:val="000A30FD"/>
    <w:rsid w:val="000A3468"/>
    <w:rsid w:val="000A351F"/>
    <w:rsid w:val="000A38F3"/>
    <w:rsid w:val="000A3EB9"/>
    <w:rsid w:val="000A3ECB"/>
    <w:rsid w:val="000A3F59"/>
    <w:rsid w:val="000A3F99"/>
    <w:rsid w:val="000A4303"/>
    <w:rsid w:val="000A45B3"/>
    <w:rsid w:val="000A45F6"/>
    <w:rsid w:val="000A46C7"/>
    <w:rsid w:val="000A471D"/>
    <w:rsid w:val="000A4A2F"/>
    <w:rsid w:val="000A4AF5"/>
    <w:rsid w:val="000A4BB7"/>
    <w:rsid w:val="000A4BC5"/>
    <w:rsid w:val="000A4CD1"/>
    <w:rsid w:val="000A4DE4"/>
    <w:rsid w:val="000A4DE9"/>
    <w:rsid w:val="000A4EAA"/>
    <w:rsid w:val="000A4EF8"/>
    <w:rsid w:val="000A5242"/>
    <w:rsid w:val="000A55C4"/>
    <w:rsid w:val="000A56E3"/>
    <w:rsid w:val="000A572B"/>
    <w:rsid w:val="000A583B"/>
    <w:rsid w:val="000A584A"/>
    <w:rsid w:val="000A5AD8"/>
    <w:rsid w:val="000A5ADC"/>
    <w:rsid w:val="000A5B92"/>
    <w:rsid w:val="000A5CD7"/>
    <w:rsid w:val="000A5DFD"/>
    <w:rsid w:val="000A5E17"/>
    <w:rsid w:val="000A5F13"/>
    <w:rsid w:val="000A5F1B"/>
    <w:rsid w:val="000A5FEA"/>
    <w:rsid w:val="000A62CC"/>
    <w:rsid w:val="000A655E"/>
    <w:rsid w:val="000A65F4"/>
    <w:rsid w:val="000A667D"/>
    <w:rsid w:val="000A669A"/>
    <w:rsid w:val="000A6760"/>
    <w:rsid w:val="000A6765"/>
    <w:rsid w:val="000A69B3"/>
    <w:rsid w:val="000A6A2F"/>
    <w:rsid w:val="000A7048"/>
    <w:rsid w:val="000A70BA"/>
    <w:rsid w:val="000A70E0"/>
    <w:rsid w:val="000A7163"/>
    <w:rsid w:val="000A718C"/>
    <w:rsid w:val="000A7197"/>
    <w:rsid w:val="000A720C"/>
    <w:rsid w:val="000A72E5"/>
    <w:rsid w:val="000A7551"/>
    <w:rsid w:val="000A76BA"/>
    <w:rsid w:val="000A78AD"/>
    <w:rsid w:val="000A797F"/>
    <w:rsid w:val="000A7A22"/>
    <w:rsid w:val="000A7A41"/>
    <w:rsid w:val="000A7AD6"/>
    <w:rsid w:val="000A7B6B"/>
    <w:rsid w:val="000A7B6F"/>
    <w:rsid w:val="000A7BF2"/>
    <w:rsid w:val="000A7C05"/>
    <w:rsid w:val="000B028E"/>
    <w:rsid w:val="000B0358"/>
    <w:rsid w:val="000B07BD"/>
    <w:rsid w:val="000B09A4"/>
    <w:rsid w:val="000B09CE"/>
    <w:rsid w:val="000B0A8F"/>
    <w:rsid w:val="000B0BCF"/>
    <w:rsid w:val="000B0C67"/>
    <w:rsid w:val="000B0D0E"/>
    <w:rsid w:val="000B0DA5"/>
    <w:rsid w:val="000B1057"/>
    <w:rsid w:val="000B10BF"/>
    <w:rsid w:val="000B11D7"/>
    <w:rsid w:val="000B132B"/>
    <w:rsid w:val="000B132E"/>
    <w:rsid w:val="000B1434"/>
    <w:rsid w:val="000B1601"/>
    <w:rsid w:val="000B166D"/>
    <w:rsid w:val="000B1684"/>
    <w:rsid w:val="000B1AFD"/>
    <w:rsid w:val="000B1C7C"/>
    <w:rsid w:val="000B1D1C"/>
    <w:rsid w:val="000B1DBC"/>
    <w:rsid w:val="000B1DED"/>
    <w:rsid w:val="000B1F6A"/>
    <w:rsid w:val="000B2653"/>
    <w:rsid w:val="000B26D0"/>
    <w:rsid w:val="000B2843"/>
    <w:rsid w:val="000B2B79"/>
    <w:rsid w:val="000B2E1F"/>
    <w:rsid w:val="000B2ED4"/>
    <w:rsid w:val="000B3074"/>
    <w:rsid w:val="000B30C8"/>
    <w:rsid w:val="000B3194"/>
    <w:rsid w:val="000B3329"/>
    <w:rsid w:val="000B3468"/>
    <w:rsid w:val="000B3477"/>
    <w:rsid w:val="000B37B3"/>
    <w:rsid w:val="000B3898"/>
    <w:rsid w:val="000B38A8"/>
    <w:rsid w:val="000B3A0C"/>
    <w:rsid w:val="000B3BE0"/>
    <w:rsid w:val="000B3BE3"/>
    <w:rsid w:val="000B3C1F"/>
    <w:rsid w:val="000B3F23"/>
    <w:rsid w:val="000B4142"/>
    <w:rsid w:val="000B423E"/>
    <w:rsid w:val="000B4361"/>
    <w:rsid w:val="000B4790"/>
    <w:rsid w:val="000B4817"/>
    <w:rsid w:val="000B4BE1"/>
    <w:rsid w:val="000B4C09"/>
    <w:rsid w:val="000B4C96"/>
    <w:rsid w:val="000B4CC7"/>
    <w:rsid w:val="000B4D95"/>
    <w:rsid w:val="000B519A"/>
    <w:rsid w:val="000B5221"/>
    <w:rsid w:val="000B53B8"/>
    <w:rsid w:val="000B5435"/>
    <w:rsid w:val="000B578F"/>
    <w:rsid w:val="000B582F"/>
    <w:rsid w:val="000B5AFF"/>
    <w:rsid w:val="000B5B32"/>
    <w:rsid w:val="000B5BCD"/>
    <w:rsid w:val="000B5C38"/>
    <w:rsid w:val="000B5C63"/>
    <w:rsid w:val="000B5D33"/>
    <w:rsid w:val="000B5DE3"/>
    <w:rsid w:val="000B5E5A"/>
    <w:rsid w:val="000B5E9E"/>
    <w:rsid w:val="000B5F1D"/>
    <w:rsid w:val="000B602B"/>
    <w:rsid w:val="000B607A"/>
    <w:rsid w:val="000B60C5"/>
    <w:rsid w:val="000B6376"/>
    <w:rsid w:val="000B63A3"/>
    <w:rsid w:val="000B63E6"/>
    <w:rsid w:val="000B682F"/>
    <w:rsid w:val="000B6884"/>
    <w:rsid w:val="000B68DD"/>
    <w:rsid w:val="000B6AF5"/>
    <w:rsid w:val="000B6CA5"/>
    <w:rsid w:val="000B6FF0"/>
    <w:rsid w:val="000B71F1"/>
    <w:rsid w:val="000B7248"/>
    <w:rsid w:val="000B7329"/>
    <w:rsid w:val="000B73D2"/>
    <w:rsid w:val="000B75B7"/>
    <w:rsid w:val="000B761A"/>
    <w:rsid w:val="000B7647"/>
    <w:rsid w:val="000B7657"/>
    <w:rsid w:val="000B7683"/>
    <w:rsid w:val="000B7866"/>
    <w:rsid w:val="000B78E4"/>
    <w:rsid w:val="000B7AE6"/>
    <w:rsid w:val="000B7F79"/>
    <w:rsid w:val="000C046D"/>
    <w:rsid w:val="000C05DA"/>
    <w:rsid w:val="000C061A"/>
    <w:rsid w:val="000C06CF"/>
    <w:rsid w:val="000C06D4"/>
    <w:rsid w:val="000C0769"/>
    <w:rsid w:val="000C078B"/>
    <w:rsid w:val="000C0A0B"/>
    <w:rsid w:val="000C0A8D"/>
    <w:rsid w:val="000C0AE7"/>
    <w:rsid w:val="000C0BB0"/>
    <w:rsid w:val="000C0EA0"/>
    <w:rsid w:val="000C0F80"/>
    <w:rsid w:val="000C0FC3"/>
    <w:rsid w:val="000C1026"/>
    <w:rsid w:val="000C1258"/>
    <w:rsid w:val="000C12F5"/>
    <w:rsid w:val="000C139E"/>
    <w:rsid w:val="000C147F"/>
    <w:rsid w:val="000C14DD"/>
    <w:rsid w:val="000C1529"/>
    <w:rsid w:val="000C161C"/>
    <w:rsid w:val="000C17C7"/>
    <w:rsid w:val="000C180C"/>
    <w:rsid w:val="000C1822"/>
    <w:rsid w:val="000C19DE"/>
    <w:rsid w:val="000C1AE0"/>
    <w:rsid w:val="000C1BDE"/>
    <w:rsid w:val="000C1C0C"/>
    <w:rsid w:val="000C1CA6"/>
    <w:rsid w:val="000C1CB1"/>
    <w:rsid w:val="000C1D18"/>
    <w:rsid w:val="000C1DB1"/>
    <w:rsid w:val="000C1ED8"/>
    <w:rsid w:val="000C1F2E"/>
    <w:rsid w:val="000C1F67"/>
    <w:rsid w:val="000C2010"/>
    <w:rsid w:val="000C2384"/>
    <w:rsid w:val="000C2422"/>
    <w:rsid w:val="000C2492"/>
    <w:rsid w:val="000C24C6"/>
    <w:rsid w:val="000C2503"/>
    <w:rsid w:val="000C25C5"/>
    <w:rsid w:val="000C2741"/>
    <w:rsid w:val="000C28A7"/>
    <w:rsid w:val="000C2D3D"/>
    <w:rsid w:val="000C2D89"/>
    <w:rsid w:val="000C2E2B"/>
    <w:rsid w:val="000C2EBF"/>
    <w:rsid w:val="000C311B"/>
    <w:rsid w:val="000C325B"/>
    <w:rsid w:val="000C3265"/>
    <w:rsid w:val="000C3623"/>
    <w:rsid w:val="000C369D"/>
    <w:rsid w:val="000C36B3"/>
    <w:rsid w:val="000C3963"/>
    <w:rsid w:val="000C39A2"/>
    <w:rsid w:val="000C39D0"/>
    <w:rsid w:val="000C3A7A"/>
    <w:rsid w:val="000C3B24"/>
    <w:rsid w:val="000C3BC6"/>
    <w:rsid w:val="000C3C1A"/>
    <w:rsid w:val="000C3C77"/>
    <w:rsid w:val="000C3D1B"/>
    <w:rsid w:val="000C3D99"/>
    <w:rsid w:val="000C4114"/>
    <w:rsid w:val="000C4292"/>
    <w:rsid w:val="000C432B"/>
    <w:rsid w:val="000C438E"/>
    <w:rsid w:val="000C4440"/>
    <w:rsid w:val="000C4648"/>
    <w:rsid w:val="000C4744"/>
    <w:rsid w:val="000C4993"/>
    <w:rsid w:val="000C4CFE"/>
    <w:rsid w:val="000C4D1C"/>
    <w:rsid w:val="000C4D24"/>
    <w:rsid w:val="000C4D86"/>
    <w:rsid w:val="000C4DB5"/>
    <w:rsid w:val="000C50F1"/>
    <w:rsid w:val="000C5250"/>
    <w:rsid w:val="000C525C"/>
    <w:rsid w:val="000C52DF"/>
    <w:rsid w:val="000C535C"/>
    <w:rsid w:val="000C547D"/>
    <w:rsid w:val="000C558A"/>
    <w:rsid w:val="000C5806"/>
    <w:rsid w:val="000C590C"/>
    <w:rsid w:val="000C5942"/>
    <w:rsid w:val="000C59A2"/>
    <w:rsid w:val="000C59C7"/>
    <w:rsid w:val="000C5ABC"/>
    <w:rsid w:val="000C5BAE"/>
    <w:rsid w:val="000C5D7A"/>
    <w:rsid w:val="000C5E0A"/>
    <w:rsid w:val="000C5F28"/>
    <w:rsid w:val="000C608B"/>
    <w:rsid w:val="000C615A"/>
    <w:rsid w:val="000C62B1"/>
    <w:rsid w:val="000C67BF"/>
    <w:rsid w:val="000C68C9"/>
    <w:rsid w:val="000C69DD"/>
    <w:rsid w:val="000C6ACB"/>
    <w:rsid w:val="000C6B4B"/>
    <w:rsid w:val="000C6DB7"/>
    <w:rsid w:val="000C6E95"/>
    <w:rsid w:val="000C6ED4"/>
    <w:rsid w:val="000C6F7C"/>
    <w:rsid w:val="000C71F7"/>
    <w:rsid w:val="000C724D"/>
    <w:rsid w:val="000C7639"/>
    <w:rsid w:val="000C771B"/>
    <w:rsid w:val="000C77E6"/>
    <w:rsid w:val="000C77E9"/>
    <w:rsid w:val="000C783D"/>
    <w:rsid w:val="000C791B"/>
    <w:rsid w:val="000C7932"/>
    <w:rsid w:val="000C798F"/>
    <w:rsid w:val="000C79EB"/>
    <w:rsid w:val="000C7C3B"/>
    <w:rsid w:val="000C7C9E"/>
    <w:rsid w:val="000C7D30"/>
    <w:rsid w:val="000C7E95"/>
    <w:rsid w:val="000D0032"/>
    <w:rsid w:val="000D00D6"/>
    <w:rsid w:val="000D0542"/>
    <w:rsid w:val="000D061A"/>
    <w:rsid w:val="000D0712"/>
    <w:rsid w:val="000D071B"/>
    <w:rsid w:val="000D0935"/>
    <w:rsid w:val="000D0A31"/>
    <w:rsid w:val="000D0CB3"/>
    <w:rsid w:val="000D0E75"/>
    <w:rsid w:val="000D0E8D"/>
    <w:rsid w:val="000D0F53"/>
    <w:rsid w:val="000D10FF"/>
    <w:rsid w:val="000D13B2"/>
    <w:rsid w:val="000D186B"/>
    <w:rsid w:val="000D18B9"/>
    <w:rsid w:val="000D19EF"/>
    <w:rsid w:val="000D1A1F"/>
    <w:rsid w:val="000D1B54"/>
    <w:rsid w:val="000D1BA8"/>
    <w:rsid w:val="000D1D2C"/>
    <w:rsid w:val="000D1E87"/>
    <w:rsid w:val="000D1FA7"/>
    <w:rsid w:val="000D1FCB"/>
    <w:rsid w:val="000D20F3"/>
    <w:rsid w:val="000D2284"/>
    <w:rsid w:val="000D27B6"/>
    <w:rsid w:val="000D2800"/>
    <w:rsid w:val="000D2A7D"/>
    <w:rsid w:val="000D2BC0"/>
    <w:rsid w:val="000D2C99"/>
    <w:rsid w:val="000D2D5D"/>
    <w:rsid w:val="000D2E04"/>
    <w:rsid w:val="000D2E24"/>
    <w:rsid w:val="000D2E3A"/>
    <w:rsid w:val="000D2F6F"/>
    <w:rsid w:val="000D30B5"/>
    <w:rsid w:val="000D3142"/>
    <w:rsid w:val="000D3294"/>
    <w:rsid w:val="000D338E"/>
    <w:rsid w:val="000D379F"/>
    <w:rsid w:val="000D3ABE"/>
    <w:rsid w:val="000D3B97"/>
    <w:rsid w:val="000D3BD1"/>
    <w:rsid w:val="000D3C94"/>
    <w:rsid w:val="000D3D06"/>
    <w:rsid w:val="000D3D82"/>
    <w:rsid w:val="000D3E91"/>
    <w:rsid w:val="000D3FD5"/>
    <w:rsid w:val="000D4009"/>
    <w:rsid w:val="000D4089"/>
    <w:rsid w:val="000D4092"/>
    <w:rsid w:val="000D41A7"/>
    <w:rsid w:val="000D4244"/>
    <w:rsid w:val="000D4259"/>
    <w:rsid w:val="000D426E"/>
    <w:rsid w:val="000D44FB"/>
    <w:rsid w:val="000D4534"/>
    <w:rsid w:val="000D4551"/>
    <w:rsid w:val="000D45B8"/>
    <w:rsid w:val="000D4600"/>
    <w:rsid w:val="000D468E"/>
    <w:rsid w:val="000D488C"/>
    <w:rsid w:val="000D48F1"/>
    <w:rsid w:val="000D4980"/>
    <w:rsid w:val="000D4A70"/>
    <w:rsid w:val="000D4AE9"/>
    <w:rsid w:val="000D4CBE"/>
    <w:rsid w:val="000D4DCA"/>
    <w:rsid w:val="000D4F0C"/>
    <w:rsid w:val="000D523D"/>
    <w:rsid w:val="000D53FC"/>
    <w:rsid w:val="000D5451"/>
    <w:rsid w:val="000D54B8"/>
    <w:rsid w:val="000D55D3"/>
    <w:rsid w:val="000D590F"/>
    <w:rsid w:val="000D599F"/>
    <w:rsid w:val="000D5AD3"/>
    <w:rsid w:val="000D5BDC"/>
    <w:rsid w:val="000D5C34"/>
    <w:rsid w:val="000D5EB4"/>
    <w:rsid w:val="000D5F6F"/>
    <w:rsid w:val="000D610F"/>
    <w:rsid w:val="000D63AC"/>
    <w:rsid w:val="000D65C8"/>
    <w:rsid w:val="000D65D7"/>
    <w:rsid w:val="000D6715"/>
    <w:rsid w:val="000D671B"/>
    <w:rsid w:val="000D6749"/>
    <w:rsid w:val="000D6842"/>
    <w:rsid w:val="000D691A"/>
    <w:rsid w:val="000D6B2D"/>
    <w:rsid w:val="000D6CF7"/>
    <w:rsid w:val="000D6D23"/>
    <w:rsid w:val="000D6D52"/>
    <w:rsid w:val="000D6E1B"/>
    <w:rsid w:val="000D6E55"/>
    <w:rsid w:val="000D7248"/>
    <w:rsid w:val="000D75E7"/>
    <w:rsid w:val="000D774F"/>
    <w:rsid w:val="000D7874"/>
    <w:rsid w:val="000D78C5"/>
    <w:rsid w:val="000D78D1"/>
    <w:rsid w:val="000D78F4"/>
    <w:rsid w:val="000D7AB3"/>
    <w:rsid w:val="000D7B27"/>
    <w:rsid w:val="000D7BD0"/>
    <w:rsid w:val="000D7C0C"/>
    <w:rsid w:val="000D7DCF"/>
    <w:rsid w:val="000D7E73"/>
    <w:rsid w:val="000D7F5E"/>
    <w:rsid w:val="000D7F66"/>
    <w:rsid w:val="000D7F6B"/>
    <w:rsid w:val="000D7F9A"/>
    <w:rsid w:val="000E0057"/>
    <w:rsid w:val="000E021D"/>
    <w:rsid w:val="000E025C"/>
    <w:rsid w:val="000E02B4"/>
    <w:rsid w:val="000E0304"/>
    <w:rsid w:val="000E06ED"/>
    <w:rsid w:val="000E0B02"/>
    <w:rsid w:val="000E0B68"/>
    <w:rsid w:val="000E0BC2"/>
    <w:rsid w:val="000E0D78"/>
    <w:rsid w:val="000E1017"/>
    <w:rsid w:val="000E1034"/>
    <w:rsid w:val="000E105B"/>
    <w:rsid w:val="000E10D6"/>
    <w:rsid w:val="000E124D"/>
    <w:rsid w:val="000E12D6"/>
    <w:rsid w:val="000E142C"/>
    <w:rsid w:val="000E149B"/>
    <w:rsid w:val="000E177A"/>
    <w:rsid w:val="000E18CA"/>
    <w:rsid w:val="000E1935"/>
    <w:rsid w:val="000E1AEC"/>
    <w:rsid w:val="000E1F3B"/>
    <w:rsid w:val="000E1FB4"/>
    <w:rsid w:val="000E2126"/>
    <w:rsid w:val="000E240E"/>
    <w:rsid w:val="000E249C"/>
    <w:rsid w:val="000E25FC"/>
    <w:rsid w:val="000E2790"/>
    <w:rsid w:val="000E2A5C"/>
    <w:rsid w:val="000E2A7C"/>
    <w:rsid w:val="000E2A96"/>
    <w:rsid w:val="000E2D6F"/>
    <w:rsid w:val="000E2D7C"/>
    <w:rsid w:val="000E2E80"/>
    <w:rsid w:val="000E2F06"/>
    <w:rsid w:val="000E319B"/>
    <w:rsid w:val="000E31F8"/>
    <w:rsid w:val="000E33D7"/>
    <w:rsid w:val="000E3532"/>
    <w:rsid w:val="000E35C8"/>
    <w:rsid w:val="000E35F4"/>
    <w:rsid w:val="000E36A4"/>
    <w:rsid w:val="000E36EF"/>
    <w:rsid w:val="000E3706"/>
    <w:rsid w:val="000E3713"/>
    <w:rsid w:val="000E37E2"/>
    <w:rsid w:val="000E39FD"/>
    <w:rsid w:val="000E3A9E"/>
    <w:rsid w:val="000E3BA0"/>
    <w:rsid w:val="000E3EA0"/>
    <w:rsid w:val="000E3EE4"/>
    <w:rsid w:val="000E4115"/>
    <w:rsid w:val="000E4197"/>
    <w:rsid w:val="000E4322"/>
    <w:rsid w:val="000E44A8"/>
    <w:rsid w:val="000E4861"/>
    <w:rsid w:val="000E48A1"/>
    <w:rsid w:val="000E4A19"/>
    <w:rsid w:val="000E4AB7"/>
    <w:rsid w:val="000E4B4C"/>
    <w:rsid w:val="000E4D45"/>
    <w:rsid w:val="000E4E19"/>
    <w:rsid w:val="000E4E69"/>
    <w:rsid w:val="000E4FD1"/>
    <w:rsid w:val="000E504F"/>
    <w:rsid w:val="000E52BA"/>
    <w:rsid w:val="000E5305"/>
    <w:rsid w:val="000E535F"/>
    <w:rsid w:val="000E54E7"/>
    <w:rsid w:val="000E55D4"/>
    <w:rsid w:val="000E563E"/>
    <w:rsid w:val="000E59B3"/>
    <w:rsid w:val="000E5B61"/>
    <w:rsid w:val="000E5BE8"/>
    <w:rsid w:val="000E5C82"/>
    <w:rsid w:val="000E5CB0"/>
    <w:rsid w:val="000E6096"/>
    <w:rsid w:val="000E60B7"/>
    <w:rsid w:val="000E60CA"/>
    <w:rsid w:val="000E6103"/>
    <w:rsid w:val="000E63CD"/>
    <w:rsid w:val="000E6481"/>
    <w:rsid w:val="000E6729"/>
    <w:rsid w:val="000E6C43"/>
    <w:rsid w:val="000E6EDD"/>
    <w:rsid w:val="000E702A"/>
    <w:rsid w:val="000E7187"/>
    <w:rsid w:val="000E72B0"/>
    <w:rsid w:val="000E73A7"/>
    <w:rsid w:val="000E7771"/>
    <w:rsid w:val="000E7A45"/>
    <w:rsid w:val="000E7FBE"/>
    <w:rsid w:val="000F0027"/>
    <w:rsid w:val="000F010E"/>
    <w:rsid w:val="000F0165"/>
    <w:rsid w:val="000F01EF"/>
    <w:rsid w:val="000F0270"/>
    <w:rsid w:val="000F038C"/>
    <w:rsid w:val="000F03C9"/>
    <w:rsid w:val="000F042C"/>
    <w:rsid w:val="000F051A"/>
    <w:rsid w:val="000F07E1"/>
    <w:rsid w:val="000F093A"/>
    <w:rsid w:val="000F0C95"/>
    <w:rsid w:val="000F0E4C"/>
    <w:rsid w:val="000F0FC3"/>
    <w:rsid w:val="000F104C"/>
    <w:rsid w:val="000F10EE"/>
    <w:rsid w:val="000F1286"/>
    <w:rsid w:val="000F12BA"/>
    <w:rsid w:val="000F12BC"/>
    <w:rsid w:val="000F146B"/>
    <w:rsid w:val="000F15A1"/>
    <w:rsid w:val="000F1655"/>
    <w:rsid w:val="000F1798"/>
    <w:rsid w:val="000F1908"/>
    <w:rsid w:val="000F191E"/>
    <w:rsid w:val="000F1A22"/>
    <w:rsid w:val="000F1CC6"/>
    <w:rsid w:val="000F1CEA"/>
    <w:rsid w:val="000F1DBB"/>
    <w:rsid w:val="000F1DDC"/>
    <w:rsid w:val="000F20D1"/>
    <w:rsid w:val="000F222B"/>
    <w:rsid w:val="000F23F2"/>
    <w:rsid w:val="000F255A"/>
    <w:rsid w:val="000F258F"/>
    <w:rsid w:val="000F27D5"/>
    <w:rsid w:val="000F28CF"/>
    <w:rsid w:val="000F298A"/>
    <w:rsid w:val="000F2A92"/>
    <w:rsid w:val="000F2C77"/>
    <w:rsid w:val="000F2D50"/>
    <w:rsid w:val="000F2DCC"/>
    <w:rsid w:val="000F2E0A"/>
    <w:rsid w:val="000F2F7F"/>
    <w:rsid w:val="000F335E"/>
    <w:rsid w:val="000F3616"/>
    <w:rsid w:val="000F36AE"/>
    <w:rsid w:val="000F3727"/>
    <w:rsid w:val="000F372A"/>
    <w:rsid w:val="000F375B"/>
    <w:rsid w:val="000F3784"/>
    <w:rsid w:val="000F38DF"/>
    <w:rsid w:val="000F3A6C"/>
    <w:rsid w:val="000F3AB5"/>
    <w:rsid w:val="000F3C97"/>
    <w:rsid w:val="000F3CE7"/>
    <w:rsid w:val="000F40CB"/>
    <w:rsid w:val="000F4224"/>
    <w:rsid w:val="000F4387"/>
    <w:rsid w:val="000F44CD"/>
    <w:rsid w:val="000F482D"/>
    <w:rsid w:val="000F48FA"/>
    <w:rsid w:val="000F4999"/>
    <w:rsid w:val="000F4B40"/>
    <w:rsid w:val="000F4D61"/>
    <w:rsid w:val="000F4E8A"/>
    <w:rsid w:val="000F4F09"/>
    <w:rsid w:val="000F4F6B"/>
    <w:rsid w:val="000F4FDD"/>
    <w:rsid w:val="000F504A"/>
    <w:rsid w:val="000F50C3"/>
    <w:rsid w:val="000F5141"/>
    <w:rsid w:val="000F5195"/>
    <w:rsid w:val="000F51EA"/>
    <w:rsid w:val="000F533D"/>
    <w:rsid w:val="000F5544"/>
    <w:rsid w:val="000F55D7"/>
    <w:rsid w:val="000F56AC"/>
    <w:rsid w:val="000F5729"/>
    <w:rsid w:val="000F5766"/>
    <w:rsid w:val="000F58A2"/>
    <w:rsid w:val="000F5BBA"/>
    <w:rsid w:val="000F5C51"/>
    <w:rsid w:val="000F5E1F"/>
    <w:rsid w:val="000F5EC1"/>
    <w:rsid w:val="000F5EF7"/>
    <w:rsid w:val="000F5F25"/>
    <w:rsid w:val="000F610D"/>
    <w:rsid w:val="000F614F"/>
    <w:rsid w:val="000F64AF"/>
    <w:rsid w:val="000F64C0"/>
    <w:rsid w:val="000F6584"/>
    <w:rsid w:val="000F6591"/>
    <w:rsid w:val="000F6642"/>
    <w:rsid w:val="000F664D"/>
    <w:rsid w:val="000F6687"/>
    <w:rsid w:val="000F6775"/>
    <w:rsid w:val="000F68A5"/>
    <w:rsid w:val="000F6A7C"/>
    <w:rsid w:val="000F6AE1"/>
    <w:rsid w:val="000F6B5F"/>
    <w:rsid w:val="000F6BB3"/>
    <w:rsid w:val="000F6CCF"/>
    <w:rsid w:val="000F6E4C"/>
    <w:rsid w:val="000F6E57"/>
    <w:rsid w:val="000F6FC7"/>
    <w:rsid w:val="000F6FF3"/>
    <w:rsid w:val="000F72E2"/>
    <w:rsid w:val="000F73D4"/>
    <w:rsid w:val="000F74AE"/>
    <w:rsid w:val="000F76C0"/>
    <w:rsid w:val="000F78B5"/>
    <w:rsid w:val="000F7B07"/>
    <w:rsid w:val="000F7B84"/>
    <w:rsid w:val="000F7E0F"/>
    <w:rsid w:val="000F7E1A"/>
    <w:rsid w:val="000F7E4D"/>
    <w:rsid w:val="000F7F40"/>
    <w:rsid w:val="000F7F99"/>
    <w:rsid w:val="000F7F9B"/>
    <w:rsid w:val="001000F1"/>
    <w:rsid w:val="00100281"/>
    <w:rsid w:val="001002E2"/>
    <w:rsid w:val="0010062F"/>
    <w:rsid w:val="001007C4"/>
    <w:rsid w:val="001008C5"/>
    <w:rsid w:val="00100AB4"/>
    <w:rsid w:val="00100BB2"/>
    <w:rsid w:val="00100F5F"/>
    <w:rsid w:val="00101114"/>
    <w:rsid w:val="00101145"/>
    <w:rsid w:val="00101153"/>
    <w:rsid w:val="00101154"/>
    <w:rsid w:val="0010122A"/>
    <w:rsid w:val="001012C8"/>
    <w:rsid w:val="00101393"/>
    <w:rsid w:val="0010143A"/>
    <w:rsid w:val="00101451"/>
    <w:rsid w:val="00101548"/>
    <w:rsid w:val="00101568"/>
    <w:rsid w:val="0010170C"/>
    <w:rsid w:val="001018DE"/>
    <w:rsid w:val="00101B07"/>
    <w:rsid w:val="00101B2D"/>
    <w:rsid w:val="00101B6B"/>
    <w:rsid w:val="00101E5B"/>
    <w:rsid w:val="00101E91"/>
    <w:rsid w:val="00101EA2"/>
    <w:rsid w:val="00101F21"/>
    <w:rsid w:val="00102094"/>
    <w:rsid w:val="00102217"/>
    <w:rsid w:val="00102329"/>
    <w:rsid w:val="0010235F"/>
    <w:rsid w:val="001023F4"/>
    <w:rsid w:val="001025E7"/>
    <w:rsid w:val="00102AA9"/>
    <w:rsid w:val="00102C3C"/>
    <w:rsid w:val="00102C51"/>
    <w:rsid w:val="00102E0E"/>
    <w:rsid w:val="00102E99"/>
    <w:rsid w:val="00102E9F"/>
    <w:rsid w:val="00102EFF"/>
    <w:rsid w:val="00102F52"/>
    <w:rsid w:val="001030A9"/>
    <w:rsid w:val="00103312"/>
    <w:rsid w:val="0010342E"/>
    <w:rsid w:val="001035CE"/>
    <w:rsid w:val="00103892"/>
    <w:rsid w:val="001038E2"/>
    <w:rsid w:val="0010393F"/>
    <w:rsid w:val="001039F5"/>
    <w:rsid w:val="00103C7A"/>
    <w:rsid w:val="00103E19"/>
    <w:rsid w:val="00103F65"/>
    <w:rsid w:val="00104056"/>
    <w:rsid w:val="0010406D"/>
    <w:rsid w:val="001042FB"/>
    <w:rsid w:val="00104411"/>
    <w:rsid w:val="00104439"/>
    <w:rsid w:val="00104476"/>
    <w:rsid w:val="00104847"/>
    <w:rsid w:val="001049BF"/>
    <w:rsid w:val="00104AE9"/>
    <w:rsid w:val="00104B5B"/>
    <w:rsid w:val="00104D13"/>
    <w:rsid w:val="00104D62"/>
    <w:rsid w:val="00104D6D"/>
    <w:rsid w:val="00104D97"/>
    <w:rsid w:val="00104DF0"/>
    <w:rsid w:val="00104E43"/>
    <w:rsid w:val="0010506F"/>
    <w:rsid w:val="001050F9"/>
    <w:rsid w:val="001054AA"/>
    <w:rsid w:val="00105522"/>
    <w:rsid w:val="00105535"/>
    <w:rsid w:val="001055A0"/>
    <w:rsid w:val="0010587A"/>
    <w:rsid w:val="001058DE"/>
    <w:rsid w:val="00105A8C"/>
    <w:rsid w:val="00105AD4"/>
    <w:rsid w:val="00105B29"/>
    <w:rsid w:val="00105C4D"/>
    <w:rsid w:val="00105CD6"/>
    <w:rsid w:val="00106034"/>
    <w:rsid w:val="0010631D"/>
    <w:rsid w:val="00106375"/>
    <w:rsid w:val="001063CC"/>
    <w:rsid w:val="001065E9"/>
    <w:rsid w:val="00106776"/>
    <w:rsid w:val="001067C9"/>
    <w:rsid w:val="00106870"/>
    <w:rsid w:val="001068A0"/>
    <w:rsid w:val="00106981"/>
    <w:rsid w:val="0010698B"/>
    <w:rsid w:val="00106AE1"/>
    <w:rsid w:val="001071CD"/>
    <w:rsid w:val="00107461"/>
    <w:rsid w:val="00107555"/>
    <w:rsid w:val="001075A1"/>
    <w:rsid w:val="001075F8"/>
    <w:rsid w:val="0010775F"/>
    <w:rsid w:val="001077D4"/>
    <w:rsid w:val="001078FE"/>
    <w:rsid w:val="0010792B"/>
    <w:rsid w:val="00107A24"/>
    <w:rsid w:val="00107A4F"/>
    <w:rsid w:val="00107AA7"/>
    <w:rsid w:val="00107B06"/>
    <w:rsid w:val="00107CB2"/>
    <w:rsid w:val="00107D75"/>
    <w:rsid w:val="00107D98"/>
    <w:rsid w:val="00107E2A"/>
    <w:rsid w:val="00107EA4"/>
    <w:rsid w:val="00107F71"/>
    <w:rsid w:val="00110185"/>
    <w:rsid w:val="00110289"/>
    <w:rsid w:val="001103EA"/>
    <w:rsid w:val="001105EA"/>
    <w:rsid w:val="001107D0"/>
    <w:rsid w:val="0011081C"/>
    <w:rsid w:val="00110844"/>
    <w:rsid w:val="001109A3"/>
    <w:rsid w:val="00110A86"/>
    <w:rsid w:val="00110BF2"/>
    <w:rsid w:val="00110F3D"/>
    <w:rsid w:val="00110F58"/>
    <w:rsid w:val="00110FD6"/>
    <w:rsid w:val="00111240"/>
    <w:rsid w:val="0011129C"/>
    <w:rsid w:val="001112A6"/>
    <w:rsid w:val="001113D2"/>
    <w:rsid w:val="0011153B"/>
    <w:rsid w:val="00111662"/>
    <w:rsid w:val="00111750"/>
    <w:rsid w:val="0011175D"/>
    <w:rsid w:val="001117F7"/>
    <w:rsid w:val="00111844"/>
    <w:rsid w:val="0011188F"/>
    <w:rsid w:val="00111B02"/>
    <w:rsid w:val="00111B23"/>
    <w:rsid w:val="00111B73"/>
    <w:rsid w:val="00111C72"/>
    <w:rsid w:val="00111D4E"/>
    <w:rsid w:val="00111E8C"/>
    <w:rsid w:val="00111F1E"/>
    <w:rsid w:val="00111F58"/>
    <w:rsid w:val="00111F68"/>
    <w:rsid w:val="00111FBC"/>
    <w:rsid w:val="00112058"/>
    <w:rsid w:val="00112094"/>
    <w:rsid w:val="001120D1"/>
    <w:rsid w:val="0011213A"/>
    <w:rsid w:val="001122B2"/>
    <w:rsid w:val="001123D4"/>
    <w:rsid w:val="001123FB"/>
    <w:rsid w:val="001124E0"/>
    <w:rsid w:val="00112639"/>
    <w:rsid w:val="0011266F"/>
    <w:rsid w:val="00112750"/>
    <w:rsid w:val="00112756"/>
    <w:rsid w:val="00112A28"/>
    <w:rsid w:val="00112B56"/>
    <w:rsid w:val="00112C30"/>
    <w:rsid w:val="00112C6C"/>
    <w:rsid w:val="001131E3"/>
    <w:rsid w:val="00113221"/>
    <w:rsid w:val="00113302"/>
    <w:rsid w:val="0011337D"/>
    <w:rsid w:val="00113466"/>
    <w:rsid w:val="00113834"/>
    <w:rsid w:val="00113941"/>
    <w:rsid w:val="00113A09"/>
    <w:rsid w:val="00113AB6"/>
    <w:rsid w:val="00113B55"/>
    <w:rsid w:val="00113C2B"/>
    <w:rsid w:val="00113CF1"/>
    <w:rsid w:val="00113CF8"/>
    <w:rsid w:val="00113D78"/>
    <w:rsid w:val="00113EAA"/>
    <w:rsid w:val="00113F22"/>
    <w:rsid w:val="00113F8C"/>
    <w:rsid w:val="00113FA5"/>
    <w:rsid w:val="00114043"/>
    <w:rsid w:val="0011407C"/>
    <w:rsid w:val="001141CE"/>
    <w:rsid w:val="001141E6"/>
    <w:rsid w:val="00114347"/>
    <w:rsid w:val="001143BB"/>
    <w:rsid w:val="001143D1"/>
    <w:rsid w:val="0011449F"/>
    <w:rsid w:val="00114548"/>
    <w:rsid w:val="001145B2"/>
    <w:rsid w:val="001145D1"/>
    <w:rsid w:val="001145F0"/>
    <w:rsid w:val="0011473F"/>
    <w:rsid w:val="0011487F"/>
    <w:rsid w:val="00114881"/>
    <w:rsid w:val="00114C11"/>
    <w:rsid w:val="00114C43"/>
    <w:rsid w:val="00114D69"/>
    <w:rsid w:val="00114F04"/>
    <w:rsid w:val="00115051"/>
    <w:rsid w:val="001151BD"/>
    <w:rsid w:val="00115244"/>
    <w:rsid w:val="00115343"/>
    <w:rsid w:val="00115430"/>
    <w:rsid w:val="001154AB"/>
    <w:rsid w:val="001154E4"/>
    <w:rsid w:val="001156AB"/>
    <w:rsid w:val="001158C4"/>
    <w:rsid w:val="0011591B"/>
    <w:rsid w:val="00115953"/>
    <w:rsid w:val="0011595F"/>
    <w:rsid w:val="00115A1E"/>
    <w:rsid w:val="00115E07"/>
    <w:rsid w:val="00115EDC"/>
    <w:rsid w:val="00115F38"/>
    <w:rsid w:val="00115F57"/>
    <w:rsid w:val="001160B0"/>
    <w:rsid w:val="0011615E"/>
    <w:rsid w:val="001162C6"/>
    <w:rsid w:val="00116305"/>
    <w:rsid w:val="00116318"/>
    <w:rsid w:val="0011652A"/>
    <w:rsid w:val="00116630"/>
    <w:rsid w:val="00116721"/>
    <w:rsid w:val="001167AA"/>
    <w:rsid w:val="001167C0"/>
    <w:rsid w:val="0011684A"/>
    <w:rsid w:val="00116975"/>
    <w:rsid w:val="0011699B"/>
    <w:rsid w:val="00116C3F"/>
    <w:rsid w:val="00116CE5"/>
    <w:rsid w:val="00116DE3"/>
    <w:rsid w:val="00116E33"/>
    <w:rsid w:val="00116E57"/>
    <w:rsid w:val="00116EB1"/>
    <w:rsid w:val="0011706F"/>
    <w:rsid w:val="00117167"/>
    <w:rsid w:val="0011727D"/>
    <w:rsid w:val="00117341"/>
    <w:rsid w:val="0011749B"/>
    <w:rsid w:val="0011762F"/>
    <w:rsid w:val="001177AE"/>
    <w:rsid w:val="001179AC"/>
    <w:rsid w:val="00117B20"/>
    <w:rsid w:val="00117B79"/>
    <w:rsid w:val="00117BFA"/>
    <w:rsid w:val="00117CE2"/>
    <w:rsid w:val="00117D47"/>
    <w:rsid w:val="00117E48"/>
    <w:rsid w:val="00117F3E"/>
    <w:rsid w:val="00117F6B"/>
    <w:rsid w:val="001200A4"/>
    <w:rsid w:val="0012021C"/>
    <w:rsid w:val="00120225"/>
    <w:rsid w:val="00120259"/>
    <w:rsid w:val="0012025D"/>
    <w:rsid w:val="00120567"/>
    <w:rsid w:val="001206A3"/>
    <w:rsid w:val="001207D2"/>
    <w:rsid w:val="00120883"/>
    <w:rsid w:val="0012091A"/>
    <w:rsid w:val="001209A2"/>
    <w:rsid w:val="00120A87"/>
    <w:rsid w:val="00120AAB"/>
    <w:rsid w:val="00120B66"/>
    <w:rsid w:val="00120DC0"/>
    <w:rsid w:val="00120E35"/>
    <w:rsid w:val="00120FD7"/>
    <w:rsid w:val="00121190"/>
    <w:rsid w:val="0012121D"/>
    <w:rsid w:val="0012174B"/>
    <w:rsid w:val="001217A0"/>
    <w:rsid w:val="00121932"/>
    <w:rsid w:val="00121C09"/>
    <w:rsid w:val="00121C29"/>
    <w:rsid w:val="00121E9D"/>
    <w:rsid w:val="00121F79"/>
    <w:rsid w:val="00121F7B"/>
    <w:rsid w:val="00121F8D"/>
    <w:rsid w:val="00121FDD"/>
    <w:rsid w:val="001220DE"/>
    <w:rsid w:val="001220FA"/>
    <w:rsid w:val="0012224E"/>
    <w:rsid w:val="0012252E"/>
    <w:rsid w:val="0012264A"/>
    <w:rsid w:val="0012280F"/>
    <w:rsid w:val="001228B5"/>
    <w:rsid w:val="00122B41"/>
    <w:rsid w:val="00122D50"/>
    <w:rsid w:val="00122E29"/>
    <w:rsid w:val="00122E89"/>
    <w:rsid w:val="00122ED3"/>
    <w:rsid w:val="00122F25"/>
    <w:rsid w:val="00122F90"/>
    <w:rsid w:val="00122FE1"/>
    <w:rsid w:val="0012307A"/>
    <w:rsid w:val="001230B5"/>
    <w:rsid w:val="001231DB"/>
    <w:rsid w:val="00123351"/>
    <w:rsid w:val="001236DD"/>
    <w:rsid w:val="001237D6"/>
    <w:rsid w:val="00123D1D"/>
    <w:rsid w:val="00123E0C"/>
    <w:rsid w:val="00123EF6"/>
    <w:rsid w:val="00123F2D"/>
    <w:rsid w:val="00123F48"/>
    <w:rsid w:val="00123F8F"/>
    <w:rsid w:val="00123FA9"/>
    <w:rsid w:val="00124025"/>
    <w:rsid w:val="0012408A"/>
    <w:rsid w:val="00124170"/>
    <w:rsid w:val="00124199"/>
    <w:rsid w:val="00124339"/>
    <w:rsid w:val="001243FC"/>
    <w:rsid w:val="00124509"/>
    <w:rsid w:val="00124570"/>
    <w:rsid w:val="0012459F"/>
    <w:rsid w:val="0012460E"/>
    <w:rsid w:val="00124647"/>
    <w:rsid w:val="00124798"/>
    <w:rsid w:val="001247A2"/>
    <w:rsid w:val="001247A7"/>
    <w:rsid w:val="0012486B"/>
    <w:rsid w:val="00124A85"/>
    <w:rsid w:val="00124CFE"/>
    <w:rsid w:val="00124E18"/>
    <w:rsid w:val="00124E4A"/>
    <w:rsid w:val="00125017"/>
    <w:rsid w:val="0012502D"/>
    <w:rsid w:val="00125372"/>
    <w:rsid w:val="001253D4"/>
    <w:rsid w:val="00125439"/>
    <w:rsid w:val="00125576"/>
    <w:rsid w:val="001257A7"/>
    <w:rsid w:val="001259B5"/>
    <w:rsid w:val="00125A10"/>
    <w:rsid w:val="00125BA2"/>
    <w:rsid w:val="00125C9A"/>
    <w:rsid w:val="00125DC6"/>
    <w:rsid w:val="00125FB6"/>
    <w:rsid w:val="00125FBA"/>
    <w:rsid w:val="00126078"/>
    <w:rsid w:val="0012609B"/>
    <w:rsid w:val="001260A8"/>
    <w:rsid w:val="001260CD"/>
    <w:rsid w:val="001260F9"/>
    <w:rsid w:val="0012624D"/>
    <w:rsid w:val="00126390"/>
    <w:rsid w:val="001263A8"/>
    <w:rsid w:val="001265EC"/>
    <w:rsid w:val="00126606"/>
    <w:rsid w:val="0012660D"/>
    <w:rsid w:val="001268BA"/>
    <w:rsid w:val="001269A0"/>
    <w:rsid w:val="00126D4E"/>
    <w:rsid w:val="0012703E"/>
    <w:rsid w:val="00127307"/>
    <w:rsid w:val="00127425"/>
    <w:rsid w:val="001274E9"/>
    <w:rsid w:val="00127535"/>
    <w:rsid w:val="00127659"/>
    <w:rsid w:val="001279AE"/>
    <w:rsid w:val="00127AC8"/>
    <w:rsid w:val="00127B0A"/>
    <w:rsid w:val="00127BBC"/>
    <w:rsid w:val="00127D2A"/>
    <w:rsid w:val="0013002E"/>
    <w:rsid w:val="00130117"/>
    <w:rsid w:val="001301B6"/>
    <w:rsid w:val="001301C5"/>
    <w:rsid w:val="0013024C"/>
    <w:rsid w:val="001302A5"/>
    <w:rsid w:val="0013039E"/>
    <w:rsid w:val="001304DF"/>
    <w:rsid w:val="001305BC"/>
    <w:rsid w:val="00130703"/>
    <w:rsid w:val="0013073D"/>
    <w:rsid w:val="001310C7"/>
    <w:rsid w:val="001312EF"/>
    <w:rsid w:val="00131341"/>
    <w:rsid w:val="00131377"/>
    <w:rsid w:val="001313C8"/>
    <w:rsid w:val="0013158D"/>
    <w:rsid w:val="00131631"/>
    <w:rsid w:val="0013167C"/>
    <w:rsid w:val="00131780"/>
    <w:rsid w:val="00131970"/>
    <w:rsid w:val="00131B41"/>
    <w:rsid w:val="00131C01"/>
    <w:rsid w:val="00131D58"/>
    <w:rsid w:val="00131F47"/>
    <w:rsid w:val="00131F48"/>
    <w:rsid w:val="00131FF3"/>
    <w:rsid w:val="00132154"/>
    <w:rsid w:val="00132288"/>
    <w:rsid w:val="0013230F"/>
    <w:rsid w:val="001323E0"/>
    <w:rsid w:val="00132615"/>
    <w:rsid w:val="001326FE"/>
    <w:rsid w:val="001327B4"/>
    <w:rsid w:val="0013295B"/>
    <w:rsid w:val="001329A1"/>
    <w:rsid w:val="001329FC"/>
    <w:rsid w:val="00132A01"/>
    <w:rsid w:val="00132AD9"/>
    <w:rsid w:val="00132D6F"/>
    <w:rsid w:val="00132EC8"/>
    <w:rsid w:val="0013302A"/>
    <w:rsid w:val="00133379"/>
    <w:rsid w:val="001336AF"/>
    <w:rsid w:val="0013390C"/>
    <w:rsid w:val="00133A29"/>
    <w:rsid w:val="00133BD0"/>
    <w:rsid w:val="00133C1B"/>
    <w:rsid w:val="00133C63"/>
    <w:rsid w:val="00133D89"/>
    <w:rsid w:val="00133F17"/>
    <w:rsid w:val="00133F47"/>
    <w:rsid w:val="00133FA3"/>
    <w:rsid w:val="0013412E"/>
    <w:rsid w:val="00134209"/>
    <w:rsid w:val="001342E1"/>
    <w:rsid w:val="001344FD"/>
    <w:rsid w:val="00134535"/>
    <w:rsid w:val="001345D1"/>
    <w:rsid w:val="00134988"/>
    <w:rsid w:val="00134A77"/>
    <w:rsid w:val="00134B0B"/>
    <w:rsid w:val="00134B1A"/>
    <w:rsid w:val="00134B1B"/>
    <w:rsid w:val="00134B1E"/>
    <w:rsid w:val="00134C1B"/>
    <w:rsid w:val="00134DDF"/>
    <w:rsid w:val="00134FEF"/>
    <w:rsid w:val="00135176"/>
    <w:rsid w:val="0013529D"/>
    <w:rsid w:val="001352AE"/>
    <w:rsid w:val="001352DB"/>
    <w:rsid w:val="001353D2"/>
    <w:rsid w:val="001353F1"/>
    <w:rsid w:val="0013546F"/>
    <w:rsid w:val="0013547E"/>
    <w:rsid w:val="0013559A"/>
    <w:rsid w:val="00135808"/>
    <w:rsid w:val="001358C3"/>
    <w:rsid w:val="00135987"/>
    <w:rsid w:val="001359B6"/>
    <w:rsid w:val="001359C5"/>
    <w:rsid w:val="001359C6"/>
    <w:rsid w:val="00135A7C"/>
    <w:rsid w:val="00135BB8"/>
    <w:rsid w:val="00135BCB"/>
    <w:rsid w:val="00135CBD"/>
    <w:rsid w:val="00135EC0"/>
    <w:rsid w:val="00135EFD"/>
    <w:rsid w:val="00136040"/>
    <w:rsid w:val="00136228"/>
    <w:rsid w:val="0013653D"/>
    <w:rsid w:val="0013657D"/>
    <w:rsid w:val="0013662C"/>
    <w:rsid w:val="00136651"/>
    <w:rsid w:val="001366F9"/>
    <w:rsid w:val="00136A6A"/>
    <w:rsid w:val="00136B06"/>
    <w:rsid w:val="00136D5F"/>
    <w:rsid w:val="00136EE2"/>
    <w:rsid w:val="00136EF4"/>
    <w:rsid w:val="001374DF"/>
    <w:rsid w:val="001375DD"/>
    <w:rsid w:val="001376A7"/>
    <w:rsid w:val="001376C3"/>
    <w:rsid w:val="001376F9"/>
    <w:rsid w:val="00137799"/>
    <w:rsid w:val="001377B9"/>
    <w:rsid w:val="001378A4"/>
    <w:rsid w:val="00137913"/>
    <w:rsid w:val="001379A5"/>
    <w:rsid w:val="001379C7"/>
    <w:rsid w:val="00137B8F"/>
    <w:rsid w:val="00137CE0"/>
    <w:rsid w:val="00137E92"/>
    <w:rsid w:val="00137EA8"/>
    <w:rsid w:val="001400C1"/>
    <w:rsid w:val="00140181"/>
    <w:rsid w:val="001401EF"/>
    <w:rsid w:val="00140458"/>
    <w:rsid w:val="001404AB"/>
    <w:rsid w:val="001405D2"/>
    <w:rsid w:val="001406D5"/>
    <w:rsid w:val="00140749"/>
    <w:rsid w:val="0014083E"/>
    <w:rsid w:val="00140897"/>
    <w:rsid w:val="001408DB"/>
    <w:rsid w:val="00140BCF"/>
    <w:rsid w:val="00140C0F"/>
    <w:rsid w:val="00140D7D"/>
    <w:rsid w:val="00140D92"/>
    <w:rsid w:val="00140E2C"/>
    <w:rsid w:val="00140FA0"/>
    <w:rsid w:val="00141064"/>
    <w:rsid w:val="00141158"/>
    <w:rsid w:val="001411E6"/>
    <w:rsid w:val="001412B1"/>
    <w:rsid w:val="00141494"/>
    <w:rsid w:val="001414F5"/>
    <w:rsid w:val="0014162C"/>
    <w:rsid w:val="0014162E"/>
    <w:rsid w:val="00141636"/>
    <w:rsid w:val="00141782"/>
    <w:rsid w:val="00141859"/>
    <w:rsid w:val="0014186F"/>
    <w:rsid w:val="001418D8"/>
    <w:rsid w:val="00141A04"/>
    <w:rsid w:val="00141BB0"/>
    <w:rsid w:val="00141D43"/>
    <w:rsid w:val="00141E09"/>
    <w:rsid w:val="00141EB8"/>
    <w:rsid w:val="00141F93"/>
    <w:rsid w:val="00142078"/>
    <w:rsid w:val="00142298"/>
    <w:rsid w:val="001422FA"/>
    <w:rsid w:val="00142307"/>
    <w:rsid w:val="001423EF"/>
    <w:rsid w:val="001424A7"/>
    <w:rsid w:val="001424AB"/>
    <w:rsid w:val="00142698"/>
    <w:rsid w:val="00142B72"/>
    <w:rsid w:val="00142C9B"/>
    <w:rsid w:val="00143066"/>
    <w:rsid w:val="0014313B"/>
    <w:rsid w:val="00143145"/>
    <w:rsid w:val="0014322F"/>
    <w:rsid w:val="0014347F"/>
    <w:rsid w:val="00143530"/>
    <w:rsid w:val="001436C0"/>
    <w:rsid w:val="00143B94"/>
    <w:rsid w:val="00143E04"/>
    <w:rsid w:val="00143E3F"/>
    <w:rsid w:val="00143F0F"/>
    <w:rsid w:val="00143F94"/>
    <w:rsid w:val="00144055"/>
    <w:rsid w:val="001440A7"/>
    <w:rsid w:val="00144375"/>
    <w:rsid w:val="00144381"/>
    <w:rsid w:val="001443C8"/>
    <w:rsid w:val="001443FB"/>
    <w:rsid w:val="00144466"/>
    <w:rsid w:val="00144742"/>
    <w:rsid w:val="001449D5"/>
    <w:rsid w:val="00144A9C"/>
    <w:rsid w:val="00144D5F"/>
    <w:rsid w:val="001450A3"/>
    <w:rsid w:val="00145106"/>
    <w:rsid w:val="001451EA"/>
    <w:rsid w:val="001452AC"/>
    <w:rsid w:val="00145370"/>
    <w:rsid w:val="0014537D"/>
    <w:rsid w:val="001453D3"/>
    <w:rsid w:val="001456FD"/>
    <w:rsid w:val="00145712"/>
    <w:rsid w:val="001458DF"/>
    <w:rsid w:val="0014595E"/>
    <w:rsid w:val="001459C9"/>
    <w:rsid w:val="00145A78"/>
    <w:rsid w:val="00145D93"/>
    <w:rsid w:val="00145EC5"/>
    <w:rsid w:val="001460D7"/>
    <w:rsid w:val="00146315"/>
    <w:rsid w:val="00146361"/>
    <w:rsid w:val="00146625"/>
    <w:rsid w:val="00146655"/>
    <w:rsid w:val="001467DA"/>
    <w:rsid w:val="00146849"/>
    <w:rsid w:val="001468FE"/>
    <w:rsid w:val="001469A6"/>
    <w:rsid w:val="00146A09"/>
    <w:rsid w:val="00146BA7"/>
    <w:rsid w:val="00146CE5"/>
    <w:rsid w:val="00146E7C"/>
    <w:rsid w:val="00146EF8"/>
    <w:rsid w:val="00147028"/>
    <w:rsid w:val="001471BB"/>
    <w:rsid w:val="00147269"/>
    <w:rsid w:val="001472CA"/>
    <w:rsid w:val="0014776B"/>
    <w:rsid w:val="00147778"/>
    <w:rsid w:val="001477FC"/>
    <w:rsid w:val="0014791C"/>
    <w:rsid w:val="001479D8"/>
    <w:rsid w:val="00147AA1"/>
    <w:rsid w:val="00147B2E"/>
    <w:rsid w:val="00147BB8"/>
    <w:rsid w:val="00147D9B"/>
    <w:rsid w:val="00147F30"/>
    <w:rsid w:val="00150073"/>
    <w:rsid w:val="001500A7"/>
    <w:rsid w:val="001500B9"/>
    <w:rsid w:val="001501CC"/>
    <w:rsid w:val="00150268"/>
    <w:rsid w:val="00150301"/>
    <w:rsid w:val="00150308"/>
    <w:rsid w:val="0015044E"/>
    <w:rsid w:val="00150753"/>
    <w:rsid w:val="00150A0B"/>
    <w:rsid w:val="00150A83"/>
    <w:rsid w:val="00150AC6"/>
    <w:rsid w:val="00150C56"/>
    <w:rsid w:val="00150F21"/>
    <w:rsid w:val="001512B4"/>
    <w:rsid w:val="00151551"/>
    <w:rsid w:val="00151594"/>
    <w:rsid w:val="001515BB"/>
    <w:rsid w:val="00151750"/>
    <w:rsid w:val="00151767"/>
    <w:rsid w:val="0015178B"/>
    <w:rsid w:val="00151895"/>
    <w:rsid w:val="00151920"/>
    <w:rsid w:val="001519AA"/>
    <w:rsid w:val="00151B15"/>
    <w:rsid w:val="00151BA0"/>
    <w:rsid w:val="00151EBA"/>
    <w:rsid w:val="001521B9"/>
    <w:rsid w:val="00152337"/>
    <w:rsid w:val="0015250B"/>
    <w:rsid w:val="00152659"/>
    <w:rsid w:val="001526BF"/>
    <w:rsid w:val="0015279A"/>
    <w:rsid w:val="001527C8"/>
    <w:rsid w:val="001527F6"/>
    <w:rsid w:val="00152848"/>
    <w:rsid w:val="00152912"/>
    <w:rsid w:val="00152D66"/>
    <w:rsid w:val="00152DB7"/>
    <w:rsid w:val="00152DE6"/>
    <w:rsid w:val="00152F7A"/>
    <w:rsid w:val="00153222"/>
    <w:rsid w:val="00153787"/>
    <w:rsid w:val="001538CA"/>
    <w:rsid w:val="001539E4"/>
    <w:rsid w:val="00153A44"/>
    <w:rsid w:val="00153B2B"/>
    <w:rsid w:val="00153B49"/>
    <w:rsid w:val="00153CAA"/>
    <w:rsid w:val="00153E88"/>
    <w:rsid w:val="00153F8A"/>
    <w:rsid w:val="0015401A"/>
    <w:rsid w:val="001540AE"/>
    <w:rsid w:val="00154123"/>
    <w:rsid w:val="0015423A"/>
    <w:rsid w:val="001542B6"/>
    <w:rsid w:val="00154300"/>
    <w:rsid w:val="00154327"/>
    <w:rsid w:val="00154366"/>
    <w:rsid w:val="0015437A"/>
    <w:rsid w:val="0015452B"/>
    <w:rsid w:val="0015467D"/>
    <w:rsid w:val="001546A4"/>
    <w:rsid w:val="001547BD"/>
    <w:rsid w:val="00154865"/>
    <w:rsid w:val="001548F5"/>
    <w:rsid w:val="00154B1D"/>
    <w:rsid w:val="00154D4E"/>
    <w:rsid w:val="00154D94"/>
    <w:rsid w:val="00154E7B"/>
    <w:rsid w:val="00154F85"/>
    <w:rsid w:val="00155074"/>
    <w:rsid w:val="001550FD"/>
    <w:rsid w:val="0015513F"/>
    <w:rsid w:val="0015521E"/>
    <w:rsid w:val="00155253"/>
    <w:rsid w:val="0015531F"/>
    <w:rsid w:val="00155471"/>
    <w:rsid w:val="0015551A"/>
    <w:rsid w:val="0015587E"/>
    <w:rsid w:val="001558A9"/>
    <w:rsid w:val="00155A34"/>
    <w:rsid w:val="00155AE9"/>
    <w:rsid w:val="00155BA1"/>
    <w:rsid w:val="00155DDD"/>
    <w:rsid w:val="001561E6"/>
    <w:rsid w:val="001562CA"/>
    <w:rsid w:val="0015631B"/>
    <w:rsid w:val="00156637"/>
    <w:rsid w:val="00156666"/>
    <w:rsid w:val="001566BB"/>
    <w:rsid w:val="00156A3D"/>
    <w:rsid w:val="00156A79"/>
    <w:rsid w:val="00156A7D"/>
    <w:rsid w:val="00156ABA"/>
    <w:rsid w:val="00156B68"/>
    <w:rsid w:val="00156BFA"/>
    <w:rsid w:val="00156C56"/>
    <w:rsid w:val="00156CAF"/>
    <w:rsid w:val="00156CE6"/>
    <w:rsid w:val="00156D10"/>
    <w:rsid w:val="00156EE5"/>
    <w:rsid w:val="00157029"/>
    <w:rsid w:val="00157032"/>
    <w:rsid w:val="00157059"/>
    <w:rsid w:val="00157104"/>
    <w:rsid w:val="001571F1"/>
    <w:rsid w:val="00157214"/>
    <w:rsid w:val="00157407"/>
    <w:rsid w:val="0015757E"/>
    <w:rsid w:val="00157667"/>
    <w:rsid w:val="00157950"/>
    <w:rsid w:val="00157A00"/>
    <w:rsid w:val="00157A38"/>
    <w:rsid w:val="00157D36"/>
    <w:rsid w:val="00157D46"/>
    <w:rsid w:val="00157E14"/>
    <w:rsid w:val="0016000D"/>
    <w:rsid w:val="00160014"/>
    <w:rsid w:val="001602F1"/>
    <w:rsid w:val="00160322"/>
    <w:rsid w:val="00160434"/>
    <w:rsid w:val="00160572"/>
    <w:rsid w:val="00160775"/>
    <w:rsid w:val="001607F2"/>
    <w:rsid w:val="0016084A"/>
    <w:rsid w:val="001608A0"/>
    <w:rsid w:val="00160928"/>
    <w:rsid w:val="00160A42"/>
    <w:rsid w:val="00160C05"/>
    <w:rsid w:val="00160D4E"/>
    <w:rsid w:val="00160F99"/>
    <w:rsid w:val="00161152"/>
    <w:rsid w:val="00161189"/>
    <w:rsid w:val="0016119C"/>
    <w:rsid w:val="001612BA"/>
    <w:rsid w:val="001613E7"/>
    <w:rsid w:val="001614DF"/>
    <w:rsid w:val="00161616"/>
    <w:rsid w:val="00161821"/>
    <w:rsid w:val="00161A8E"/>
    <w:rsid w:val="00161AF1"/>
    <w:rsid w:val="00161B5F"/>
    <w:rsid w:val="00161B8E"/>
    <w:rsid w:val="00161C41"/>
    <w:rsid w:val="00161C81"/>
    <w:rsid w:val="00161CD3"/>
    <w:rsid w:val="00161DC0"/>
    <w:rsid w:val="00162014"/>
    <w:rsid w:val="00162034"/>
    <w:rsid w:val="001622A7"/>
    <w:rsid w:val="001623A7"/>
    <w:rsid w:val="001623F0"/>
    <w:rsid w:val="00162534"/>
    <w:rsid w:val="001625D0"/>
    <w:rsid w:val="00162727"/>
    <w:rsid w:val="00162ADE"/>
    <w:rsid w:val="00162BE3"/>
    <w:rsid w:val="00162E34"/>
    <w:rsid w:val="00162E5C"/>
    <w:rsid w:val="00162F1F"/>
    <w:rsid w:val="00163406"/>
    <w:rsid w:val="001635C9"/>
    <w:rsid w:val="001635D9"/>
    <w:rsid w:val="0016369D"/>
    <w:rsid w:val="00163760"/>
    <w:rsid w:val="00163930"/>
    <w:rsid w:val="00163983"/>
    <w:rsid w:val="00163B5B"/>
    <w:rsid w:val="00163BA2"/>
    <w:rsid w:val="00163D90"/>
    <w:rsid w:val="001640FB"/>
    <w:rsid w:val="00164105"/>
    <w:rsid w:val="001643E1"/>
    <w:rsid w:val="001647F1"/>
    <w:rsid w:val="00164810"/>
    <w:rsid w:val="00164869"/>
    <w:rsid w:val="0016494F"/>
    <w:rsid w:val="00164B04"/>
    <w:rsid w:val="00164D12"/>
    <w:rsid w:val="00164ED5"/>
    <w:rsid w:val="0016519B"/>
    <w:rsid w:val="001652F1"/>
    <w:rsid w:val="001653C7"/>
    <w:rsid w:val="001654C6"/>
    <w:rsid w:val="001654FA"/>
    <w:rsid w:val="00165649"/>
    <w:rsid w:val="001656A5"/>
    <w:rsid w:val="001656DF"/>
    <w:rsid w:val="00165A4F"/>
    <w:rsid w:val="00165C7B"/>
    <w:rsid w:val="00165E16"/>
    <w:rsid w:val="001661B3"/>
    <w:rsid w:val="0016620A"/>
    <w:rsid w:val="0016657F"/>
    <w:rsid w:val="00166661"/>
    <w:rsid w:val="001666EE"/>
    <w:rsid w:val="001667E4"/>
    <w:rsid w:val="00166847"/>
    <w:rsid w:val="001668A9"/>
    <w:rsid w:val="00166987"/>
    <w:rsid w:val="00166A21"/>
    <w:rsid w:val="00166B25"/>
    <w:rsid w:val="00166BD8"/>
    <w:rsid w:val="00166D06"/>
    <w:rsid w:val="00167117"/>
    <w:rsid w:val="00167203"/>
    <w:rsid w:val="001674D6"/>
    <w:rsid w:val="001675D6"/>
    <w:rsid w:val="0016764E"/>
    <w:rsid w:val="00167793"/>
    <w:rsid w:val="001677C2"/>
    <w:rsid w:val="00167A1C"/>
    <w:rsid w:val="00167B67"/>
    <w:rsid w:val="00167C71"/>
    <w:rsid w:val="00167CCA"/>
    <w:rsid w:val="00167CD8"/>
    <w:rsid w:val="00167D47"/>
    <w:rsid w:val="00167D4B"/>
    <w:rsid w:val="00167DEA"/>
    <w:rsid w:val="00167E66"/>
    <w:rsid w:val="00167EFB"/>
    <w:rsid w:val="00167F63"/>
    <w:rsid w:val="00167F97"/>
    <w:rsid w:val="00167FC3"/>
    <w:rsid w:val="00170016"/>
    <w:rsid w:val="001701F6"/>
    <w:rsid w:val="00170577"/>
    <w:rsid w:val="00170592"/>
    <w:rsid w:val="001705AC"/>
    <w:rsid w:val="00170727"/>
    <w:rsid w:val="0017084D"/>
    <w:rsid w:val="001708DC"/>
    <w:rsid w:val="00170AF0"/>
    <w:rsid w:val="00170C19"/>
    <w:rsid w:val="00170C1F"/>
    <w:rsid w:val="00170CE0"/>
    <w:rsid w:val="00171295"/>
    <w:rsid w:val="001712C7"/>
    <w:rsid w:val="0017148E"/>
    <w:rsid w:val="00171581"/>
    <w:rsid w:val="001715C7"/>
    <w:rsid w:val="001715D3"/>
    <w:rsid w:val="00171652"/>
    <w:rsid w:val="001716A7"/>
    <w:rsid w:val="001716EE"/>
    <w:rsid w:val="00171777"/>
    <w:rsid w:val="00171A4A"/>
    <w:rsid w:val="00171AF6"/>
    <w:rsid w:val="00171DF9"/>
    <w:rsid w:val="00171E79"/>
    <w:rsid w:val="0017203B"/>
    <w:rsid w:val="001721AE"/>
    <w:rsid w:val="0017229C"/>
    <w:rsid w:val="00172367"/>
    <w:rsid w:val="001723BB"/>
    <w:rsid w:val="001724F7"/>
    <w:rsid w:val="00172523"/>
    <w:rsid w:val="00172727"/>
    <w:rsid w:val="001727D1"/>
    <w:rsid w:val="00172853"/>
    <w:rsid w:val="00172970"/>
    <w:rsid w:val="001729E6"/>
    <w:rsid w:val="00172AA6"/>
    <w:rsid w:val="00172CFE"/>
    <w:rsid w:val="00172D92"/>
    <w:rsid w:val="001731D6"/>
    <w:rsid w:val="001733DD"/>
    <w:rsid w:val="0017359C"/>
    <w:rsid w:val="0017364C"/>
    <w:rsid w:val="001739E7"/>
    <w:rsid w:val="00173AE7"/>
    <w:rsid w:val="00173B5A"/>
    <w:rsid w:val="00173DA5"/>
    <w:rsid w:val="00173DC4"/>
    <w:rsid w:val="00173DFB"/>
    <w:rsid w:val="00173E31"/>
    <w:rsid w:val="00173F16"/>
    <w:rsid w:val="00173F1F"/>
    <w:rsid w:val="00173FB4"/>
    <w:rsid w:val="00174057"/>
    <w:rsid w:val="001741FC"/>
    <w:rsid w:val="00174463"/>
    <w:rsid w:val="00174524"/>
    <w:rsid w:val="00174677"/>
    <w:rsid w:val="0017485B"/>
    <w:rsid w:val="00174AA2"/>
    <w:rsid w:val="00174B0E"/>
    <w:rsid w:val="00174B92"/>
    <w:rsid w:val="00174BEE"/>
    <w:rsid w:val="00174C95"/>
    <w:rsid w:val="00174F13"/>
    <w:rsid w:val="00174F9A"/>
    <w:rsid w:val="001750A8"/>
    <w:rsid w:val="0017540D"/>
    <w:rsid w:val="0017555E"/>
    <w:rsid w:val="00175603"/>
    <w:rsid w:val="0017563C"/>
    <w:rsid w:val="001756AE"/>
    <w:rsid w:val="0017579B"/>
    <w:rsid w:val="001758ED"/>
    <w:rsid w:val="001759B9"/>
    <w:rsid w:val="001759E6"/>
    <w:rsid w:val="00175A4A"/>
    <w:rsid w:val="00175BDF"/>
    <w:rsid w:val="00175E2A"/>
    <w:rsid w:val="00175ED9"/>
    <w:rsid w:val="00176390"/>
    <w:rsid w:val="00176623"/>
    <w:rsid w:val="00176723"/>
    <w:rsid w:val="00176970"/>
    <w:rsid w:val="00176A71"/>
    <w:rsid w:val="00176B24"/>
    <w:rsid w:val="00176C16"/>
    <w:rsid w:val="00176C7F"/>
    <w:rsid w:val="00176CAD"/>
    <w:rsid w:val="00176CF2"/>
    <w:rsid w:val="00176E93"/>
    <w:rsid w:val="00176F05"/>
    <w:rsid w:val="00177030"/>
    <w:rsid w:val="001770F5"/>
    <w:rsid w:val="00177292"/>
    <w:rsid w:val="00177438"/>
    <w:rsid w:val="001774DF"/>
    <w:rsid w:val="001775B4"/>
    <w:rsid w:val="00177A97"/>
    <w:rsid w:val="00177B68"/>
    <w:rsid w:val="00177C34"/>
    <w:rsid w:val="00177D0F"/>
    <w:rsid w:val="00177F85"/>
    <w:rsid w:val="00177FF9"/>
    <w:rsid w:val="0018012F"/>
    <w:rsid w:val="001801A5"/>
    <w:rsid w:val="0018024A"/>
    <w:rsid w:val="001803F4"/>
    <w:rsid w:val="00180500"/>
    <w:rsid w:val="0018088D"/>
    <w:rsid w:val="0018099C"/>
    <w:rsid w:val="00180B90"/>
    <w:rsid w:val="00180EDA"/>
    <w:rsid w:val="00181056"/>
    <w:rsid w:val="001810E0"/>
    <w:rsid w:val="001812DE"/>
    <w:rsid w:val="001812F3"/>
    <w:rsid w:val="00181393"/>
    <w:rsid w:val="001813F4"/>
    <w:rsid w:val="0018142A"/>
    <w:rsid w:val="00181605"/>
    <w:rsid w:val="00181639"/>
    <w:rsid w:val="00181656"/>
    <w:rsid w:val="0018175A"/>
    <w:rsid w:val="00181840"/>
    <w:rsid w:val="0018194F"/>
    <w:rsid w:val="00181BB9"/>
    <w:rsid w:val="00181C14"/>
    <w:rsid w:val="00181C7B"/>
    <w:rsid w:val="00181DCC"/>
    <w:rsid w:val="00181F8B"/>
    <w:rsid w:val="001821C9"/>
    <w:rsid w:val="001822BE"/>
    <w:rsid w:val="0018241C"/>
    <w:rsid w:val="00182507"/>
    <w:rsid w:val="001827F9"/>
    <w:rsid w:val="00182A54"/>
    <w:rsid w:val="00182E7A"/>
    <w:rsid w:val="00182E95"/>
    <w:rsid w:val="00182F46"/>
    <w:rsid w:val="00182FCA"/>
    <w:rsid w:val="00183039"/>
    <w:rsid w:val="001831D6"/>
    <w:rsid w:val="0018341D"/>
    <w:rsid w:val="001834F0"/>
    <w:rsid w:val="001836B2"/>
    <w:rsid w:val="00183764"/>
    <w:rsid w:val="0018378B"/>
    <w:rsid w:val="001837A9"/>
    <w:rsid w:val="001837F4"/>
    <w:rsid w:val="00183872"/>
    <w:rsid w:val="0018387A"/>
    <w:rsid w:val="00183C1D"/>
    <w:rsid w:val="00183CF2"/>
    <w:rsid w:val="00183D34"/>
    <w:rsid w:val="00183E19"/>
    <w:rsid w:val="00183F3B"/>
    <w:rsid w:val="0018409D"/>
    <w:rsid w:val="001840A4"/>
    <w:rsid w:val="00184107"/>
    <w:rsid w:val="001841D4"/>
    <w:rsid w:val="001844CC"/>
    <w:rsid w:val="0018452A"/>
    <w:rsid w:val="00184585"/>
    <w:rsid w:val="001846EB"/>
    <w:rsid w:val="00184888"/>
    <w:rsid w:val="0018498C"/>
    <w:rsid w:val="00184AAB"/>
    <w:rsid w:val="00184DC7"/>
    <w:rsid w:val="00184DE1"/>
    <w:rsid w:val="00184F80"/>
    <w:rsid w:val="00184FAB"/>
    <w:rsid w:val="0018510E"/>
    <w:rsid w:val="00185346"/>
    <w:rsid w:val="00185669"/>
    <w:rsid w:val="0018590D"/>
    <w:rsid w:val="001859B9"/>
    <w:rsid w:val="00185A71"/>
    <w:rsid w:val="00185E53"/>
    <w:rsid w:val="00185EA8"/>
    <w:rsid w:val="00185F96"/>
    <w:rsid w:val="00185FD8"/>
    <w:rsid w:val="00186106"/>
    <w:rsid w:val="00186142"/>
    <w:rsid w:val="001862B2"/>
    <w:rsid w:val="00186423"/>
    <w:rsid w:val="00186701"/>
    <w:rsid w:val="00186709"/>
    <w:rsid w:val="0018676F"/>
    <w:rsid w:val="001867ED"/>
    <w:rsid w:val="00186A22"/>
    <w:rsid w:val="00186A35"/>
    <w:rsid w:val="00186A55"/>
    <w:rsid w:val="00186B8B"/>
    <w:rsid w:val="00186CB5"/>
    <w:rsid w:val="00186DDE"/>
    <w:rsid w:val="00186EC6"/>
    <w:rsid w:val="00186F84"/>
    <w:rsid w:val="00187014"/>
    <w:rsid w:val="00187047"/>
    <w:rsid w:val="001870ED"/>
    <w:rsid w:val="001871F3"/>
    <w:rsid w:val="00187236"/>
    <w:rsid w:val="001872A4"/>
    <w:rsid w:val="001872DE"/>
    <w:rsid w:val="00187369"/>
    <w:rsid w:val="001875FB"/>
    <w:rsid w:val="0018786B"/>
    <w:rsid w:val="001878E7"/>
    <w:rsid w:val="00187B52"/>
    <w:rsid w:val="00187B93"/>
    <w:rsid w:val="00187C50"/>
    <w:rsid w:val="00187ED7"/>
    <w:rsid w:val="00187EF6"/>
    <w:rsid w:val="0019011D"/>
    <w:rsid w:val="00190170"/>
    <w:rsid w:val="00190401"/>
    <w:rsid w:val="001906AF"/>
    <w:rsid w:val="0019070A"/>
    <w:rsid w:val="00190745"/>
    <w:rsid w:val="001907C6"/>
    <w:rsid w:val="00190955"/>
    <w:rsid w:val="001909A1"/>
    <w:rsid w:val="00190A36"/>
    <w:rsid w:val="00190C17"/>
    <w:rsid w:val="00190C8B"/>
    <w:rsid w:val="00190CC9"/>
    <w:rsid w:val="00190F12"/>
    <w:rsid w:val="00190FE1"/>
    <w:rsid w:val="00191116"/>
    <w:rsid w:val="0019115B"/>
    <w:rsid w:val="00191255"/>
    <w:rsid w:val="001913D0"/>
    <w:rsid w:val="001916F2"/>
    <w:rsid w:val="001917B2"/>
    <w:rsid w:val="0019181D"/>
    <w:rsid w:val="00191AFF"/>
    <w:rsid w:val="00191BA0"/>
    <w:rsid w:val="00191BBB"/>
    <w:rsid w:val="00191EEA"/>
    <w:rsid w:val="00192000"/>
    <w:rsid w:val="0019208E"/>
    <w:rsid w:val="0019215E"/>
    <w:rsid w:val="0019220B"/>
    <w:rsid w:val="001922AF"/>
    <w:rsid w:val="00192527"/>
    <w:rsid w:val="001925EB"/>
    <w:rsid w:val="0019266C"/>
    <w:rsid w:val="0019277E"/>
    <w:rsid w:val="001927CA"/>
    <w:rsid w:val="00192C66"/>
    <w:rsid w:val="00192CCC"/>
    <w:rsid w:val="0019308A"/>
    <w:rsid w:val="001930E4"/>
    <w:rsid w:val="001931F3"/>
    <w:rsid w:val="0019335B"/>
    <w:rsid w:val="001936EE"/>
    <w:rsid w:val="001936F5"/>
    <w:rsid w:val="00193788"/>
    <w:rsid w:val="001937C2"/>
    <w:rsid w:val="00193862"/>
    <w:rsid w:val="001938AE"/>
    <w:rsid w:val="00193986"/>
    <w:rsid w:val="00193AD1"/>
    <w:rsid w:val="00193B12"/>
    <w:rsid w:val="00193BA9"/>
    <w:rsid w:val="00193BD3"/>
    <w:rsid w:val="00193BE9"/>
    <w:rsid w:val="00193BFF"/>
    <w:rsid w:val="00193CA4"/>
    <w:rsid w:val="00193ED9"/>
    <w:rsid w:val="00193EF3"/>
    <w:rsid w:val="0019404A"/>
    <w:rsid w:val="0019407F"/>
    <w:rsid w:val="001940DC"/>
    <w:rsid w:val="00194166"/>
    <w:rsid w:val="0019429A"/>
    <w:rsid w:val="0019431B"/>
    <w:rsid w:val="00194420"/>
    <w:rsid w:val="001944B0"/>
    <w:rsid w:val="001945A0"/>
    <w:rsid w:val="00194930"/>
    <w:rsid w:val="00194ABD"/>
    <w:rsid w:val="00194AFC"/>
    <w:rsid w:val="00194CE0"/>
    <w:rsid w:val="00194D35"/>
    <w:rsid w:val="00194DB1"/>
    <w:rsid w:val="00194E0C"/>
    <w:rsid w:val="00194E68"/>
    <w:rsid w:val="00194F30"/>
    <w:rsid w:val="001951C4"/>
    <w:rsid w:val="0019555E"/>
    <w:rsid w:val="00195562"/>
    <w:rsid w:val="00195620"/>
    <w:rsid w:val="00195742"/>
    <w:rsid w:val="00195769"/>
    <w:rsid w:val="001957B8"/>
    <w:rsid w:val="001959B4"/>
    <w:rsid w:val="001959C5"/>
    <w:rsid w:val="00195C61"/>
    <w:rsid w:val="00195C8F"/>
    <w:rsid w:val="00195D7C"/>
    <w:rsid w:val="00195E35"/>
    <w:rsid w:val="00195F9E"/>
    <w:rsid w:val="00195FB8"/>
    <w:rsid w:val="001960D8"/>
    <w:rsid w:val="00196100"/>
    <w:rsid w:val="00196156"/>
    <w:rsid w:val="0019632A"/>
    <w:rsid w:val="00196350"/>
    <w:rsid w:val="00196515"/>
    <w:rsid w:val="00196562"/>
    <w:rsid w:val="0019665A"/>
    <w:rsid w:val="001966AC"/>
    <w:rsid w:val="00196738"/>
    <w:rsid w:val="001968A9"/>
    <w:rsid w:val="001968B3"/>
    <w:rsid w:val="001968D5"/>
    <w:rsid w:val="001968FC"/>
    <w:rsid w:val="001969FE"/>
    <w:rsid w:val="00196A6C"/>
    <w:rsid w:val="00196C27"/>
    <w:rsid w:val="00196F65"/>
    <w:rsid w:val="001970A6"/>
    <w:rsid w:val="001970E6"/>
    <w:rsid w:val="001973D0"/>
    <w:rsid w:val="0019742C"/>
    <w:rsid w:val="00197471"/>
    <w:rsid w:val="001974A3"/>
    <w:rsid w:val="00197575"/>
    <w:rsid w:val="00197634"/>
    <w:rsid w:val="00197860"/>
    <w:rsid w:val="001978A8"/>
    <w:rsid w:val="00197A14"/>
    <w:rsid w:val="00197B91"/>
    <w:rsid w:val="00197BFE"/>
    <w:rsid w:val="00197F35"/>
    <w:rsid w:val="00197FBA"/>
    <w:rsid w:val="001A036D"/>
    <w:rsid w:val="001A03A3"/>
    <w:rsid w:val="001A0427"/>
    <w:rsid w:val="001A04AD"/>
    <w:rsid w:val="001A0628"/>
    <w:rsid w:val="001A06C1"/>
    <w:rsid w:val="001A07E4"/>
    <w:rsid w:val="001A0932"/>
    <w:rsid w:val="001A096D"/>
    <w:rsid w:val="001A0B4B"/>
    <w:rsid w:val="001A0CAB"/>
    <w:rsid w:val="001A0CB8"/>
    <w:rsid w:val="001A0D69"/>
    <w:rsid w:val="001A102D"/>
    <w:rsid w:val="001A118F"/>
    <w:rsid w:val="001A130B"/>
    <w:rsid w:val="001A13C4"/>
    <w:rsid w:val="001A1439"/>
    <w:rsid w:val="001A1526"/>
    <w:rsid w:val="001A1554"/>
    <w:rsid w:val="001A15E4"/>
    <w:rsid w:val="001A16EA"/>
    <w:rsid w:val="001A185B"/>
    <w:rsid w:val="001A1887"/>
    <w:rsid w:val="001A18A1"/>
    <w:rsid w:val="001A18DE"/>
    <w:rsid w:val="001A1A21"/>
    <w:rsid w:val="001A1B4E"/>
    <w:rsid w:val="001A1F88"/>
    <w:rsid w:val="001A2056"/>
    <w:rsid w:val="001A23B1"/>
    <w:rsid w:val="001A2583"/>
    <w:rsid w:val="001A25CE"/>
    <w:rsid w:val="001A266E"/>
    <w:rsid w:val="001A26D1"/>
    <w:rsid w:val="001A2783"/>
    <w:rsid w:val="001A28AE"/>
    <w:rsid w:val="001A2A59"/>
    <w:rsid w:val="001A2B24"/>
    <w:rsid w:val="001A2B38"/>
    <w:rsid w:val="001A2CAE"/>
    <w:rsid w:val="001A2CE0"/>
    <w:rsid w:val="001A2E52"/>
    <w:rsid w:val="001A2E54"/>
    <w:rsid w:val="001A2E83"/>
    <w:rsid w:val="001A305F"/>
    <w:rsid w:val="001A31CC"/>
    <w:rsid w:val="001A335C"/>
    <w:rsid w:val="001A33BE"/>
    <w:rsid w:val="001A33D8"/>
    <w:rsid w:val="001A3410"/>
    <w:rsid w:val="001A344A"/>
    <w:rsid w:val="001A3566"/>
    <w:rsid w:val="001A36BF"/>
    <w:rsid w:val="001A37DC"/>
    <w:rsid w:val="001A38D5"/>
    <w:rsid w:val="001A3C2C"/>
    <w:rsid w:val="001A3CB5"/>
    <w:rsid w:val="001A3D36"/>
    <w:rsid w:val="001A3D71"/>
    <w:rsid w:val="001A3E0B"/>
    <w:rsid w:val="001A3EC6"/>
    <w:rsid w:val="001A3F73"/>
    <w:rsid w:val="001A44E9"/>
    <w:rsid w:val="001A4541"/>
    <w:rsid w:val="001A47E0"/>
    <w:rsid w:val="001A4877"/>
    <w:rsid w:val="001A4978"/>
    <w:rsid w:val="001A4A06"/>
    <w:rsid w:val="001A4AB8"/>
    <w:rsid w:val="001A4CBC"/>
    <w:rsid w:val="001A4CC6"/>
    <w:rsid w:val="001A52E5"/>
    <w:rsid w:val="001A54F4"/>
    <w:rsid w:val="001A54FD"/>
    <w:rsid w:val="001A551F"/>
    <w:rsid w:val="001A5660"/>
    <w:rsid w:val="001A567E"/>
    <w:rsid w:val="001A5873"/>
    <w:rsid w:val="001A5A3F"/>
    <w:rsid w:val="001A5A92"/>
    <w:rsid w:val="001A5ACB"/>
    <w:rsid w:val="001A5CA4"/>
    <w:rsid w:val="001A5E54"/>
    <w:rsid w:val="001A5ECD"/>
    <w:rsid w:val="001A5FE0"/>
    <w:rsid w:val="001A5FF2"/>
    <w:rsid w:val="001A608B"/>
    <w:rsid w:val="001A6259"/>
    <w:rsid w:val="001A62F7"/>
    <w:rsid w:val="001A6425"/>
    <w:rsid w:val="001A6550"/>
    <w:rsid w:val="001A66B5"/>
    <w:rsid w:val="001A66E0"/>
    <w:rsid w:val="001A68AB"/>
    <w:rsid w:val="001A6A65"/>
    <w:rsid w:val="001A6C7E"/>
    <w:rsid w:val="001A6CA9"/>
    <w:rsid w:val="001A6D94"/>
    <w:rsid w:val="001A6E0A"/>
    <w:rsid w:val="001A6F8E"/>
    <w:rsid w:val="001A6FED"/>
    <w:rsid w:val="001A7103"/>
    <w:rsid w:val="001A7258"/>
    <w:rsid w:val="001A72F1"/>
    <w:rsid w:val="001A7358"/>
    <w:rsid w:val="001A74A2"/>
    <w:rsid w:val="001A756F"/>
    <w:rsid w:val="001A764B"/>
    <w:rsid w:val="001A7712"/>
    <w:rsid w:val="001A7840"/>
    <w:rsid w:val="001A7846"/>
    <w:rsid w:val="001A7978"/>
    <w:rsid w:val="001A7B2C"/>
    <w:rsid w:val="001A7B62"/>
    <w:rsid w:val="001A7C66"/>
    <w:rsid w:val="001A7D35"/>
    <w:rsid w:val="001A7D7F"/>
    <w:rsid w:val="001A7D8E"/>
    <w:rsid w:val="001A7E8D"/>
    <w:rsid w:val="001A7EFE"/>
    <w:rsid w:val="001B00D9"/>
    <w:rsid w:val="001B023D"/>
    <w:rsid w:val="001B02A4"/>
    <w:rsid w:val="001B0595"/>
    <w:rsid w:val="001B0C6B"/>
    <w:rsid w:val="001B0D0F"/>
    <w:rsid w:val="001B0D25"/>
    <w:rsid w:val="001B0DA2"/>
    <w:rsid w:val="001B0E93"/>
    <w:rsid w:val="001B0EFF"/>
    <w:rsid w:val="001B0F38"/>
    <w:rsid w:val="001B0F3E"/>
    <w:rsid w:val="001B1245"/>
    <w:rsid w:val="001B1286"/>
    <w:rsid w:val="001B128E"/>
    <w:rsid w:val="001B12D8"/>
    <w:rsid w:val="001B12EB"/>
    <w:rsid w:val="001B132F"/>
    <w:rsid w:val="001B13CA"/>
    <w:rsid w:val="001B152E"/>
    <w:rsid w:val="001B1675"/>
    <w:rsid w:val="001B1687"/>
    <w:rsid w:val="001B171F"/>
    <w:rsid w:val="001B1838"/>
    <w:rsid w:val="001B1A53"/>
    <w:rsid w:val="001B1CF0"/>
    <w:rsid w:val="001B2118"/>
    <w:rsid w:val="001B2333"/>
    <w:rsid w:val="001B24EE"/>
    <w:rsid w:val="001B2661"/>
    <w:rsid w:val="001B27B4"/>
    <w:rsid w:val="001B2821"/>
    <w:rsid w:val="001B2992"/>
    <w:rsid w:val="001B2BDD"/>
    <w:rsid w:val="001B2D4D"/>
    <w:rsid w:val="001B3072"/>
    <w:rsid w:val="001B30A8"/>
    <w:rsid w:val="001B31B1"/>
    <w:rsid w:val="001B3248"/>
    <w:rsid w:val="001B3348"/>
    <w:rsid w:val="001B3518"/>
    <w:rsid w:val="001B3AE6"/>
    <w:rsid w:val="001B3B10"/>
    <w:rsid w:val="001B3BA3"/>
    <w:rsid w:val="001B3C18"/>
    <w:rsid w:val="001B3C2B"/>
    <w:rsid w:val="001B3C56"/>
    <w:rsid w:val="001B3C75"/>
    <w:rsid w:val="001B3D77"/>
    <w:rsid w:val="001B3E2F"/>
    <w:rsid w:val="001B3E79"/>
    <w:rsid w:val="001B407E"/>
    <w:rsid w:val="001B40A6"/>
    <w:rsid w:val="001B412B"/>
    <w:rsid w:val="001B412E"/>
    <w:rsid w:val="001B430A"/>
    <w:rsid w:val="001B4491"/>
    <w:rsid w:val="001B49AC"/>
    <w:rsid w:val="001B4A08"/>
    <w:rsid w:val="001B4B69"/>
    <w:rsid w:val="001B4EC1"/>
    <w:rsid w:val="001B4F43"/>
    <w:rsid w:val="001B4FDB"/>
    <w:rsid w:val="001B5279"/>
    <w:rsid w:val="001B529C"/>
    <w:rsid w:val="001B5430"/>
    <w:rsid w:val="001B5433"/>
    <w:rsid w:val="001B5464"/>
    <w:rsid w:val="001B5472"/>
    <w:rsid w:val="001B5488"/>
    <w:rsid w:val="001B5591"/>
    <w:rsid w:val="001B5889"/>
    <w:rsid w:val="001B589B"/>
    <w:rsid w:val="001B58E8"/>
    <w:rsid w:val="001B597D"/>
    <w:rsid w:val="001B59ED"/>
    <w:rsid w:val="001B5A98"/>
    <w:rsid w:val="001B5CC0"/>
    <w:rsid w:val="001B5CE9"/>
    <w:rsid w:val="001B5EBC"/>
    <w:rsid w:val="001B5F7B"/>
    <w:rsid w:val="001B5FD3"/>
    <w:rsid w:val="001B5FD4"/>
    <w:rsid w:val="001B61CD"/>
    <w:rsid w:val="001B6210"/>
    <w:rsid w:val="001B6247"/>
    <w:rsid w:val="001B6399"/>
    <w:rsid w:val="001B64AB"/>
    <w:rsid w:val="001B6504"/>
    <w:rsid w:val="001B65BE"/>
    <w:rsid w:val="001B65C5"/>
    <w:rsid w:val="001B665D"/>
    <w:rsid w:val="001B666A"/>
    <w:rsid w:val="001B66DD"/>
    <w:rsid w:val="001B68EF"/>
    <w:rsid w:val="001B69D7"/>
    <w:rsid w:val="001B6A0B"/>
    <w:rsid w:val="001B6AE3"/>
    <w:rsid w:val="001B6B90"/>
    <w:rsid w:val="001B6CBE"/>
    <w:rsid w:val="001B6E23"/>
    <w:rsid w:val="001B71A7"/>
    <w:rsid w:val="001B7232"/>
    <w:rsid w:val="001B76EA"/>
    <w:rsid w:val="001B79B7"/>
    <w:rsid w:val="001B79DF"/>
    <w:rsid w:val="001B79EF"/>
    <w:rsid w:val="001B7C32"/>
    <w:rsid w:val="001B7E1C"/>
    <w:rsid w:val="001B7E8C"/>
    <w:rsid w:val="001B7F20"/>
    <w:rsid w:val="001C043E"/>
    <w:rsid w:val="001C0983"/>
    <w:rsid w:val="001C0AF8"/>
    <w:rsid w:val="001C0B56"/>
    <w:rsid w:val="001C0B6B"/>
    <w:rsid w:val="001C0E97"/>
    <w:rsid w:val="001C0F6E"/>
    <w:rsid w:val="001C102E"/>
    <w:rsid w:val="001C10C1"/>
    <w:rsid w:val="001C1120"/>
    <w:rsid w:val="001C12AF"/>
    <w:rsid w:val="001C1441"/>
    <w:rsid w:val="001C14BA"/>
    <w:rsid w:val="001C14EB"/>
    <w:rsid w:val="001C16A4"/>
    <w:rsid w:val="001C189E"/>
    <w:rsid w:val="001C18D7"/>
    <w:rsid w:val="001C190D"/>
    <w:rsid w:val="001C1C7B"/>
    <w:rsid w:val="001C1D6D"/>
    <w:rsid w:val="001C1FC0"/>
    <w:rsid w:val="001C2009"/>
    <w:rsid w:val="001C2031"/>
    <w:rsid w:val="001C2032"/>
    <w:rsid w:val="001C209E"/>
    <w:rsid w:val="001C20DD"/>
    <w:rsid w:val="001C231C"/>
    <w:rsid w:val="001C2384"/>
    <w:rsid w:val="001C23BB"/>
    <w:rsid w:val="001C2568"/>
    <w:rsid w:val="001C29B0"/>
    <w:rsid w:val="001C29BA"/>
    <w:rsid w:val="001C29FF"/>
    <w:rsid w:val="001C2CE3"/>
    <w:rsid w:val="001C2F40"/>
    <w:rsid w:val="001C2FEF"/>
    <w:rsid w:val="001C3088"/>
    <w:rsid w:val="001C30CB"/>
    <w:rsid w:val="001C30E2"/>
    <w:rsid w:val="001C3580"/>
    <w:rsid w:val="001C36C3"/>
    <w:rsid w:val="001C37CC"/>
    <w:rsid w:val="001C3841"/>
    <w:rsid w:val="001C3904"/>
    <w:rsid w:val="001C3908"/>
    <w:rsid w:val="001C398B"/>
    <w:rsid w:val="001C39E2"/>
    <w:rsid w:val="001C3A03"/>
    <w:rsid w:val="001C3C54"/>
    <w:rsid w:val="001C40F9"/>
    <w:rsid w:val="001C42CB"/>
    <w:rsid w:val="001C4518"/>
    <w:rsid w:val="001C454F"/>
    <w:rsid w:val="001C4561"/>
    <w:rsid w:val="001C456B"/>
    <w:rsid w:val="001C4626"/>
    <w:rsid w:val="001C4689"/>
    <w:rsid w:val="001C495E"/>
    <w:rsid w:val="001C4976"/>
    <w:rsid w:val="001C4B57"/>
    <w:rsid w:val="001C4B5C"/>
    <w:rsid w:val="001C4D16"/>
    <w:rsid w:val="001C4D87"/>
    <w:rsid w:val="001C4E29"/>
    <w:rsid w:val="001C4ED7"/>
    <w:rsid w:val="001C4F1F"/>
    <w:rsid w:val="001C50E4"/>
    <w:rsid w:val="001C5152"/>
    <w:rsid w:val="001C519A"/>
    <w:rsid w:val="001C5280"/>
    <w:rsid w:val="001C56BF"/>
    <w:rsid w:val="001C5B6F"/>
    <w:rsid w:val="001C5C20"/>
    <w:rsid w:val="001C5D25"/>
    <w:rsid w:val="001C5D69"/>
    <w:rsid w:val="001C5D7C"/>
    <w:rsid w:val="001C5E21"/>
    <w:rsid w:val="001C5EBA"/>
    <w:rsid w:val="001C5F47"/>
    <w:rsid w:val="001C63C8"/>
    <w:rsid w:val="001C6406"/>
    <w:rsid w:val="001C665F"/>
    <w:rsid w:val="001C66E5"/>
    <w:rsid w:val="001C6948"/>
    <w:rsid w:val="001C69D0"/>
    <w:rsid w:val="001C6B61"/>
    <w:rsid w:val="001C6C44"/>
    <w:rsid w:val="001C6DC1"/>
    <w:rsid w:val="001C6E6B"/>
    <w:rsid w:val="001C701B"/>
    <w:rsid w:val="001C713B"/>
    <w:rsid w:val="001C7272"/>
    <w:rsid w:val="001C73E0"/>
    <w:rsid w:val="001C74EC"/>
    <w:rsid w:val="001C75F7"/>
    <w:rsid w:val="001C7672"/>
    <w:rsid w:val="001C7736"/>
    <w:rsid w:val="001C790C"/>
    <w:rsid w:val="001C79A6"/>
    <w:rsid w:val="001C79D3"/>
    <w:rsid w:val="001C7C09"/>
    <w:rsid w:val="001C7DC1"/>
    <w:rsid w:val="001C7E7A"/>
    <w:rsid w:val="001C7ECC"/>
    <w:rsid w:val="001C7ED6"/>
    <w:rsid w:val="001D00A1"/>
    <w:rsid w:val="001D0140"/>
    <w:rsid w:val="001D062D"/>
    <w:rsid w:val="001D06B2"/>
    <w:rsid w:val="001D08D5"/>
    <w:rsid w:val="001D09D9"/>
    <w:rsid w:val="001D0AD9"/>
    <w:rsid w:val="001D0B9E"/>
    <w:rsid w:val="001D0BF2"/>
    <w:rsid w:val="001D0C82"/>
    <w:rsid w:val="001D0D19"/>
    <w:rsid w:val="001D0E9B"/>
    <w:rsid w:val="001D0FA9"/>
    <w:rsid w:val="001D0FF9"/>
    <w:rsid w:val="001D120C"/>
    <w:rsid w:val="001D122A"/>
    <w:rsid w:val="001D1325"/>
    <w:rsid w:val="001D1486"/>
    <w:rsid w:val="001D1547"/>
    <w:rsid w:val="001D15F3"/>
    <w:rsid w:val="001D15F7"/>
    <w:rsid w:val="001D1600"/>
    <w:rsid w:val="001D164E"/>
    <w:rsid w:val="001D19B0"/>
    <w:rsid w:val="001D1A1A"/>
    <w:rsid w:val="001D1B5E"/>
    <w:rsid w:val="001D1C95"/>
    <w:rsid w:val="001D1CC3"/>
    <w:rsid w:val="001D1DEE"/>
    <w:rsid w:val="001D1EDC"/>
    <w:rsid w:val="001D1F58"/>
    <w:rsid w:val="001D1FED"/>
    <w:rsid w:val="001D1FF2"/>
    <w:rsid w:val="001D22E9"/>
    <w:rsid w:val="001D23CC"/>
    <w:rsid w:val="001D25F2"/>
    <w:rsid w:val="001D2653"/>
    <w:rsid w:val="001D265B"/>
    <w:rsid w:val="001D26C9"/>
    <w:rsid w:val="001D2811"/>
    <w:rsid w:val="001D2B0C"/>
    <w:rsid w:val="001D2C7D"/>
    <w:rsid w:val="001D2DAA"/>
    <w:rsid w:val="001D2DDD"/>
    <w:rsid w:val="001D2E0A"/>
    <w:rsid w:val="001D2E80"/>
    <w:rsid w:val="001D2E9E"/>
    <w:rsid w:val="001D315B"/>
    <w:rsid w:val="001D32EF"/>
    <w:rsid w:val="001D331C"/>
    <w:rsid w:val="001D333D"/>
    <w:rsid w:val="001D33D6"/>
    <w:rsid w:val="001D3424"/>
    <w:rsid w:val="001D34BB"/>
    <w:rsid w:val="001D35A9"/>
    <w:rsid w:val="001D35F3"/>
    <w:rsid w:val="001D36A2"/>
    <w:rsid w:val="001D37B2"/>
    <w:rsid w:val="001D37F7"/>
    <w:rsid w:val="001D397F"/>
    <w:rsid w:val="001D3A97"/>
    <w:rsid w:val="001D3D4B"/>
    <w:rsid w:val="001D3DBA"/>
    <w:rsid w:val="001D3EE5"/>
    <w:rsid w:val="001D3EE6"/>
    <w:rsid w:val="001D427E"/>
    <w:rsid w:val="001D43E1"/>
    <w:rsid w:val="001D4503"/>
    <w:rsid w:val="001D457D"/>
    <w:rsid w:val="001D45EC"/>
    <w:rsid w:val="001D46C6"/>
    <w:rsid w:val="001D482F"/>
    <w:rsid w:val="001D4891"/>
    <w:rsid w:val="001D4959"/>
    <w:rsid w:val="001D4B00"/>
    <w:rsid w:val="001D4F26"/>
    <w:rsid w:val="001D4F70"/>
    <w:rsid w:val="001D53E4"/>
    <w:rsid w:val="001D5419"/>
    <w:rsid w:val="001D56C6"/>
    <w:rsid w:val="001D5805"/>
    <w:rsid w:val="001D583C"/>
    <w:rsid w:val="001D5941"/>
    <w:rsid w:val="001D5A60"/>
    <w:rsid w:val="001D5F29"/>
    <w:rsid w:val="001D5F71"/>
    <w:rsid w:val="001D6016"/>
    <w:rsid w:val="001D603C"/>
    <w:rsid w:val="001D60C8"/>
    <w:rsid w:val="001D6101"/>
    <w:rsid w:val="001D62B5"/>
    <w:rsid w:val="001D632C"/>
    <w:rsid w:val="001D63AF"/>
    <w:rsid w:val="001D640D"/>
    <w:rsid w:val="001D64FD"/>
    <w:rsid w:val="001D6583"/>
    <w:rsid w:val="001D6597"/>
    <w:rsid w:val="001D6804"/>
    <w:rsid w:val="001D6926"/>
    <w:rsid w:val="001D6B1A"/>
    <w:rsid w:val="001D6D33"/>
    <w:rsid w:val="001D6E1E"/>
    <w:rsid w:val="001D6F77"/>
    <w:rsid w:val="001D6F88"/>
    <w:rsid w:val="001D700A"/>
    <w:rsid w:val="001D7032"/>
    <w:rsid w:val="001D709D"/>
    <w:rsid w:val="001D7364"/>
    <w:rsid w:val="001D7368"/>
    <w:rsid w:val="001D758F"/>
    <w:rsid w:val="001D75AB"/>
    <w:rsid w:val="001D75D1"/>
    <w:rsid w:val="001D78D1"/>
    <w:rsid w:val="001D7AFA"/>
    <w:rsid w:val="001D7B41"/>
    <w:rsid w:val="001D7C07"/>
    <w:rsid w:val="001D7D1B"/>
    <w:rsid w:val="001D7E14"/>
    <w:rsid w:val="001E0140"/>
    <w:rsid w:val="001E01A0"/>
    <w:rsid w:val="001E01B3"/>
    <w:rsid w:val="001E01B8"/>
    <w:rsid w:val="001E031D"/>
    <w:rsid w:val="001E0332"/>
    <w:rsid w:val="001E0367"/>
    <w:rsid w:val="001E0455"/>
    <w:rsid w:val="001E0467"/>
    <w:rsid w:val="001E0604"/>
    <w:rsid w:val="001E06C2"/>
    <w:rsid w:val="001E076E"/>
    <w:rsid w:val="001E07D5"/>
    <w:rsid w:val="001E08BE"/>
    <w:rsid w:val="001E095E"/>
    <w:rsid w:val="001E0BE7"/>
    <w:rsid w:val="001E0CD8"/>
    <w:rsid w:val="001E0DB5"/>
    <w:rsid w:val="001E0DD4"/>
    <w:rsid w:val="001E0E60"/>
    <w:rsid w:val="001E1132"/>
    <w:rsid w:val="001E12AF"/>
    <w:rsid w:val="001E137A"/>
    <w:rsid w:val="001E13BB"/>
    <w:rsid w:val="001E145C"/>
    <w:rsid w:val="001E14AB"/>
    <w:rsid w:val="001E14E6"/>
    <w:rsid w:val="001E154B"/>
    <w:rsid w:val="001E1607"/>
    <w:rsid w:val="001E1610"/>
    <w:rsid w:val="001E16A5"/>
    <w:rsid w:val="001E18F0"/>
    <w:rsid w:val="001E1A7A"/>
    <w:rsid w:val="001E1AB2"/>
    <w:rsid w:val="001E1AF5"/>
    <w:rsid w:val="001E1B66"/>
    <w:rsid w:val="001E21F8"/>
    <w:rsid w:val="001E220F"/>
    <w:rsid w:val="001E22FC"/>
    <w:rsid w:val="001E233A"/>
    <w:rsid w:val="001E236D"/>
    <w:rsid w:val="001E261B"/>
    <w:rsid w:val="001E26DF"/>
    <w:rsid w:val="001E277D"/>
    <w:rsid w:val="001E28C4"/>
    <w:rsid w:val="001E293C"/>
    <w:rsid w:val="001E295D"/>
    <w:rsid w:val="001E2A4C"/>
    <w:rsid w:val="001E2B1B"/>
    <w:rsid w:val="001E2B1C"/>
    <w:rsid w:val="001E2B57"/>
    <w:rsid w:val="001E2BB5"/>
    <w:rsid w:val="001E2BC0"/>
    <w:rsid w:val="001E2C73"/>
    <w:rsid w:val="001E2CCE"/>
    <w:rsid w:val="001E2D0F"/>
    <w:rsid w:val="001E2E0C"/>
    <w:rsid w:val="001E2F56"/>
    <w:rsid w:val="001E3160"/>
    <w:rsid w:val="001E3169"/>
    <w:rsid w:val="001E3211"/>
    <w:rsid w:val="001E322B"/>
    <w:rsid w:val="001E3503"/>
    <w:rsid w:val="001E363E"/>
    <w:rsid w:val="001E3820"/>
    <w:rsid w:val="001E3CFE"/>
    <w:rsid w:val="001E3E2C"/>
    <w:rsid w:val="001E404B"/>
    <w:rsid w:val="001E408A"/>
    <w:rsid w:val="001E41A2"/>
    <w:rsid w:val="001E43D8"/>
    <w:rsid w:val="001E447C"/>
    <w:rsid w:val="001E45C1"/>
    <w:rsid w:val="001E4783"/>
    <w:rsid w:val="001E497E"/>
    <w:rsid w:val="001E498B"/>
    <w:rsid w:val="001E4CC4"/>
    <w:rsid w:val="001E4DF9"/>
    <w:rsid w:val="001E4E8A"/>
    <w:rsid w:val="001E4FEF"/>
    <w:rsid w:val="001E51A9"/>
    <w:rsid w:val="001E51B0"/>
    <w:rsid w:val="001E52AC"/>
    <w:rsid w:val="001E54D5"/>
    <w:rsid w:val="001E5523"/>
    <w:rsid w:val="001E56FB"/>
    <w:rsid w:val="001E5A98"/>
    <w:rsid w:val="001E5BFF"/>
    <w:rsid w:val="001E5E13"/>
    <w:rsid w:val="001E5E85"/>
    <w:rsid w:val="001E5EA8"/>
    <w:rsid w:val="001E5EAD"/>
    <w:rsid w:val="001E5F48"/>
    <w:rsid w:val="001E6166"/>
    <w:rsid w:val="001E6192"/>
    <w:rsid w:val="001E6471"/>
    <w:rsid w:val="001E6518"/>
    <w:rsid w:val="001E653C"/>
    <w:rsid w:val="001E659E"/>
    <w:rsid w:val="001E6615"/>
    <w:rsid w:val="001E6705"/>
    <w:rsid w:val="001E67CF"/>
    <w:rsid w:val="001E68A1"/>
    <w:rsid w:val="001E6926"/>
    <w:rsid w:val="001E697E"/>
    <w:rsid w:val="001E69E4"/>
    <w:rsid w:val="001E6A38"/>
    <w:rsid w:val="001E6A3E"/>
    <w:rsid w:val="001E6B37"/>
    <w:rsid w:val="001E6B51"/>
    <w:rsid w:val="001E6B52"/>
    <w:rsid w:val="001E6C0B"/>
    <w:rsid w:val="001E6F39"/>
    <w:rsid w:val="001E6FD3"/>
    <w:rsid w:val="001E7116"/>
    <w:rsid w:val="001E7182"/>
    <w:rsid w:val="001E7351"/>
    <w:rsid w:val="001E7667"/>
    <w:rsid w:val="001E79A3"/>
    <w:rsid w:val="001E7A19"/>
    <w:rsid w:val="001E7A72"/>
    <w:rsid w:val="001E7BA5"/>
    <w:rsid w:val="001E7EEF"/>
    <w:rsid w:val="001F0020"/>
    <w:rsid w:val="001F0128"/>
    <w:rsid w:val="001F0295"/>
    <w:rsid w:val="001F02B5"/>
    <w:rsid w:val="001F0770"/>
    <w:rsid w:val="001F087B"/>
    <w:rsid w:val="001F08E1"/>
    <w:rsid w:val="001F0C73"/>
    <w:rsid w:val="001F0FAB"/>
    <w:rsid w:val="001F12B7"/>
    <w:rsid w:val="001F1535"/>
    <w:rsid w:val="001F158E"/>
    <w:rsid w:val="001F162D"/>
    <w:rsid w:val="001F1886"/>
    <w:rsid w:val="001F1A4C"/>
    <w:rsid w:val="001F1AEB"/>
    <w:rsid w:val="001F1B65"/>
    <w:rsid w:val="001F1E0C"/>
    <w:rsid w:val="001F2172"/>
    <w:rsid w:val="001F2174"/>
    <w:rsid w:val="001F223A"/>
    <w:rsid w:val="001F227B"/>
    <w:rsid w:val="001F2335"/>
    <w:rsid w:val="001F24C1"/>
    <w:rsid w:val="001F2576"/>
    <w:rsid w:val="001F2651"/>
    <w:rsid w:val="001F26E4"/>
    <w:rsid w:val="001F27AF"/>
    <w:rsid w:val="001F27C5"/>
    <w:rsid w:val="001F27D8"/>
    <w:rsid w:val="001F28D4"/>
    <w:rsid w:val="001F2AC5"/>
    <w:rsid w:val="001F2B6B"/>
    <w:rsid w:val="001F2B92"/>
    <w:rsid w:val="001F2BE9"/>
    <w:rsid w:val="001F2C24"/>
    <w:rsid w:val="001F2C26"/>
    <w:rsid w:val="001F2C76"/>
    <w:rsid w:val="001F2C97"/>
    <w:rsid w:val="001F2E33"/>
    <w:rsid w:val="001F2F6A"/>
    <w:rsid w:val="001F312F"/>
    <w:rsid w:val="001F32EE"/>
    <w:rsid w:val="001F32F2"/>
    <w:rsid w:val="001F3320"/>
    <w:rsid w:val="001F341D"/>
    <w:rsid w:val="001F34E2"/>
    <w:rsid w:val="001F389C"/>
    <w:rsid w:val="001F3B0C"/>
    <w:rsid w:val="001F3B4A"/>
    <w:rsid w:val="001F3D45"/>
    <w:rsid w:val="001F440D"/>
    <w:rsid w:val="001F44D0"/>
    <w:rsid w:val="001F4595"/>
    <w:rsid w:val="001F4692"/>
    <w:rsid w:val="001F46BF"/>
    <w:rsid w:val="001F470C"/>
    <w:rsid w:val="001F4CF9"/>
    <w:rsid w:val="001F4DCF"/>
    <w:rsid w:val="001F4EBF"/>
    <w:rsid w:val="001F4F19"/>
    <w:rsid w:val="001F4F6E"/>
    <w:rsid w:val="001F4FED"/>
    <w:rsid w:val="001F50C5"/>
    <w:rsid w:val="001F517F"/>
    <w:rsid w:val="001F518E"/>
    <w:rsid w:val="001F5212"/>
    <w:rsid w:val="001F5352"/>
    <w:rsid w:val="001F542B"/>
    <w:rsid w:val="001F54ED"/>
    <w:rsid w:val="001F553B"/>
    <w:rsid w:val="001F554C"/>
    <w:rsid w:val="001F555F"/>
    <w:rsid w:val="001F560D"/>
    <w:rsid w:val="001F5686"/>
    <w:rsid w:val="001F56B9"/>
    <w:rsid w:val="001F5850"/>
    <w:rsid w:val="001F5890"/>
    <w:rsid w:val="001F5ACF"/>
    <w:rsid w:val="001F5F74"/>
    <w:rsid w:val="001F5F96"/>
    <w:rsid w:val="001F5FF7"/>
    <w:rsid w:val="001F60AF"/>
    <w:rsid w:val="001F610C"/>
    <w:rsid w:val="001F64FB"/>
    <w:rsid w:val="001F6731"/>
    <w:rsid w:val="001F67EA"/>
    <w:rsid w:val="001F685E"/>
    <w:rsid w:val="001F6864"/>
    <w:rsid w:val="001F6866"/>
    <w:rsid w:val="001F69BF"/>
    <w:rsid w:val="001F6B15"/>
    <w:rsid w:val="001F6BF7"/>
    <w:rsid w:val="001F6C28"/>
    <w:rsid w:val="001F6CC0"/>
    <w:rsid w:val="001F6D13"/>
    <w:rsid w:val="001F6F28"/>
    <w:rsid w:val="001F6F2B"/>
    <w:rsid w:val="001F70FC"/>
    <w:rsid w:val="001F7175"/>
    <w:rsid w:val="001F74B4"/>
    <w:rsid w:val="001F756A"/>
    <w:rsid w:val="001F7694"/>
    <w:rsid w:val="001F77A3"/>
    <w:rsid w:val="001F77B6"/>
    <w:rsid w:val="001F7A25"/>
    <w:rsid w:val="001F7A68"/>
    <w:rsid w:val="001F7A83"/>
    <w:rsid w:val="001F7AEB"/>
    <w:rsid w:val="001F7BB9"/>
    <w:rsid w:val="001F7E13"/>
    <w:rsid w:val="001F7E62"/>
    <w:rsid w:val="002002D9"/>
    <w:rsid w:val="002004C8"/>
    <w:rsid w:val="002004E3"/>
    <w:rsid w:val="00200715"/>
    <w:rsid w:val="00200A11"/>
    <w:rsid w:val="00200AFC"/>
    <w:rsid w:val="00200C08"/>
    <w:rsid w:val="00200DF8"/>
    <w:rsid w:val="00200E83"/>
    <w:rsid w:val="00200F76"/>
    <w:rsid w:val="002011A2"/>
    <w:rsid w:val="0020124E"/>
    <w:rsid w:val="0020135B"/>
    <w:rsid w:val="00201464"/>
    <w:rsid w:val="00201813"/>
    <w:rsid w:val="00201877"/>
    <w:rsid w:val="00201927"/>
    <w:rsid w:val="00201A55"/>
    <w:rsid w:val="00201A94"/>
    <w:rsid w:val="00201C33"/>
    <w:rsid w:val="00201D86"/>
    <w:rsid w:val="00201F2C"/>
    <w:rsid w:val="00201FF5"/>
    <w:rsid w:val="002020C4"/>
    <w:rsid w:val="002021D3"/>
    <w:rsid w:val="002022C3"/>
    <w:rsid w:val="0020247F"/>
    <w:rsid w:val="0020268B"/>
    <w:rsid w:val="0020296E"/>
    <w:rsid w:val="00202A16"/>
    <w:rsid w:val="00202ACF"/>
    <w:rsid w:val="00202D7C"/>
    <w:rsid w:val="00202F54"/>
    <w:rsid w:val="00202F85"/>
    <w:rsid w:val="00202F8C"/>
    <w:rsid w:val="00203742"/>
    <w:rsid w:val="0020376C"/>
    <w:rsid w:val="00203785"/>
    <w:rsid w:val="002037BB"/>
    <w:rsid w:val="0020399E"/>
    <w:rsid w:val="00203C24"/>
    <w:rsid w:val="00203E67"/>
    <w:rsid w:val="00203F8B"/>
    <w:rsid w:val="00204204"/>
    <w:rsid w:val="0020431C"/>
    <w:rsid w:val="00204395"/>
    <w:rsid w:val="00204446"/>
    <w:rsid w:val="00204509"/>
    <w:rsid w:val="0020453C"/>
    <w:rsid w:val="002045A9"/>
    <w:rsid w:val="002047CA"/>
    <w:rsid w:val="002048C7"/>
    <w:rsid w:val="0020495A"/>
    <w:rsid w:val="002049BD"/>
    <w:rsid w:val="002049E6"/>
    <w:rsid w:val="00204AA4"/>
    <w:rsid w:val="00204BC4"/>
    <w:rsid w:val="00204F2A"/>
    <w:rsid w:val="002050B1"/>
    <w:rsid w:val="00205162"/>
    <w:rsid w:val="0020532B"/>
    <w:rsid w:val="0020540E"/>
    <w:rsid w:val="0020547F"/>
    <w:rsid w:val="00205487"/>
    <w:rsid w:val="00205736"/>
    <w:rsid w:val="00205750"/>
    <w:rsid w:val="00205986"/>
    <w:rsid w:val="00205ABC"/>
    <w:rsid w:val="00205AF2"/>
    <w:rsid w:val="00205AF5"/>
    <w:rsid w:val="00205B2E"/>
    <w:rsid w:val="00205B41"/>
    <w:rsid w:val="00205B72"/>
    <w:rsid w:val="00205C7B"/>
    <w:rsid w:val="00205D20"/>
    <w:rsid w:val="00205D32"/>
    <w:rsid w:val="00205DF0"/>
    <w:rsid w:val="0020601B"/>
    <w:rsid w:val="00206491"/>
    <w:rsid w:val="002064F4"/>
    <w:rsid w:val="002067B7"/>
    <w:rsid w:val="002068A4"/>
    <w:rsid w:val="002068BA"/>
    <w:rsid w:val="00206A05"/>
    <w:rsid w:val="00206B57"/>
    <w:rsid w:val="00206D38"/>
    <w:rsid w:val="00206E14"/>
    <w:rsid w:val="00206E59"/>
    <w:rsid w:val="0020716A"/>
    <w:rsid w:val="002071BB"/>
    <w:rsid w:val="002071E1"/>
    <w:rsid w:val="002072C0"/>
    <w:rsid w:val="002073A9"/>
    <w:rsid w:val="002073AD"/>
    <w:rsid w:val="00207735"/>
    <w:rsid w:val="002077EF"/>
    <w:rsid w:val="002079FE"/>
    <w:rsid w:val="00207C66"/>
    <w:rsid w:val="00207D21"/>
    <w:rsid w:val="00207DB1"/>
    <w:rsid w:val="00207DEC"/>
    <w:rsid w:val="00207E82"/>
    <w:rsid w:val="00207E91"/>
    <w:rsid w:val="00207EF9"/>
    <w:rsid w:val="00210193"/>
    <w:rsid w:val="00210229"/>
    <w:rsid w:val="00210572"/>
    <w:rsid w:val="00210600"/>
    <w:rsid w:val="0021068A"/>
    <w:rsid w:val="0021075F"/>
    <w:rsid w:val="002107C9"/>
    <w:rsid w:val="00210862"/>
    <w:rsid w:val="002108AF"/>
    <w:rsid w:val="002108E4"/>
    <w:rsid w:val="00210A50"/>
    <w:rsid w:val="00210AD9"/>
    <w:rsid w:val="00210B67"/>
    <w:rsid w:val="00210D19"/>
    <w:rsid w:val="00210E94"/>
    <w:rsid w:val="0021107B"/>
    <w:rsid w:val="0021134D"/>
    <w:rsid w:val="0021151C"/>
    <w:rsid w:val="002115EE"/>
    <w:rsid w:val="002117F8"/>
    <w:rsid w:val="002118CA"/>
    <w:rsid w:val="0021197C"/>
    <w:rsid w:val="002119A4"/>
    <w:rsid w:val="00211A66"/>
    <w:rsid w:val="00211AA7"/>
    <w:rsid w:val="00211D60"/>
    <w:rsid w:val="00211E28"/>
    <w:rsid w:val="00211EE6"/>
    <w:rsid w:val="00211F3C"/>
    <w:rsid w:val="00212329"/>
    <w:rsid w:val="00212407"/>
    <w:rsid w:val="0021242C"/>
    <w:rsid w:val="002125D6"/>
    <w:rsid w:val="002126F5"/>
    <w:rsid w:val="002127E4"/>
    <w:rsid w:val="002128F5"/>
    <w:rsid w:val="00212959"/>
    <w:rsid w:val="002129D5"/>
    <w:rsid w:val="00212A85"/>
    <w:rsid w:val="00212BF4"/>
    <w:rsid w:val="00212BFA"/>
    <w:rsid w:val="00212C4D"/>
    <w:rsid w:val="00212CE3"/>
    <w:rsid w:val="00212DFE"/>
    <w:rsid w:val="00212E96"/>
    <w:rsid w:val="00212F0F"/>
    <w:rsid w:val="0021308A"/>
    <w:rsid w:val="002130FD"/>
    <w:rsid w:val="0021320E"/>
    <w:rsid w:val="00213291"/>
    <w:rsid w:val="002132AF"/>
    <w:rsid w:val="002132D5"/>
    <w:rsid w:val="002138A0"/>
    <w:rsid w:val="002138D7"/>
    <w:rsid w:val="00213B15"/>
    <w:rsid w:val="00213B8F"/>
    <w:rsid w:val="00213BD3"/>
    <w:rsid w:val="00213C65"/>
    <w:rsid w:val="00213D6D"/>
    <w:rsid w:val="00213F20"/>
    <w:rsid w:val="002140C1"/>
    <w:rsid w:val="00214337"/>
    <w:rsid w:val="00214481"/>
    <w:rsid w:val="00214538"/>
    <w:rsid w:val="0021461D"/>
    <w:rsid w:val="00214657"/>
    <w:rsid w:val="0021468F"/>
    <w:rsid w:val="002151B7"/>
    <w:rsid w:val="00215206"/>
    <w:rsid w:val="00215367"/>
    <w:rsid w:val="002155E4"/>
    <w:rsid w:val="00215617"/>
    <w:rsid w:val="0021567F"/>
    <w:rsid w:val="00215812"/>
    <w:rsid w:val="00215988"/>
    <w:rsid w:val="00215A0E"/>
    <w:rsid w:val="00215CE7"/>
    <w:rsid w:val="00216159"/>
    <w:rsid w:val="0021619A"/>
    <w:rsid w:val="0021623D"/>
    <w:rsid w:val="002162FF"/>
    <w:rsid w:val="00216344"/>
    <w:rsid w:val="0021644C"/>
    <w:rsid w:val="00216667"/>
    <w:rsid w:val="00216AEA"/>
    <w:rsid w:val="00216B11"/>
    <w:rsid w:val="00216BE2"/>
    <w:rsid w:val="00216BF9"/>
    <w:rsid w:val="00216CBD"/>
    <w:rsid w:val="00216E47"/>
    <w:rsid w:val="00216EB6"/>
    <w:rsid w:val="0021708F"/>
    <w:rsid w:val="0021742F"/>
    <w:rsid w:val="002177EF"/>
    <w:rsid w:val="00217844"/>
    <w:rsid w:val="002178D6"/>
    <w:rsid w:val="002178F6"/>
    <w:rsid w:val="00217950"/>
    <w:rsid w:val="002179DA"/>
    <w:rsid w:val="00217B4B"/>
    <w:rsid w:val="00217BFB"/>
    <w:rsid w:val="00217C2E"/>
    <w:rsid w:val="00217C78"/>
    <w:rsid w:val="00217E00"/>
    <w:rsid w:val="00217EA5"/>
    <w:rsid w:val="00217F25"/>
    <w:rsid w:val="00217FD3"/>
    <w:rsid w:val="0022021F"/>
    <w:rsid w:val="0022024D"/>
    <w:rsid w:val="00220452"/>
    <w:rsid w:val="0022045F"/>
    <w:rsid w:val="0022077B"/>
    <w:rsid w:val="002207B1"/>
    <w:rsid w:val="002207F2"/>
    <w:rsid w:val="002209D2"/>
    <w:rsid w:val="00220AFD"/>
    <w:rsid w:val="00220BCF"/>
    <w:rsid w:val="00220D1D"/>
    <w:rsid w:val="00220EF6"/>
    <w:rsid w:val="00221213"/>
    <w:rsid w:val="0022137F"/>
    <w:rsid w:val="00221429"/>
    <w:rsid w:val="002214F3"/>
    <w:rsid w:val="00221553"/>
    <w:rsid w:val="0022161F"/>
    <w:rsid w:val="002217A3"/>
    <w:rsid w:val="002217D2"/>
    <w:rsid w:val="002217D7"/>
    <w:rsid w:val="00221894"/>
    <w:rsid w:val="0022198C"/>
    <w:rsid w:val="00221BF8"/>
    <w:rsid w:val="00221BFF"/>
    <w:rsid w:val="00221F18"/>
    <w:rsid w:val="00221F3F"/>
    <w:rsid w:val="00221F66"/>
    <w:rsid w:val="00221F83"/>
    <w:rsid w:val="00221FAC"/>
    <w:rsid w:val="002220D3"/>
    <w:rsid w:val="00222163"/>
    <w:rsid w:val="002222BF"/>
    <w:rsid w:val="002222E4"/>
    <w:rsid w:val="00222405"/>
    <w:rsid w:val="00222579"/>
    <w:rsid w:val="002225DF"/>
    <w:rsid w:val="00222838"/>
    <w:rsid w:val="00222A1F"/>
    <w:rsid w:val="00222A5A"/>
    <w:rsid w:val="00222A70"/>
    <w:rsid w:val="00222A8B"/>
    <w:rsid w:val="00222AAD"/>
    <w:rsid w:val="00222ABA"/>
    <w:rsid w:val="00222CA9"/>
    <w:rsid w:val="00222DE4"/>
    <w:rsid w:val="00222DFE"/>
    <w:rsid w:val="00222FC3"/>
    <w:rsid w:val="00223346"/>
    <w:rsid w:val="00223493"/>
    <w:rsid w:val="00223547"/>
    <w:rsid w:val="00223693"/>
    <w:rsid w:val="00223753"/>
    <w:rsid w:val="0022381B"/>
    <w:rsid w:val="0022382D"/>
    <w:rsid w:val="00223873"/>
    <w:rsid w:val="002238B7"/>
    <w:rsid w:val="002238C1"/>
    <w:rsid w:val="002238CA"/>
    <w:rsid w:val="002239F1"/>
    <w:rsid w:val="00223BAE"/>
    <w:rsid w:val="00223BF1"/>
    <w:rsid w:val="00223E6C"/>
    <w:rsid w:val="002240FD"/>
    <w:rsid w:val="00224193"/>
    <w:rsid w:val="00224594"/>
    <w:rsid w:val="002245F5"/>
    <w:rsid w:val="00224625"/>
    <w:rsid w:val="0022465C"/>
    <w:rsid w:val="00224691"/>
    <w:rsid w:val="0022486E"/>
    <w:rsid w:val="002248F9"/>
    <w:rsid w:val="00224A98"/>
    <w:rsid w:val="00224AB0"/>
    <w:rsid w:val="00224B20"/>
    <w:rsid w:val="00224BB7"/>
    <w:rsid w:val="00224C41"/>
    <w:rsid w:val="00224D9A"/>
    <w:rsid w:val="00224DEA"/>
    <w:rsid w:val="00224F7A"/>
    <w:rsid w:val="00224F93"/>
    <w:rsid w:val="00224FDC"/>
    <w:rsid w:val="00225053"/>
    <w:rsid w:val="002250ED"/>
    <w:rsid w:val="00225150"/>
    <w:rsid w:val="00225633"/>
    <w:rsid w:val="0022567C"/>
    <w:rsid w:val="002257EB"/>
    <w:rsid w:val="00225C89"/>
    <w:rsid w:val="00225D1F"/>
    <w:rsid w:val="00225E46"/>
    <w:rsid w:val="00225EFD"/>
    <w:rsid w:val="002260E8"/>
    <w:rsid w:val="002260EE"/>
    <w:rsid w:val="00226300"/>
    <w:rsid w:val="0022636E"/>
    <w:rsid w:val="002265BB"/>
    <w:rsid w:val="002266DA"/>
    <w:rsid w:val="002267C4"/>
    <w:rsid w:val="00226964"/>
    <w:rsid w:val="00226B80"/>
    <w:rsid w:val="00226D29"/>
    <w:rsid w:val="00226DA6"/>
    <w:rsid w:val="00226F47"/>
    <w:rsid w:val="002271D8"/>
    <w:rsid w:val="002272CB"/>
    <w:rsid w:val="0022732F"/>
    <w:rsid w:val="00227437"/>
    <w:rsid w:val="00227468"/>
    <w:rsid w:val="002275BA"/>
    <w:rsid w:val="002276C9"/>
    <w:rsid w:val="002276CB"/>
    <w:rsid w:val="002277E4"/>
    <w:rsid w:val="00227889"/>
    <w:rsid w:val="00227BB2"/>
    <w:rsid w:val="00227D08"/>
    <w:rsid w:val="00227D46"/>
    <w:rsid w:val="00227E1C"/>
    <w:rsid w:val="00230145"/>
    <w:rsid w:val="00230181"/>
    <w:rsid w:val="00230456"/>
    <w:rsid w:val="002305B5"/>
    <w:rsid w:val="00230610"/>
    <w:rsid w:val="0023062E"/>
    <w:rsid w:val="00230788"/>
    <w:rsid w:val="00230885"/>
    <w:rsid w:val="0023096E"/>
    <w:rsid w:val="00230B57"/>
    <w:rsid w:val="00230B5D"/>
    <w:rsid w:val="00230B63"/>
    <w:rsid w:val="00230BEC"/>
    <w:rsid w:val="00230CA0"/>
    <w:rsid w:val="00230E28"/>
    <w:rsid w:val="00231028"/>
    <w:rsid w:val="00231057"/>
    <w:rsid w:val="0023112E"/>
    <w:rsid w:val="002311AC"/>
    <w:rsid w:val="0023126D"/>
    <w:rsid w:val="00231413"/>
    <w:rsid w:val="002316B3"/>
    <w:rsid w:val="002316C4"/>
    <w:rsid w:val="00231754"/>
    <w:rsid w:val="00231C42"/>
    <w:rsid w:val="00231C97"/>
    <w:rsid w:val="00231D63"/>
    <w:rsid w:val="00232040"/>
    <w:rsid w:val="00232129"/>
    <w:rsid w:val="002321FC"/>
    <w:rsid w:val="002322E4"/>
    <w:rsid w:val="0023230D"/>
    <w:rsid w:val="0023235D"/>
    <w:rsid w:val="0023236E"/>
    <w:rsid w:val="002324F2"/>
    <w:rsid w:val="0023250C"/>
    <w:rsid w:val="0023264B"/>
    <w:rsid w:val="002326C2"/>
    <w:rsid w:val="0023272B"/>
    <w:rsid w:val="00232AE2"/>
    <w:rsid w:val="00232BEF"/>
    <w:rsid w:val="00232EB3"/>
    <w:rsid w:val="00232F05"/>
    <w:rsid w:val="0023343B"/>
    <w:rsid w:val="002334A0"/>
    <w:rsid w:val="002337EF"/>
    <w:rsid w:val="00233855"/>
    <w:rsid w:val="00233A06"/>
    <w:rsid w:val="00233A55"/>
    <w:rsid w:val="00233CB4"/>
    <w:rsid w:val="00233CD1"/>
    <w:rsid w:val="00233CFC"/>
    <w:rsid w:val="00233D14"/>
    <w:rsid w:val="00233D25"/>
    <w:rsid w:val="00233E93"/>
    <w:rsid w:val="00233FE3"/>
    <w:rsid w:val="00234045"/>
    <w:rsid w:val="002340B7"/>
    <w:rsid w:val="002340CA"/>
    <w:rsid w:val="00234131"/>
    <w:rsid w:val="00234269"/>
    <w:rsid w:val="0023427B"/>
    <w:rsid w:val="00234521"/>
    <w:rsid w:val="002345C9"/>
    <w:rsid w:val="0023471B"/>
    <w:rsid w:val="0023476C"/>
    <w:rsid w:val="00234918"/>
    <w:rsid w:val="00234A03"/>
    <w:rsid w:val="00234A15"/>
    <w:rsid w:val="00234A36"/>
    <w:rsid w:val="00234D26"/>
    <w:rsid w:val="00234FDF"/>
    <w:rsid w:val="00235303"/>
    <w:rsid w:val="00235307"/>
    <w:rsid w:val="002353E5"/>
    <w:rsid w:val="00235460"/>
    <w:rsid w:val="00235479"/>
    <w:rsid w:val="00235545"/>
    <w:rsid w:val="00235581"/>
    <w:rsid w:val="00235822"/>
    <w:rsid w:val="0023591C"/>
    <w:rsid w:val="00235A60"/>
    <w:rsid w:val="00235B94"/>
    <w:rsid w:val="00235C95"/>
    <w:rsid w:val="00235D1A"/>
    <w:rsid w:val="00235D32"/>
    <w:rsid w:val="00235DCD"/>
    <w:rsid w:val="00235DE1"/>
    <w:rsid w:val="00235F0F"/>
    <w:rsid w:val="00235FF0"/>
    <w:rsid w:val="0023607D"/>
    <w:rsid w:val="0023613A"/>
    <w:rsid w:val="002361CC"/>
    <w:rsid w:val="002366FD"/>
    <w:rsid w:val="00236804"/>
    <w:rsid w:val="00236B46"/>
    <w:rsid w:val="00236C64"/>
    <w:rsid w:val="00236EDA"/>
    <w:rsid w:val="002370B7"/>
    <w:rsid w:val="0023724B"/>
    <w:rsid w:val="002372EA"/>
    <w:rsid w:val="00237482"/>
    <w:rsid w:val="00237582"/>
    <w:rsid w:val="002376B0"/>
    <w:rsid w:val="002376F4"/>
    <w:rsid w:val="00237756"/>
    <w:rsid w:val="002377DE"/>
    <w:rsid w:val="002378B2"/>
    <w:rsid w:val="002378EF"/>
    <w:rsid w:val="00237A2C"/>
    <w:rsid w:val="00237A30"/>
    <w:rsid w:val="00237B99"/>
    <w:rsid w:val="00237CA3"/>
    <w:rsid w:val="00237CEE"/>
    <w:rsid w:val="00237CF5"/>
    <w:rsid w:val="00237DEE"/>
    <w:rsid w:val="00237E0B"/>
    <w:rsid w:val="00237F04"/>
    <w:rsid w:val="00240018"/>
    <w:rsid w:val="00240078"/>
    <w:rsid w:val="00240197"/>
    <w:rsid w:val="002401EB"/>
    <w:rsid w:val="0024024F"/>
    <w:rsid w:val="00240265"/>
    <w:rsid w:val="00240386"/>
    <w:rsid w:val="002403AA"/>
    <w:rsid w:val="002404F3"/>
    <w:rsid w:val="0024052E"/>
    <w:rsid w:val="0024092B"/>
    <w:rsid w:val="0024094A"/>
    <w:rsid w:val="00240CFA"/>
    <w:rsid w:val="00240DAA"/>
    <w:rsid w:val="00240E6D"/>
    <w:rsid w:val="00241044"/>
    <w:rsid w:val="00241373"/>
    <w:rsid w:val="0024141B"/>
    <w:rsid w:val="002414EB"/>
    <w:rsid w:val="002417D5"/>
    <w:rsid w:val="002419B1"/>
    <w:rsid w:val="00241C4F"/>
    <w:rsid w:val="00241E69"/>
    <w:rsid w:val="00241FBF"/>
    <w:rsid w:val="00242049"/>
    <w:rsid w:val="0024208D"/>
    <w:rsid w:val="002421B4"/>
    <w:rsid w:val="002422F2"/>
    <w:rsid w:val="00242462"/>
    <w:rsid w:val="00242479"/>
    <w:rsid w:val="002424C8"/>
    <w:rsid w:val="00242544"/>
    <w:rsid w:val="00242A59"/>
    <w:rsid w:val="00242A5E"/>
    <w:rsid w:val="00242DC4"/>
    <w:rsid w:val="00242E61"/>
    <w:rsid w:val="00242ECE"/>
    <w:rsid w:val="002431B8"/>
    <w:rsid w:val="00243454"/>
    <w:rsid w:val="0024360C"/>
    <w:rsid w:val="00243893"/>
    <w:rsid w:val="002438FC"/>
    <w:rsid w:val="00243B3D"/>
    <w:rsid w:val="00243C42"/>
    <w:rsid w:val="00243C81"/>
    <w:rsid w:val="00243CF9"/>
    <w:rsid w:val="00243D6B"/>
    <w:rsid w:val="00243E54"/>
    <w:rsid w:val="0024404D"/>
    <w:rsid w:val="00244203"/>
    <w:rsid w:val="0024433C"/>
    <w:rsid w:val="00244361"/>
    <w:rsid w:val="00244567"/>
    <w:rsid w:val="0024461E"/>
    <w:rsid w:val="00244664"/>
    <w:rsid w:val="00244856"/>
    <w:rsid w:val="00244A04"/>
    <w:rsid w:val="00244A5F"/>
    <w:rsid w:val="00244B3D"/>
    <w:rsid w:val="00244B4B"/>
    <w:rsid w:val="00244D72"/>
    <w:rsid w:val="00244EED"/>
    <w:rsid w:val="00244F6E"/>
    <w:rsid w:val="0024521A"/>
    <w:rsid w:val="00245294"/>
    <w:rsid w:val="002454FE"/>
    <w:rsid w:val="002455C6"/>
    <w:rsid w:val="0024566D"/>
    <w:rsid w:val="0024593A"/>
    <w:rsid w:val="00245A63"/>
    <w:rsid w:val="00245C8E"/>
    <w:rsid w:val="00245E56"/>
    <w:rsid w:val="002461EA"/>
    <w:rsid w:val="002461F7"/>
    <w:rsid w:val="00246566"/>
    <w:rsid w:val="00246636"/>
    <w:rsid w:val="00246638"/>
    <w:rsid w:val="00246701"/>
    <w:rsid w:val="00246772"/>
    <w:rsid w:val="00246944"/>
    <w:rsid w:val="00246998"/>
    <w:rsid w:val="002469C4"/>
    <w:rsid w:val="00246A61"/>
    <w:rsid w:val="00246C2C"/>
    <w:rsid w:val="00246C86"/>
    <w:rsid w:val="00246CC1"/>
    <w:rsid w:val="00246F28"/>
    <w:rsid w:val="002471C3"/>
    <w:rsid w:val="0024723D"/>
    <w:rsid w:val="002472B4"/>
    <w:rsid w:val="00247386"/>
    <w:rsid w:val="0024743F"/>
    <w:rsid w:val="002475A1"/>
    <w:rsid w:val="002475CF"/>
    <w:rsid w:val="00247615"/>
    <w:rsid w:val="0024768E"/>
    <w:rsid w:val="00247695"/>
    <w:rsid w:val="0024770E"/>
    <w:rsid w:val="00247838"/>
    <w:rsid w:val="00247AED"/>
    <w:rsid w:val="00247B9F"/>
    <w:rsid w:val="00247D63"/>
    <w:rsid w:val="00247E35"/>
    <w:rsid w:val="00247E85"/>
    <w:rsid w:val="00247E9E"/>
    <w:rsid w:val="00247F2D"/>
    <w:rsid w:val="002501C0"/>
    <w:rsid w:val="002501E8"/>
    <w:rsid w:val="00250208"/>
    <w:rsid w:val="00250359"/>
    <w:rsid w:val="00250361"/>
    <w:rsid w:val="0025049C"/>
    <w:rsid w:val="0025061C"/>
    <w:rsid w:val="00250934"/>
    <w:rsid w:val="0025096F"/>
    <w:rsid w:val="00250A05"/>
    <w:rsid w:val="00250C51"/>
    <w:rsid w:val="00250CF8"/>
    <w:rsid w:val="00250D78"/>
    <w:rsid w:val="0025101F"/>
    <w:rsid w:val="00251020"/>
    <w:rsid w:val="00251044"/>
    <w:rsid w:val="002510CE"/>
    <w:rsid w:val="0025150D"/>
    <w:rsid w:val="00251645"/>
    <w:rsid w:val="0025170D"/>
    <w:rsid w:val="002517DA"/>
    <w:rsid w:val="00251838"/>
    <w:rsid w:val="00251892"/>
    <w:rsid w:val="00251964"/>
    <w:rsid w:val="00251C21"/>
    <w:rsid w:val="00251D9C"/>
    <w:rsid w:val="00251DAB"/>
    <w:rsid w:val="00251DE0"/>
    <w:rsid w:val="00251DEF"/>
    <w:rsid w:val="00251E58"/>
    <w:rsid w:val="0025205A"/>
    <w:rsid w:val="0025205C"/>
    <w:rsid w:val="00252085"/>
    <w:rsid w:val="0025245B"/>
    <w:rsid w:val="002524D9"/>
    <w:rsid w:val="002525E9"/>
    <w:rsid w:val="0025280B"/>
    <w:rsid w:val="0025299E"/>
    <w:rsid w:val="002529CF"/>
    <w:rsid w:val="002529EC"/>
    <w:rsid w:val="00252A3B"/>
    <w:rsid w:val="00252ABF"/>
    <w:rsid w:val="00252BC4"/>
    <w:rsid w:val="00252C18"/>
    <w:rsid w:val="00252C22"/>
    <w:rsid w:val="00252C85"/>
    <w:rsid w:val="00252E8F"/>
    <w:rsid w:val="00253083"/>
    <w:rsid w:val="002530E7"/>
    <w:rsid w:val="002531B0"/>
    <w:rsid w:val="00253339"/>
    <w:rsid w:val="002535AD"/>
    <w:rsid w:val="00253642"/>
    <w:rsid w:val="0025365B"/>
    <w:rsid w:val="00253795"/>
    <w:rsid w:val="002537FA"/>
    <w:rsid w:val="0025384A"/>
    <w:rsid w:val="002538CC"/>
    <w:rsid w:val="00253ADE"/>
    <w:rsid w:val="00253C7D"/>
    <w:rsid w:val="00253DEA"/>
    <w:rsid w:val="00253E31"/>
    <w:rsid w:val="00253E6F"/>
    <w:rsid w:val="00253F2C"/>
    <w:rsid w:val="00253F30"/>
    <w:rsid w:val="00253F6F"/>
    <w:rsid w:val="00254150"/>
    <w:rsid w:val="0025423E"/>
    <w:rsid w:val="002544DC"/>
    <w:rsid w:val="00254705"/>
    <w:rsid w:val="0025476B"/>
    <w:rsid w:val="0025499D"/>
    <w:rsid w:val="00254B1A"/>
    <w:rsid w:val="00254B21"/>
    <w:rsid w:val="00254BA0"/>
    <w:rsid w:val="00254BE9"/>
    <w:rsid w:val="00254C93"/>
    <w:rsid w:val="00254EC5"/>
    <w:rsid w:val="00254F3F"/>
    <w:rsid w:val="002551A5"/>
    <w:rsid w:val="0025525F"/>
    <w:rsid w:val="00255334"/>
    <w:rsid w:val="00255335"/>
    <w:rsid w:val="00255473"/>
    <w:rsid w:val="00255ADE"/>
    <w:rsid w:val="00255AEF"/>
    <w:rsid w:val="00255B7D"/>
    <w:rsid w:val="00255C1C"/>
    <w:rsid w:val="00255C3A"/>
    <w:rsid w:val="00255C51"/>
    <w:rsid w:val="00255DAE"/>
    <w:rsid w:val="002560C1"/>
    <w:rsid w:val="002560DD"/>
    <w:rsid w:val="002562C4"/>
    <w:rsid w:val="00256347"/>
    <w:rsid w:val="002563DB"/>
    <w:rsid w:val="002563F1"/>
    <w:rsid w:val="0025645E"/>
    <w:rsid w:val="002565ED"/>
    <w:rsid w:val="00256658"/>
    <w:rsid w:val="00256681"/>
    <w:rsid w:val="00256744"/>
    <w:rsid w:val="0025688B"/>
    <w:rsid w:val="002568CE"/>
    <w:rsid w:val="0025692E"/>
    <w:rsid w:val="00256C48"/>
    <w:rsid w:val="00256F7D"/>
    <w:rsid w:val="00257018"/>
    <w:rsid w:val="00257093"/>
    <w:rsid w:val="00257111"/>
    <w:rsid w:val="0025717A"/>
    <w:rsid w:val="0025736D"/>
    <w:rsid w:val="00257391"/>
    <w:rsid w:val="00257511"/>
    <w:rsid w:val="0025758A"/>
    <w:rsid w:val="0025759A"/>
    <w:rsid w:val="0025771A"/>
    <w:rsid w:val="00257819"/>
    <w:rsid w:val="002578FD"/>
    <w:rsid w:val="00257BC9"/>
    <w:rsid w:val="00257BD4"/>
    <w:rsid w:val="00260146"/>
    <w:rsid w:val="00260269"/>
    <w:rsid w:val="002602A6"/>
    <w:rsid w:val="0026039E"/>
    <w:rsid w:val="002607C5"/>
    <w:rsid w:val="002607D7"/>
    <w:rsid w:val="002607E9"/>
    <w:rsid w:val="002608F5"/>
    <w:rsid w:val="00260A34"/>
    <w:rsid w:val="00260A49"/>
    <w:rsid w:val="00260A6D"/>
    <w:rsid w:val="00260C42"/>
    <w:rsid w:val="00260CF1"/>
    <w:rsid w:val="00260E5B"/>
    <w:rsid w:val="00260F4A"/>
    <w:rsid w:val="00260FEF"/>
    <w:rsid w:val="00261085"/>
    <w:rsid w:val="002610A8"/>
    <w:rsid w:val="00261131"/>
    <w:rsid w:val="00261181"/>
    <w:rsid w:val="00261281"/>
    <w:rsid w:val="002613EC"/>
    <w:rsid w:val="002614AE"/>
    <w:rsid w:val="00261598"/>
    <w:rsid w:val="002616D2"/>
    <w:rsid w:val="00261800"/>
    <w:rsid w:val="00261A00"/>
    <w:rsid w:val="00261A41"/>
    <w:rsid w:val="00261B00"/>
    <w:rsid w:val="00261CDB"/>
    <w:rsid w:val="00261E3B"/>
    <w:rsid w:val="00261EC4"/>
    <w:rsid w:val="0026205E"/>
    <w:rsid w:val="002620A4"/>
    <w:rsid w:val="00262288"/>
    <w:rsid w:val="002622EC"/>
    <w:rsid w:val="0026232C"/>
    <w:rsid w:val="0026244E"/>
    <w:rsid w:val="0026244F"/>
    <w:rsid w:val="002624CA"/>
    <w:rsid w:val="00262558"/>
    <w:rsid w:val="0026264B"/>
    <w:rsid w:val="00262801"/>
    <w:rsid w:val="00262824"/>
    <w:rsid w:val="00262C6A"/>
    <w:rsid w:val="00262D4C"/>
    <w:rsid w:val="00262E29"/>
    <w:rsid w:val="0026306E"/>
    <w:rsid w:val="002630C6"/>
    <w:rsid w:val="00263169"/>
    <w:rsid w:val="002631B6"/>
    <w:rsid w:val="00263350"/>
    <w:rsid w:val="002633FB"/>
    <w:rsid w:val="002634AB"/>
    <w:rsid w:val="00263503"/>
    <w:rsid w:val="00263802"/>
    <w:rsid w:val="00263D7A"/>
    <w:rsid w:val="00263E36"/>
    <w:rsid w:val="00263E94"/>
    <w:rsid w:val="00264223"/>
    <w:rsid w:val="002645FC"/>
    <w:rsid w:val="00264718"/>
    <w:rsid w:val="00264741"/>
    <w:rsid w:val="002647AF"/>
    <w:rsid w:val="002648F0"/>
    <w:rsid w:val="00264A28"/>
    <w:rsid w:val="00264B10"/>
    <w:rsid w:val="00264CD6"/>
    <w:rsid w:val="00264D91"/>
    <w:rsid w:val="00265319"/>
    <w:rsid w:val="00265342"/>
    <w:rsid w:val="002653EB"/>
    <w:rsid w:val="00265422"/>
    <w:rsid w:val="0026542F"/>
    <w:rsid w:val="002654B8"/>
    <w:rsid w:val="00265515"/>
    <w:rsid w:val="002655C3"/>
    <w:rsid w:val="002658C3"/>
    <w:rsid w:val="00265909"/>
    <w:rsid w:val="00265A8C"/>
    <w:rsid w:val="00265AA5"/>
    <w:rsid w:val="00265B6F"/>
    <w:rsid w:val="00265BA5"/>
    <w:rsid w:val="00265CA0"/>
    <w:rsid w:val="00265EAA"/>
    <w:rsid w:val="002660B0"/>
    <w:rsid w:val="00266188"/>
    <w:rsid w:val="002661CE"/>
    <w:rsid w:val="0026622C"/>
    <w:rsid w:val="002662C5"/>
    <w:rsid w:val="002662F8"/>
    <w:rsid w:val="00266398"/>
    <w:rsid w:val="002666BE"/>
    <w:rsid w:val="002667EE"/>
    <w:rsid w:val="00266809"/>
    <w:rsid w:val="002668FD"/>
    <w:rsid w:val="00266A85"/>
    <w:rsid w:val="00266C63"/>
    <w:rsid w:val="00266D6A"/>
    <w:rsid w:val="00266E3E"/>
    <w:rsid w:val="00267010"/>
    <w:rsid w:val="00267144"/>
    <w:rsid w:val="00267200"/>
    <w:rsid w:val="00267280"/>
    <w:rsid w:val="00267377"/>
    <w:rsid w:val="002675A1"/>
    <w:rsid w:val="002678AD"/>
    <w:rsid w:val="002678B7"/>
    <w:rsid w:val="00267903"/>
    <w:rsid w:val="00267913"/>
    <w:rsid w:val="002679E2"/>
    <w:rsid w:val="00267BCF"/>
    <w:rsid w:val="00267C41"/>
    <w:rsid w:val="00267C87"/>
    <w:rsid w:val="00267E3A"/>
    <w:rsid w:val="00267FB4"/>
    <w:rsid w:val="00270051"/>
    <w:rsid w:val="00270115"/>
    <w:rsid w:val="0027018A"/>
    <w:rsid w:val="002701DD"/>
    <w:rsid w:val="00270399"/>
    <w:rsid w:val="00270419"/>
    <w:rsid w:val="002704FA"/>
    <w:rsid w:val="002705A4"/>
    <w:rsid w:val="00270745"/>
    <w:rsid w:val="0027078F"/>
    <w:rsid w:val="00270896"/>
    <w:rsid w:val="00270AD7"/>
    <w:rsid w:val="00270B80"/>
    <w:rsid w:val="00270CDB"/>
    <w:rsid w:val="00270D1F"/>
    <w:rsid w:val="00270D52"/>
    <w:rsid w:val="00270D72"/>
    <w:rsid w:val="00270DE9"/>
    <w:rsid w:val="00270E30"/>
    <w:rsid w:val="00270E64"/>
    <w:rsid w:val="0027101B"/>
    <w:rsid w:val="002710A0"/>
    <w:rsid w:val="002710E4"/>
    <w:rsid w:val="00271347"/>
    <w:rsid w:val="00271367"/>
    <w:rsid w:val="00271466"/>
    <w:rsid w:val="002714E2"/>
    <w:rsid w:val="002716B7"/>
    <w:rsid w:val="00271A0E"/>
    <w:rsid w:val="00271BD6"/>
    <w:rsid w:val="00271DDE"/>
    <w:rsid w:val="00271F31"/>
    <w:rsid w:val="00271FB7"/>
    <w:rsid w:val="00272065"/>
    <w:rsid w:val="002722DA"/>
    <w:rsid w:val="002723E4"/>
    <w:rsid w:val="00272444"/>
    <w:rsid w:val="00272517"/>
    <w:rsid w:val="00272646"/>
    <w:rsid w:val="002726CC"/>
    <w:rsid w:val="002727E4"/>
    <w:rsid w:val="0027281C"/>
    <w:rsid w:val="00272900"/>
    <w:rsid w:val="00272A64"/>
    <w:rsid w:val="00272CF7"/>
    <w:rsid w:val="00272D84"/>
    <w:rsid w:val="00272E12"/>
    <w:rsid w:val="00272E19"/>
    <w:rsid w:val="00272E21"/>
    <w:rsid w:val="00272E96"/>
    <w:rsid w:val="00272FA1"/>
    <w:rsid w:val="00273050"/>
    <w:rsid w:val="002732E1"/>
    <w:rsid w:val="0027334A"/>
    <w:rsid w:val="00273510"/>
    <w:rsid w:val="00273870"/>
    <w:rsid w:val="00273A27"/>
    <w:rsid w:val="00273A94"/>
    <w:rsid w:val="00273A9E"/>
    <w:rsid w:val="00273B24"/>
    <w:rsid w:val="00273E7D"/>
    <w:rsid w:val="0027400B"/>
    <w:rsid w:val="00274060"/>
    <w:rsid w:val="0027410C"/>
    <w:rsid w:val="002741BA"/>
    <w:rsid w:val="002741CE"/>
    <w:rsid w:val="0027436F"/>
    <w:rsid w:val="00274579"/>
    <w:rsid w:val="00274641"/>
    <w:rsid w:val="0027479E"/>
    <w:rsid w:val="00274879"/>
    <w:rsid w:val="0027490D"/>
    <w:rsid w:val="002749A8"/>
    <w:rsid w:val="00274C4E"/>
    <w:rsid w:val="00274E21"/>
    <w:rsid w:val="002751C2"/>
    <w:rsid w:val="00275250"/>
    <w:rsid w:val="00275251"/>
    <w:rsid w:val="00275453"/>
    <w:rsid w:val="0027545E"/>
    <w:rsid w:val="0027547F"/>
    <w:rsid w:val="002754A3"/>
    <w:rsid w:val="0027563C"/>
    <w:rsid w:val="002758FC"/>
    <w:rsid w:val="00275904"/>
    <w:rsid w:val="00275B1B"/>
    <w:rsid w:val="00275BD3"/>
    <w:rsid w:val="00275C48"/>
    <w:rsid w:val="00275D97"/>
    <w:rsid w:val="00275EF1"/>
    <w:rsid w:val="0027602E"/>
    <w:rsid w:val="00276050"/>
    <w:rsid w:val="002761CF"/>
    <w:rsid w:val="00276306"/>
    <w:rsid w:val="002763AD"/>
    <w:rsid w:val="002765B4"/>
    <w:rsid w:val="002768CF"/>
    <w:rsid w:val="002769E1"/>
    <w:rsid w:val="00276A01"/>
    <w:rsid w:val="00276ADE"/>
    <w:rsid w:val="00276BE2"/>
    <w:rsid w:val="00276C79"/>
    <w:rsid w:val="00276CEB"/>
    <w:rsid w:val="00276E40"/>
    <w:rsid w:val="002770F7"/>
    <w:rsid w:val="002772D3"/>
    <w:rsid w:val="002773E3"/>
    <w:rsid w:val="00277435"/>
    <w:rsid w:val="00277559"/>
    <w:rsid w:val="00277562"/>
    <w:rsid w:val="002775CF"/>
    <w:rsid w:val="002775FA"/>
    <w:rsid w:val="002777C0"/>
    <w:rsid w:val="0027789B"/>
    <w:rsid w:val="00277909"/>
    <w:rsid w:val="00277932"/>
    <w:rsid w:val="00277969"/>
    <w:rsid w:val="00277AB1"/>
    <w:rsid w:val="00277AFD"/>
    <w:rsid w:val="00277BCE"/>
    <w:rsid w:val="00277C04"/>
    <w:rsid w:val="00277DD2"/>
    <w:rsid w:val="00277EFF"/>
    <w:rsid w:val="0028027C"/>
    <w:rsid w:val="002802EE"/>
    <w:rsid w:val="0028050D"/>
    <w:rsid w:val="002805BE"/>
    <w:rsid w:val="002805C2"/>
    <w:rsid w:val="00280723"/>
    <w:rsid w:val="00280B6C"/>
    <w:rsid w:val="00280D8B"/>
    <w:rsid w:val="00280F39"/>
    <w:rsid w:val="00280F40"/>
    <w:rsid w:val="00280F9B"/>
    <w:rsid w:val="00280FD5"/>
    <w:rsid w:val="0028107A"/>
    <w:rsid w:val="00281086"/>
    <w:rsid w:val="002811FD"/>
    <w:rsid w:val="0028122A"/>
    <w:rsid w:val="00281382"/>
    <w:rsid w:val="00281493"/>
    <w:rsid w:val="00281563"/>
    <w:rsid w:val="002815BA"/>
    <w:rsid w:val="00281716"/>
    <w:rsid w:val="00281A4D"/>
    <w:rsid w:val="00281B58"/>
    <w:rsid w:val="00281B5F"/>
    <w:rsid w:val="00281CAB"/>
    <w:rsid w:val="002820A3"/>
    <w:rsid w:val="00282216"/>
    <w:rsid w:val="002823C0"/>
    <w:rsid w:val="002824AC"/>
    <w:rsid w:val="00282519"/>
    <w:rsid w:val="002825D6"/>
    <w:rsid w:val="00282682"/>
    <w:rsid w:val="002826F9"/>
    <w:rsid w:val="002827CD"/>
    <w:rsid w:val="00282A08"/>
    <w:rsid w:val="00282AC8"/>
    <w:rsid w:val="00282B92"/>
    <w:rsid w:val="00282CF3"/>
    <w:rsid w:val="00283134"/>
    <w:rsid w:val="002833FC"/>
    <w:rsid w:val="00283479"/>
    <w:rsid w:val="002834A2"/>
    <w:rsid w:val="00283872"/>
    <w:rsid w:val="0028394E"/>
    <w:rsid w:val="00283AB9"/>
    <w:rsid w:val="00283C6F"/>
    <w:rsid w:val="002840DE"/>
    <w:rsid w:val="0028418A"/>
    <w:rsid w:val="002841D7"/>
    <w:rsid w:val="002842DF"/>
    <w:rsid w:val="002843F7"/>
    <w:rsid w:val="0028456A"/>
    <w:rsid w:val="0028474A"/>
    <w:rsid w:val="002848CE"/>
    <w:rsid w:val="002848D6"/>
    <w:rsid w:val="0028498A"/>
    <w:rsid w:val="00284B3C"/>
    <w:rsid w:val="00284B6D"/>
    <w:rsid w:val="00284C22"/>
    <w:rsid w:val="00284C5C"/>
    <w:rsid w:val="00284CF7"/>
    <w:rsid w:val="00284EA9"/>
    <w:rsid w:val="00284F49"/>
    <w:rsid w:val="00285081"/>
    <w:rsid w:val="002850A9"/>
    <w:rsid w:val="002850E2"/>
    <w:rsid w:val="002851A8"/>
    <w:rsid w:val="00285205"/>
    <w:rsid w:val="00285235"/>
    <w:rsid w:val="00285345"/>
    <w:rsid w:val="00285350"/>
    <w:rsid w:val="00285713"/>
    <w:rsid w:val="00285914"/>
    <w:rsid w:val="00285A6B"/>
    <w:rsid w:val="00285AA9"/>
    <w:rsid w:val="00285BF7"/>
    <w:rsid w:val="00285F59"/>
    <w:rsid w:val="00285F69"/>
    <w:rsid w:val="00285F88"/>
    <w:rsid w:val="00285FAC"/>
    <w:rsid w:val="002860C4"/>
    <w:rsid w:val="002861F3"/>
    <w:rsid w:val="00286396"/>
    <w:rsid w:val="00286434"/>
    <w:rsid w:val="002864D4"/>
    <w:rsid w:val="0028668B"/>
    <w:rsid w:val="00286742"/>
    <w:rsid w:val="00286753"/>
    <w:rsid w:val="00286757"/>
    <w:rsid w:val="00286B91"/>
    <w:rsid w:val="00286CB5"/>
    <w:rsid w:val="00286CF6"/>
    <w:rsid w:val="00286D71"/>
    <w:rsid w:val="00286DA4"/>
    <w:rsid w:val="00286E5D"/>
    <w:rsid w:val="002871FE"/>
    <w:rsid w:val="00287388"/>
    <w:rsid w:val="0028748C"/>
    <w:rsid w:val="00287572"/>
    <w:rsid w:val="0028757C"/>
    <w:rsid w:val="002875BF"/>
    <w:rsid w:val="002875E3"/>
    <w:rsid w:val="00287622"/>
    <w:rsid w:val="0028767A"/>
    <w:rsid w:val="002878B1"/>
    <w:rsid w:val="002878E7"/>
    <w:rsid w:val="0028791D"/>
    <w:rsid w:val="002879EB"/>
    <w:rsid w:val="00287A60"/>
    <w:rsid w:val="00287B9C"/>
    <w:rsid w:val="00287C2A"/>
    <w:rsid w:val="00287DE1"/>
    <w:rsid w:val="00287E69"/>
    <w:rsid w:val="00287FC5"/>
    <w:rsid w:val="0029004F"/>
    <w:rsid w:val="0029010E"/>
    <w:rsid w:val="0029025F"/>
    <w:rsid w:val="0029027A"/>
    <w:rsid w:val="00290384"/>
    <w:rsid w:val="0029055E"/>
    <w:rsid w:val="002906F4"/>
    <w:rsid w:val="00290910"/>
    <w:rsid w:val="002909E3"/>
    <w:rsid w:val="00290A3E"/>
    <w:rsid w:val="00290B89"/>
    <w:rsid w:val="002910CB"/>
    <w:rsid w:val="00291433"/>
    <w:rsid w:val="0029147B"/>
    <w:rsid w:val="002914B6"/>
    <w:rsid w:val="002914E3"/>
    <w:rsid w:val="002915AC"/>
    <w:rsid w:val="002915F7"/>
    <w:rsid w:val="00291971"/>
    <w:rsid w:val="00291AE3"/>
    <w:rsid w:val="00291E8B"/>
    <w:rsid w:val="00291F0E"/>
    <w:rsid w:val="00292003"/>
    <w:rsid w:val="0029200D"/>
    <w:rsid w:val="002921ED"/>
    <w:rsid w:val="00292207"/>
    <w:rsid w:val="00292349"/>
    <w:rsid w:val="00292447"/>
    <w:rsid w:val="0029248B"/>
    <w:rsid w:val="0029254A"/>
    <w:rsid w:val="00292562"/>
    <w:rsid w:val="00292639"/>
    <w:rsid w:val="00292727"/>
    <w:rsid w:val="0029279A"/>
    <w:rsid w:val="002927E8"/>
    <w:rsid w:val="0029287A"/>
    <w:rsid w:val="0029292B"/>
    <w:rsid w:val="00292978"/>
    <w:rsid w:val="00292ABA"/>
    <w:rsid w:val="00292AD5"/>
    <w:rsid w:val="00292B27"/>
    <w:rsid w:val="00292B92"/>
    <w:rsid w:val="00292BE8"/>
    <w:rsid w:val="00292BF0"/>
    <w:rsid w:val="00292D92"/>
    <w:rsid w:val="00292E09"/>
    <w:rsid w:val="00292FE5"/>
    <w:rsid w:val="00293022"/>
    <w:rsid w:val="0029304F"/>
    <w:rsid w:val="00293162"/>
    <w:rsid w:val="002931E9"/>
    <w:rsid w:val="002931EE"/>
    <w:rsid w:val="00293237"/>
    <w:rsid w:val="00293308"/>
    <w:rsid w:val="002933EA"/>
    <w:rsid w:val="002935C6"/>
    <w:rsid w:val="002935FA"/>
    <w:rsid w:val="00293623"/>
    <w:rsid w:val="0029362E"/>
    <w:rsid w:val="002937D0"/>
    <w:rsid w:val="00293831"/>
    <w:rsid w:val="002938D6"/>
    <w:rsid w:val="002939AF"/>
    <w:rsid w:val="00293AFC"/>
    <w:rsid w:val="00293C61"/>
    <w:rsid w:val="00293D4A"/>
    <w:rsid w:val="00294155"/>
    <w:rsid w:val="002941B0"/>
    <w:rsid w:val="00294288"/>
    <w:rsid w:val="00294371"/>
    <w:rsid w:val="0029468C"/>
    <w:rsid w:val="002946BB"/>
    <w:rsid w:val="002947B4"/>
    <w:rsid w:val="00294843"/>
    <w:rsid w:val="0029489F"/>
    <w:rsid w:val="002948B6"/>
    <w:rsid w:val="0029493D"/>
    <w:rsid w:val="00294953"/>
    <w:rsid w:val="00294A72"/>
    <w:rsid w:val="00294B05"/>
    <w:rsid w:val="00294B6D"/>
    <w:rsid w:val="00294DE5"/>
    <w:rsid w:val="00294F1D"/>
    <w:rsid w:val="00294F4F"/>
    <w:rsid w:val="00295200"/>
    <w:rsid w:val="00295362"/>
    <w:rsid w:val="00295629"/>
    <w:rsid w:val="002958D9"/>
    <w:rsid w:val="00295A90"/>
    <w:rsid w:val="00295B30"/>
    <w:rsid w:val="00295DE3"/>
    <w:rsid w:val="00295E7D"/>
    <w:rsid w:val="00295EEC"/>
    <w:rsid w:val="00295FF9"/>
    <w:rsid w:val="00296058"/>
    <w:rsid w:val="00296236"/>
    <w:rsid w:val="00296367"/>
    <w:rsid w:val="002964C1"/>
    <w:rsid w:val="002965E2"/>
    <w:rsid w:val="002966BA"/>
    <w:rsid w:val="002966D8"/>
    <w:rsid w:val="0029685B"/>
    <w:rsid w:val="00296888"/>
    <w:rsid w:val="00296BC1"/>
    <w:rsid w:val="00296BE5"/>
    <w:rsid w:val="00296CEE"/>
    <w:rsid w:val="00296D1E"/>
    <w:rsid w:val="00296FB8"/>
    <w:rsid w:val="00297008"/>
    <w:rsid w:val="00297027"/>
    <w:rsid w:val="0029715B"/>
    <w:rsid w:val="002971A2"/>
    <w:rsid w:val="002971BA"/>
    <w:rsid w:val="002972AD"/>
    <w:rsid w:val="002975D9"/>
    <w:rsid w:val="00297666"/>
    <w:rsid w:val="002977C1"/>
    <w:rsid w:val="002978BE"/>
    <w:rsid w:val="0029796A"/>
    <w:rsid w:val="00297B71"/>
    <w:rsid w:val="00297C5B"/>
    <w:rsid w:val="002A002A"/>
    <w:rsid w:val="002A046C"/>
    <w:rsid w:val="002A05DE"/>
    <w:rsid w:val="002A063A"/>
    <w:rsid w:val="002A0677"/>
    <w:rsid w:val="002A08F2"/>
    <w:rsid w:val="002A0979"/>
    <w:rsid w:val="002A0AC7"/>
    <w:rsid w:val="002A0DA6"/>
    <w:rsid w:val="002A0DC6"/>
    <w:rsid w:val="002A0E96"/>
    <w:rsid w:val="002A0EA0"/>
    <w:rsid w:val="002A0EB3"/>
    <w:rsid w:val="002A1313"/>
    <w:rsid w:val="002A1357"/>
    <w:rsid w:val="002A13CE"/>
    <w:rsid w:val="002A14C7"/>
    <w:rsid w:val="002A1565"/>
    <w:rsid w:val="002A160A"/>
    <w:rsid w:val="002A1659"/>
    <w:rsid w:val="002A17A0"/>
    <w:rsid w:val="002A18CD"/>
    <w:rsid w:val="002A1941"/>
    <w:rsid w:val="002A1AC9"/>
    <w:rsid w:val="002A1E25"/>
    <w:rsid w:val="002A1E4C"/>
    <w:rsid w:val="002A1F14"/>
    <w:rsid w:val="002A22BF"/>
    <w:rsid w:val="002A22F1"/>
    <w:rsid w:val="002A22F3"/>
    <w:rsid w:val="002A2699"/>
    <w:rsid w:val="002A26AB"/>
    <w:rsid w:val="002A27B1"/>
    <w:rsid w:val="002A2920"/>
    <w:rsid w:val="002A2931"/>
    <w:rsid w:val="002A2990"/>
    <w:rsid w:val="002A2A56"/>
    <w:rsid w:val="002A2B9C"/>
    <w:rsid w:val="002A2C17"/>
    <w:rsid w:val="002A2E47"/>
    <w:rsid w:val="002A2E74"/>
    <w:rsid w:val="002A2FDD"/>
    <w:rsid w:val="002A30DC"/>
    <w:rsid w:val="002A314F"/>
    <w:rsid w:val="002A3165"/>
    <w:rsid w:val="002A318D"/>
    <w:rsid w:val="002A346D"/>
    <w:rsid w:val="002A354D"/>
    <w:rsid w:val="002A36A6"/>
    <w:rsid w:val="002A3715"/>
    <w:rsid w:val="002A376F"/>
    <w:rsid w:val="002A3786"/>
    <w:rsid w:val="002A37A2"/>
    <w:rsid w:val="002A38D2"/>
    <w:rsid w:val="002A3ABE"/>
    <w:rsid w:val="002A3AC0"/>
    <w:rsid w:val="002A3C3A"/>
    <w:rsid w:val="002A3C53"/>
    <w:rsid w:val="002A3CFF"/>
    <w:rsid w:val="002A3EBD"/>
    <w:rsid w:val="002A3EE5"/>
    <w:rsid w:val="002A412E"/>
    <w:rsid w:val="002A4334"/>
    <w:rsid w:val="002A4492"/>
    <w:rsid w:val="002A44D5"/>
    <w:rsid w:val="002A4A3E"/>
    <w:rsid w:val="002A4A42"/>
    <w:rsid w:val="002A4DE1"/>
    <w:rsid w:val="002A4F27"/>
    <w:rsid w:val="002A52D6"/>
    <w:rsid w:val="002A5622"/>
    <w:rsid w:val="002A57C8"/>
    <w:rsid w:val="002A594D"/>
    <w:rsid w:val="002A5968"/>
    <w:rsid w:val="002A5A4B"/>
    <w:rsid w:val="002A5A4F"/>
    <w:rsid w:val="002A5B96"/>
    <w:rsid w:val="002A5D9D"/>
    <w:rsid w:val="002A5E9B"/>
    <w:rsid w:val="002A5EC0"/>
    <w:rsid w:val="002A6027"/>
    <w:rsid w:val="002A603F"/>
    <w:rsid w:val="002A6061"/>
    <w:rsid w:val="002A635F"/>
    <w:rsid w:val="002A64C0"/>
    <w:rsid w:val="002A65C2"/>
    <w:rsid w:val="002A6643"/>
    <w:rsid w:val="002A671D"/>
    <w:rsid w:val="002A69B7"/>
    <w:rsid w:val="002A6A16"/>
    <w:rsid w:val="002A6A69"/>
    <w:rsid w:val="002A6C20"/>
    <w:rsid w:val="002A6E84"/>
    <w:rsid w:val="002A6F29"/>
    <w:rsid w:val="002A6F88"/>
    <w:rsid w:val="002A6FD3"/>
    <w:rsid w:val="002A7062"/>
    <w:rsid w:val="002A70B8"/>
    <w:rsid w:val="002A71E6"/>
    <w:rsid w:val="002A725F"/>
    <w:rsid w:val="002A74C1"/>
    <w:rsid w:val="002A7834"/>
    <w:rsid w:val="002A7895"/>
    <w:rsid w:val="002A78B0"/>
    <w:rsid w:val="002A78B3"/>
    <w:rsid w:val="002A798B"/>
    <w:rsid w:val="002A7BB6"/>
    <w:rsid w:val="002A7C5A"/>
    <w:rsid w:val="002A7D3F"/>
    <w:rsid w:val="002A7D5B"/>
    <w:rsid w:val="002A7D80"/>
    <w:rsid w:val="002A7EC1"/>
    <w:rsid w:val="002A7EE3"/>
    <w:rsid w:val="002A7FBA"/>
    <w:rsid w:val="002B005A"/>
    <w:rsid w:val="002B0111"/>
    <w:rsid w:val="002B0382"/>
    <w:rsid w:val="002B0442"/>
    <w:rsid w:val="002B0506"/>
    <w:rsid w:val="002B05A7"/>
    <w:rsid w:val="002B0716"/>
    <w:rsid w:val="002B0CDE"/>
    <w:rsid w:val="002B0D05"/>
    <w:rsid w:val="002B0D17"/>
    <w:rsid w:val="002B0DCD"/>
    <w:rsid w:val="002B0DFE"/>
    <w:rsid w:val="002B0E30"/>
    <w:rsid w:val="002B1225"/>
    <w:rsid w:val="002B12D2"/>
    <w:rsid w:val="002B1679"/>
    <w:rsid w:val="002B16F7"/>
    <w:rsid w:val="002B1A24"/>
    <w:rsid w:val="002B1B97"/>
    <w:rsid w:val="002B1C41"/>
    <w:rsid w:val="002B1DEE"/>
    <w:rsid w:val="002B1E3C"/>
    <w:rsid w:val="002B2002"/>
    <w:rsid w:val="002B20D3"/>
    <w:rsid w:val="002B20F7"/>
    <w:rsid w:val="002B225B"/>
    <w:rsid w:val="002B22A9"/>
    <w:rsid w:val="002B239D"/>
    <w:rsid w:val="002B2489"/>
    <w:rsid w:val="002B24EB"/>
    <w:rsid w:val="002B2529"/>
    <w:rsid w:val="002B2567"/>
    <w:rsid w:val="002B28D2"/>
    <w:rsid w:val="002B29E0"/>
    <w:rsid w:val="002B2DC6"/>
    <w:rsid w:val="002B2EB0"/>
    <w:rsid w:val="002B2F63"/>
    <w:rsid w:val="002B2FD2"/>
    <w:rsid w:val="002B301E"/>
    <w:rsid w:val="002B301F"/>
    <w:rsid w:val="002B30B4"/>
    <w:rsid w:val="002B3216"/>
    <w:rsid w:val="002B32AE"/>
    <w:rsid w:val="002B3301"/>
    <w:rsid w:val="002B3341"/>
    <w:rsid w:val="002B3385"/>
    <w:rsid w:val="002B3614"/>
    <w:rsid w:val="002B381F"/>
    <w:rsid w:val="002B38C4"/>
    <w:rsid w:val="002B397A"/>
    <w:rsid w:val="002B3DBC"/>
    <w:rsid w:val="002B4088"/>
    <w:rsid w:val="002B43CB"/>
    <w:rsid w:val="002B44D6"/>
    <w:rsid w:val="002B4584"/>
    <w:rsid w:val="002B46E5"/>
    <w:rsid w:val="002B4C5C"/>
    <w:rsid w:val="002B4C77"/>
    <w:rsid w:val="002B4E09"/>
    <w:rsid w:val="002B4EED"/>
    <w:rsid w:val="002B4FC9"/>
    <w:rsid w:val="002B5213"/>
    <w:rsid w:val="002B523B"/>
    <w:rsid w:val="002B53C3"/>
    <w:rsid w:val="002B53D1"/>
    <w:rsid w:val="002B53D4"/>
    <w:rsid w:val="002B5598"/>
    <w:rsid w:val="002B5887"/>
    <w:rsid w:val="002B5A39"/>
    <w:rsid w:val="002B5A6A"/>
    <w:rsid w:val="002B5A75"/>
    <w:rsid w:val="002B5C00"/>
    <w:rsid w:val="002B5ECF"/>
    <w:rsid w:val="002B6106"/>
    <w:rsid w:val="002B62D2"/>
    <w:rsid w:val="002B66A5"/>
    <w:rsid w:val="002B6805"/>
    <w:rsid w:val="002B6843"/>
    <w:rsid w:val="002B6B7E"/>
    <w:rsid w:val="002B6BBA"/>
    <w:rsid w:val="002B6C0E"/>
    <w:rsid w:val="002B6CCA"/>
    <w:rsid w:val="002B7332"/>
    <w:rsid w:val="002B7718"/>
    <w:rsid w:val="002B774A"/>
    <w:rsid w:val="002B7A8F"/>
    <w:rsid w:val="002B7C33"/>
    <w:rsid w:val="002B7E13"/>
    <w:rsid w:val="002B7F47"/>
    <w:rsid w:val="002C0014"/>
    <w:rsid w:val="002C0073"/>
    <w:rsid w:val="002C0095"/>
    <w:rsid w:val="002C01C5"/>
    <w:rsid w:val="002C027E"/>
    <w:rsid w:val="002C0349"/>
    <w:rsid w:val="002C039B"/>
    <w:rsid w:val="002C076F"/>
    <w:rsid w:val="002C07AA"/>
    <w:rsid w:val="002C0890"/>
    <w:rsid w:val="002C09EB"/>
    <w:rsid w:val="002C0C52"/>
    <w:rsid w:val="002C0EB1"/>
    <w:rsid w:val="002C0F37"/>
    <w:rsid w:val="002C0F4C"/>
    <w:rsid w:val="002C1012"/>
    <w:rsid w:val="002C105F"/>
    <w:rsid w:val="002C133A"/>
    <w:rsid w:val="002C1377"/>
    <w:rsid w:val="002C146E"/>
    <w:rsid w:val="002C14C0"/>
    <w:rsid w:val="002C1509"/>
    <w:rsid w:val="002C175D"/>
    <w:rsid w:val="002C17BA"/>
    <w:rsid w:val="002C183D"/>
    <w:rsid w:val="002C1891"/>
    <w:rsid w:val="002C1961"/>
    <w:rsid w:val="002C197E"/>
    <w:rsid w:val="002C19C8"/>
    <w:rsid w:val="002C1A2D"/>
    <w:rsid w:val="002C1B22"/>
    <w:rsid w:val="002C1B48"/>
    <w:rsid w:val="002C1CFE"/>
    <w:rsid w:val="002C2085"/>
    <w:rsid w:val="002C2097"/>
    <w:rsid w:val="002C2103"/>
    <w:rsid w:val="002C2165"/>
    <w:rsid w:val="002C23D8"/>
    <w:rsid w:val="002C23EA"/>
    <w:rsid w:val="002C251C"/>
    <w:rsid w:val="002C2647"/>
    <w:rsid w:val="002C270C"/>
    <w:rsid w:val="002C2949"/>
    <w:rsid w:val="002C2B79"/>
    <w:rsid w:val="002C2CCB"/>
    <w:rsid w:val="002C2DD8"/>
    <w:rsid w:val="002C2EA2"/>
    <w:rsid w:val="002C3221"/>
    <w:rsid w:val="002C35DC"/>
    <w:rsid w:val="002C36FD"/>
    <w:rsid w:val="002C3753"/>
    <w:rsid w:val="002C37E6"/>
    <w:rsid w:val="002C3A48"/>
    <w:rsid w:val="002C3BA7"/>
    <w:rsid w:val="002C3DEB"/>
    <w:rsid w:val="002C3E09"/>
    <w:rsid w:val="002C3F00"/>
    <w:rsid w:val="002C3F27"/>
    <w:rsid w:val="002C40CE"/>
    <w:rsid w:val="002C4151"/>
    <w:rsid w:val="002C41F0"/>
    <w:rsid w:val="002C421C"/>
    <w:rsid w:val="002C435C"/>
    <w:rsid w:val="002C4476"/>
    <w:rsid w:val="002C464E"/>
    <w:rsid w:val="002C489E"/>
    <w:rsid w:val="002C491A"/>
    <w:rsid w:val="002C49D2"/>
    <w:rsid w:val="002C4B28"/>
    <w:rsid w:val="002C52AC"/>
    <w:rsid w:val="002C5337"/>
    <w:rsid w:val="002C53D9"/>
    <w:rsid w:val="002C564B"/>
    <w:rsid w:val="002C596C"/>
    <w:rsid w:val="002C597C"/>
    <w:rsid w:val="002C5A0C"/>
    <w:rsid w:val="002C5A42"/>
    <w:rsid w:val="002C5ACD"/>
    <w:rsid w:val="002C5BAF"/>
    <w:rsid w:val="002C5CBF"/>
    <w:rsid w:val="002C5D45"/>
    <w:rsid w:val="002C5DFC"/>
    <w:rsid w:val="002C5E76"/>
    <w:rsid w:val="002C6053"/>
    <w:rsid w:val="002C6084"/>
    <w:rsid w:val="002C6086"/>
    <w:rsid w:val="002C60B1"/>
    <w:rsid w:val="002C6117"/>
    <w:rsid w:val="002C6306"/>
    <w:rsid w:val="002C6386"/>
    <w:rsid w:val="002C6430"/>
    <w:rsid w:val="002C649D"/>
    <w:rsid w:val="002C64BF"/>
    <w:rsid w:val="002C66FA"/>
    <w:rsid w:val="002C67D6"/>
    <w:rsid w:val="002C67E2"/>
    <w:rsid w:val="002C6816"/>
    <w:rsid w:val="002C6818"/>
    <w:rsid w:val="002C68AD"/>
    <w:rsid w:val="002C6901"/>
    <w:rsid w:val="002C69C8"/>
    <w:rsid w:val="002C6ACD"/>
    <w:rsid w:val="002C6B83"/>
    <w:rsid w:val="002C6CB4"/>
    <w:rsid w:val="002C6E66"/>
    <w:rsid w:val="002C703E"/>
    <w:rsid w:val="002C709F"/>
    <w:rsid w:val="002C719C"/>
    <w:rsid w:val="002C748B"/>
    <w:rsid w:val="002C751A"/>
    <w:rsid w:val="002C7591"/>
    <w:rsid w:val="002C762C"/>
    <w:rsid w:val="002C764D"/>
    <w:rsid w:val="002C767B"/>
    <w:rsid w:val="002C76E0"/>
    <w:rsid w:val="002C77FB"/>
    <w:rsid w:val="002C789F"/>
    <w:rsid w:val="002C78B1"/>
    <w:rsid w:val="002C7A78"/>
    <w:rsid w:val="002C7AA1"/>
    <w:rsid w:val="002C7B14"/>
    <w:rsid w:val="002C7E1A"/>
    <w:rsid w:val="002C7F1A"/>
    <w:rsid w:val="002C7FC2"/>
    <w:rsid w:val="002D0055"/>
    <w:rsid w:val="002D0076"/>
    <w:rsid w:val="002D012B"/>
    <w:rsid w:val="002D0298"/>
    <w:rsid w:val="002D0313"/>
    <w:rsid w:val="002D06DC"/>
    <w:rsid w:val="002D0729"/>
    <w:rsid w:val="002D0773"/>
    <w:rsid w:val="002D0A06"/>
    <w:rsid w:val="002D0ADC"/>
    <w:rsid w:val="002D0B7D"/>
    <w:rsid w:val="002D0D9D"/>
    <w:rsid w:val="002D0DE4"/>
    <w:rsid w:val="002D0EB3"/>
    <w:rsid w:val="002D10C3"/>
    <w:rsid w:val="002D10CF"/>
    <w:rsid w:val="002D10EB"/>
    <w:rsid w:val="002D1229"/>
    <w:rsid w:val="002D12E7"/>
    <w:rsid w:val="002D13CC"/>
    <w:rsid w:val="002D1421"/>
    <w:rsid w:val="002D161E"/>
    <w:rsid w:val="002D16B6"/>
    <w:rsid w:val="002D16BE"/>
    <w:rsid w:val="002D1730"/>
    <w:rsid w:val="002D1A52"/>
    <w:rsid w:val="002D1ABC"/>
    <w:rsid w:val="002D1ADE"/>
    <w:rsid w:val="002D1E3B"/>
    <w:rsid w:val="002D2150"/>
    <w:rsid w:val="002D2189"/>
    <w:rsid w:val="002D234A"/>
    <w:rsid w:val="002D241B"/>
    <w:rsid w:val="002D242E"/>
    <w:rsid w:val="002D248E"/>
    <w:rsid w:val="002D2492"/>
    <w:rsid w:val="002D265F"/>
    <w:rsid w:val="002D275C"/>
    <w:rsid w:val="002D28C0"/>
    <w:rsid w:val="002D28D5"/>
    <w:rsid w:val="002D28EF"/>
    <w:rsid w:val="002D2CC4"/>
    <w:rsid w:val="002D2EDA"/>
    <w:rsid w:val="002D2FCF"/>
    <w:rsid w:val="002D3083"/>
    <w:rsid w:val="002D30FC"/>
    <w:rsid w:val="002D31AA"/>
    <w:rsid w:val="002D3278"/>
    <w:rsid w:val="002D33C7"/>
    <w:rsid w:val="002D366E"/>
    <w:rsid w:val="002D3800"/>
    <w:rsid w:val="002D3840"/>
    <w:rsid w:val="002D38B3"/>
    <w:rsid w:val="002D3956"/>
    <w:rsid w:val="002D396D"/>
    <w:rsid w:val="002D3991"/>
    <w:rsid w:val="002D3A36"/>
    <w:rsid w:val="002D3C73"/>
    <w:rsid w:val="002D3F23"/>
    <w:rsid w:val="002D4113"/>
    <w:rsid w:val="002D4170"/>
    <w:rsid w:val="002D43A3"/>
    <w:rsid w:val="002D44A4"/>
    <w:rsid w:val="002D44F0"/>
    <w:rsid w:val="002D4818"/>
    <w:rsid w:val="002D489F"/>
    <w:rsid w:val="002D48B0"/>
    <w:rsid w:val="002D4944"/>
    <w:rsid w:val="002D4995"/>
    <w:rsid w:val="002D4BA3"/>
    <w:rsid w:val="002D4C05"/>
    <w:rsid w:val="002D4CC8"/>
    <w:rsid w:val="002D4D48"/>
    <w:rsid w:val="002D4DEC"/>
    <w:rsid w:val="002D4E73"/>
    <w:rsid w:val="002D4E98"/>
    <w:rsid w:val="002D4F89"/>
    <w:rsid w:val="002D50CB"/>
    <w:rsid w:val="002D55D2"/>
    <w:rsid w:val="002D586A"/>
    <w:rsid w:val="002D5874"/>
    <w:rsid w:val="002D59C3"/>
    <w:rsid w:val="002D5A04"/>
    <w:rsid w:val="002D6338"/>
    <w:rsid w:val="002D654E"/>
    <w:rsid w:val="002D6689"/>
    <w:rsid w:val="002D6826"/>
    <w:rsid w:val="002D687B"/>
    <w:rsid w:val="002D6888"/>
    <w:rsid w:val="002D689C"/>
    <w:rsid w:val="002D6A44"/>
    <w:rsid w:val="002D6A5A"/>
    <w:rsid w:val="002D6ACE"/>
    <w:rsid w:val="002D6C66"/>
    <w:rsid w:val="002D6D67"/>
    <w:rsid w:val="002D6E88"/>
    <w:rsid w:val="002D70C7"/>
    <w:rsid w:val="002D7111"/>
    <w:rsid w:val="002D719A"/>
    <w:rsid w:val="002D71F1"/>
    <w:rsid w:val="002D739F"/>
    <w:rsid w:val="002D73FC"/>
    <w:rsid w:val="002D7402"/>
    <w:rsid w:val="002D759E"/>
    <w:rsid w:val="002D765F"/>
    <w:rsid w:val="002D77FF"/>
    <w:rsid w:val="002D789E"/>
    <w:rsid w:val="002D795A"/>
    <w:rsid w:val="002D7A44"/>
    <w:rsid w:val="002D7A94"/>
    <w:rsid w:val="002D7CC6"/>
    <w:rsid w:val="002D7D54"/>
    <w:rsid w:val="002D7EB8"/>
    <w:rsid w:val="002D7F0B"/>
    <w:rsid w:val="002E0091"/>
    <w:rsid w:val="002E0195"/>
    <w:rsid w:val="002E01B7"/>
    <w:rsid w:val="002E01B8"/>
    <w:rsid w:val="002E024C"/>
    <w:rsid w:val="002E02D2"/>
    <w:rsid w:val="002E035A"/>
    <w:rsid w:val="002E0428"/>
    <w:rsid w:val="002E05DE"/>
    <w:rsid w:val="002E0672"/>
    <w:rsid w:val="002E0798"/>
    <w:rsid w:val="002E07CD"/>
    <w:rsid w:val="002E07F2"/>
    <w:rsid w:val="002E0916"/>
    <w:rsid w:val="002E0E05"/>
    <w:rsid w:val="002E0E95"/>
    <w:rsid w:val="002E0F70"/>
    <w:rsid w:val="002E10F6"/>
    <w:rsid w:val="002E10F7"/>
    <w:rsid w:val="002E1146"/>
    <w:rsid w:val="002E1277"/>
    <w:rsid w:val="002E1286"/>
    <w:rsid w:val="002E132B"/>
    <w:rsid w:val="002E163D"/>
    <w:rsid w:val="002E166F"/>
    <w:rsid w:val="002E1788"/>
    <w:rsid w:val="002E1969"/>
    <w:rsid w:val="002E1B46"/>
    <w:rsid w:val="002E1CF7"/>
    <w:rsid w:val="002E1CFF"/>
    <w:rsid w:val="002E1D09"/>
    <w:rsid w:val="002E1D42"/>
    <w:rsid w:val="002E2062"/>
    <w:rsid w:val="002E2111"/>
    <w:rsid w:val="002E233B"/>
    <w:rsid w:val="002E2359"/>
    <w:rsid w:val="002E23A8"/>
    <w:rsid w:val="002E23D8"/>
    <w:rsid w:val="002E2545"/>
    <w:rsid w:val="002E288F"/>
    <w:rsid w:val="002E290A"/>
    <w:rsid w:val="002E2913"/>
    <w:rsid w:val="002E2A50"/>
    <w:rsid w:val="002E2AB1"/>
    <w:rsid w:val="002E2ACF"/>
    <w:rsid w:val="002E2B27"/>
    <w:rsid w:val="002E2D0B"/>
    <w:rsid w:val="002E2EB6"/>
    <w:rsid w:val="002E302E"/>
    <w:rsid w:val="002E315C"/>
    <w:rsid w:val="002E32AC"/>
    <w:rsid w:val="002E338A"/>
    <w:rsid w:val="002E3527"/>
    <w:rsid w:val="002E3540"/>
    <w:rsid w:val="002E3611"/>
    <w:rsid w:val="002E361E"/>
    <w:rsid w:val="002E37D9"/>
    <w:rsid w:val="002E3932"/>
    <w:rsid w:val="002E3A48"/>
    <w:rsid w:val="002E3C76"/>
    <w:rsid w:val="002E3F14"/>
    <w:rsid w:val="002E3F55"/>
    <w:rsid w:val="002E405E"/>
    <w:rsid w:val="002E4175"/>
    <w:rsid w:val="002E41BF"/>
    <w:rsid w:val="002E41EB"/>
    <w:rsid w:val="002E4669"/>
    <w:rsid w:val="002E4746"/>
    <w:rsid w:val="002E4747"/>
    <w:rsid w:val="002E47A0"/>
    <w:rsid w:val="002E47D1"/>
    <w:rsid w:val="002E47DC"/>
    <w:rsid w:val="002E4A13"/>
    <w:rsid w:val="002E4A92"/>
    <w:rsid w:val="002E4BE9"/>
    <w:rsid w:val="002E4BF0"/>
    <w:rsid w:val="002E4FBC"/>
    <w:rsid w:val="002E5008"/>
    <w:rsid w:val="002E50CE"/>
    <w:rsid w:val="002E51BF"/>
    <w:rsid w:val="002E529C"/>
    <w:rsid w:val="002E577A"/>
    <w:rsid w:val="002E583E"/>
    <w:rsid w:val="002E5A53"/>
    <w:rsid w:val="002E5A7F"/>
    <w:rsid w:val="002E5B50"/>
    <w:rsid w:val="002E5B89"/>
    <w:rsid w:val="002E5C84"/>
    <w:rsid w:val="002E5CEE"/>
    <w:rsid w:val="002E5D64"/>
    <w:rsid w:val="002E5E33"/>
    <w:rsid w:val="002E5EA5"/>
    <w:rsid w:val="002E5F79"/>
    <w:rsid w:val="002E6038"/>
    <w:rsid w:val="002E62E5"/>
    <w:rsid w:val="002E638A"/>
    <w:rsid w:val="002E64D2"/>
    <w:rsid w:val="002E6579"/>
    <w:rsid w:val="002E671B"/>
    <w:rsid w:val="002E675E"/>
    <w:rsid w:val="002E676C"/>
    <w:rsid w:val="002E6A6F"/>
    <w:rsid w:val="002E6A75"/>
    <w:rsid w:val="002E6B4A"/>
    <w:rsid w:val="002E6C31"/>
    <w:rsid w:val="002E6C90"/>
    <w:rsid w:val="002E6CDC"/>
    <w:rsid w:val="002E6D2D"/>
    <w:rsid w:val="002E6D7E"/>
    <w:rsid w:val="002E6DED"/>
    <w:rsid w:val="002E6EC2"/>
    <w:rsid w:val="002E7346"/>
    <w:rsid w:val="002E7494"/>
    <w:rsid w:val="002E7861"/>
    <w:rsid w:val="002E7A22"/>
    <w:rsid w:val="002E7B0D"/>
    <w:rsid w:val="002E7B58"/>
    <w:rsid w:val="002E7B71"/>
    <w:rsid w:val="002E7BFE"/>
    <w:rsid w:val="002E7C7D"/>
    <w:rsid w:val="002E7D30"/>
    <w:rsid w:val="002E7DCE"/>
    <w:rsid w:val="002E7F29"/>
    <w:rsid w:val="002E7FE6"/>
    <w:rsid w:val="002F02B9"/>
    <w:rsid w:val="002F0301"/>
    <w:rsid w:val="002F03B3"/>
    <w:rsid w:val="002F0408"/>
    <w:rsid w:val="002F0445"/>
    <w:rsid w:val="002F059C"/>
    <w:rsid w:val="002F072D"/>
    <w:rsid w:val="002F076E"/>
    <w:rsid w:val="002F0772"/>
    <w:rsid w:val="002F07C3"/>
    <w:rsid w:val="002F0858"/>
    <w:rsid w:val="002F085E"/>
    <w:rsid w:val="002F0AC7"/>
    <w:rsid w:val="002F0AE3"/>
    <w:rsid w:val="002F0B72"/>
    <w:rsid w:val="002F0CD1"/>
    <w:rsid w:val="002F0CD8"/>
    <w:rsid w:val="002F0D63"/>
    <w:rsid w:val="002F0D7D"/>
    <w:rsid w:val="002F0DD1"/>
    <w:rsid w:val="002F0DFD"/>
    <w:rsid w:val="002F10AA"/>
    <w:rsid w:val="002F122F"/>
    <w:rsid w:val="002F1492"/>
    <w:rsid w:val="002F15BB"/>
    <w:rsid w:val="002F16FB"/>
    <w:rsid w:val="002F1811"/>
    <w:rsid w:val="002F1916"/>
    <w:rsid w:val="002F1C08"/>
    <w:rsid w:val="002F1C8A"/>
    <w:rsid w:val="002F1F4E"/>
    <w:rsid w:val="002F1FAA"/>
    <w:rsid w:val="002F208D"/>
    <w:rsid w:val="002F215B"/>
    <w:rsid w:val="002F21F9"/>
    <w:rsid w:val="002F2314"/>
    <w:rsid w:val="002F2348"/>
    <w:rsid w:val="002F23F0"/>
    <w:rsid w:val="002F25AA"/>
    <w:rsid w:val="002F27B9"/>
    <w:rsid w:val="002F27EF"/>
    <w:rsid w:val="002F29F7"/>
    <w:rsid w:val="002F2AE6"/>
    <w:rsid w:val="002F2C24"/>
    <w:rsid w:val="002F2E96"/>
    <w:rsid w:val="002F2FA0"/>
    <w:rsid w:val="002F2FF5"/>
    <w:rsid w:val="002F31F6"/>
    <w:rsid w:val="002F3216"/>
    <w:rsid w:val="002F323E"/>
    <w:rsid w:val="002F32C2"/>
    <w:rsid w:val="002F32D6"/>
    <w:rsid w:val="002F3320"/>
    <w:rsid w:val="002F343F"/>
    <w:rsid w:val="002F344B"/>
    <w:rsid w:val="002F3642"/>
    <w:rsid w:val="002F37AC"/>
    <w:rsid w:val="002F3947"/>
    <w:rsid w:val="002F3A5A"/>
    <w:rsid w:val="002F3AD7"/>
    <w:rsid w:val="002F3B49"/>
    <w:rsid w:val="002F3D24"/>
    <w:rsid w:val="002F3DCA"/>
    <w:rsid w:val="002F3DF2"/>
    <w:rsid w:val="002F3E59"/>
    <w:rsid w:val="002F3E7F"/>
    <w:rsid w:val="002F40F3"/>
    <w:rsid w:val="002F410A"/>
    <w:rsid w:val="002F4230"/>
    <w:rsid w:val="002F4344"/>
    <w:rsid w:val="002F444E"/>
    <w:rsid w:val="002F44D4"/>
    <w:rsid w:val="002F45E5"/>
    <w:rsid w:val="002F45EF"/>
    <w:rsid w:val="002F4631"/>
    <w:rsid w:val="002F483E"/>
    <w:rsid w:val="002F48C0"/>
    <w:rsid w:val="002F4902"/>
    <w:rsid w:val="002F4C8D"/>
    <w:rsid w:val="002F4CC9"/>
    <w:rsid w:val="002F4D54"/>
    <w:rsid w:val="002F4D95"/>
    <w:rsid w:val="002F4DC7"/>
    <w:rsid w:val="002F4F3C"/>
    <w:rsid w:val="002F5436"/>
    <w:rsid w:val="002F544B"/>
    <w:rsid w:val="002F550B"/>
    <w:rsid w:val="002F5515"/>
    <w:rsid w:val="002F573C"/>
    <w:rsid w:val="002F57DC"/>
    <w:rsid w:val="002F5847"/>
    <w:rsid w:val="002F597D"/>
    <w:rsid w:val="002F5B20"/>
    <w:rsid w:val="002F5C0F"/>
    <w:rsid w:val="002F5C4E"/>
    <w:rsid w:val="002F5E6F"/>
    <w:rsid w:val="002F5F23"/>
    <w:rsid w:val="002F5FB9"/>
    <w:rsid w:val="002F5FDE"/>
    <w:rsid w:val="002F625F"/>
    <w:rsid w:val="002F6261"/>
    <w:rsid w:val="002F6531"/>
    <w:rsid w:val="002F663C"/>
    <w:rsid w:val="002F66ED"/>
    <w:rsid w:val="002F6792"/>
    <w:rsid w:val="002F688D"/>
    <w:rsid w:val="002F6AEF"/>
    <w:rsid w:val="002F6B1D"/>
    <w:rsid w:val="002F6B53"/>
    <w:rsid w:val="002F6B5F"/>
    <w:rsid w:val="002F6D7B"/>
    <w:rsid w:val="002F6E52"/>
    <w:rsid w:val="002F75AC"/>
    <w:rsid w:val="002F77FB"/>
    <w:rsid w:val="002F7882"/>
    <w:rsid w:val="002F7936"/>
    <w:rsid w:val="002F7D4A"/>
    <w:rsid w:val="002F7D5B"/>
    <w:rsid w:val="002F7ED6"/>
    <w:rsid w:val="0030011D"/>
    <w:rsid w:val="003001CB"/>
    <w:rsid w:val="00300346"/>
    <w:rsid w:val="0030076E"/>
    <w:rsid w:val="003008AD"/>
    <w:rsid w:val="003008BF"/>
    <w:rsid w:val="00300921"/>
    <w:rsid w:val="00300988"/>
    <w:rsid w:val="003009D9"/>
    <w:rsid w:val="00300AE9"/>
    <w:rsid w:val="00300B37"/>
    <w:rsid w:val="00301035"/>
    <w:rsid w:val="003010D6"/>
    <w:rsid w:val="003011C9"/>
    <w:rsid w:val="00301257"/>
    <w:rsid w:val="003012A2"/>
    <w:rsid w:val="003013FF"/>
    <w:rsid w:val="003014AD"/>
    <w:rsid w:val="003014D6"/>
    <w:rsid w:val="00301513"/>
    <w:rsid w:val="003015EA"/>
    <w:rsid w:val="003017AD"/>
    <w:rsid w:val="00301969"/>
    <w:rsid w:val="00301C41"/>
    <w:rsid w:val="00301DE0"/>
    <w:rsid w:val="00301E3E"/>
    <w:rsid w:val="00301EAF"/>
    <w:rsid w:val="00301F27"/>
    <w:rsid w:val="00301F6D"/>
    <w:rsid w:val="003020D3"/>
    <w:rsid w:val="00302305"/>
    <w:rsid w:val="003023DA"/>
    <w:rsid w:val="0030266F"/>
    <w:rsid w:val="003026A8"/>
    <w:rsid w:val="003026F1"/>
    <w:rsid w:val="00302736"/>
    <w:rsid w:val="003027B8"/>
    <w:rsid w:val="00302832"/>
    <w:rsid w:val="00302956"/>
    <w:rsid w:val="00302A53"/>
    <w:rsid w:val="00302B02"/>
    <w:rsid w:val="00302B71"/>
    <w:rsid w:val="00302DD8"/>
    <w:rsid w:val="00302DF7"/>
    <w:rsid w:val="00302E29"/>
    <w:rsid w:val="00302EC7"/>
    <w:rsid w:val="003030DD"/>
    <w:rsid w:val="00303227"/>
    <w:rsid w:val="00303296"/>
    <w:rsid w:val="003032BD"/>
    <w:rsid w:val="003032C5"/>
    <w:rsid w:val="00303407"/>
    <w:rsid w:val="003035BE"/>
    <w:rsid w:val="003036C2"/>
    <w:rsid w:val="003036EF"/>
    <w:rsid w:val="003037B4"/>
    <w:rsid w:val="00303884"/>
    <w:rsid w:val="003038DB"/>
    <w:rsid w:val="00303AE0"/>
    <w:rsid w:val="00303B10"/>
    <w:rsid w:val="00303C0A"/>
    <w:rsid w:val="00303C2D"/>
    <w:rsid w:val="00303C3A"/>
    <w:rsid w:val="00303C5B"/>
    <w:rsid w:val="00303CB1"/>
    <w:rsid w:val="00303CDF"/>
    <w:rsid w:val="00303DD7"/>
    <w:rsid w:val="00303F1B"/>
    <w:rsid w:val="00304259"/>
    <w:rsid w:val="00304274"/>
    <w:rsid w:val="00304341"/>
    <w:rsid w:val="0030439D"/>
    <w:rsid w:val="003043C6"/>
    <w:rsid w:val="003043D6"/>
    <w:rsid w:val="00304608"/>
    <w:rsid w:val="003047B1"/>
    <w:rsid w:val="00304988"/>
    <w:rsid w:val="00304995"/>
    <w:rsid w:val="003049FB"/>
    <w:rsid w:val="00304C90"/>
    <w:rsid w:val="00304F3F"/>
    <w:rsid w:val="00304F7B"/>
    <w:rsid w:val="00304F82"/>
    <w:rsid w:val="00305105"/>
    <w:rsid w:val="00305270"/>
    <w:rsid w:val="00305286"/>
    <w:rsid w:val="00305321"/>
    <w:rsid w:val="0030537A"/>
    <w:rsid w:val="00305409"/>
    <w:rsid w:val="003058B1"/>
    <w:rsid w:val="003058F7"/>
    <w:rsid w:val="0030595F"/>
    <w:rsid w:val="00305E4D"/>
    <w:rsid w:val="00305ED1"/>
    <w:rsid w:val="00306080"/>
    <w:rsid w:val="003060B0"/>
    <w:rsid w:val="003060E1"/>
    <w:rsid w:val="003064DE"/>
    <w:rsid w:val="003065F3"/>
    <w:rsid w:val="0030699B"/>
    <w:rsid w:val="003069D6"/>
    <w:rsid w:val="00306D73"/>
    <w:rsid w:val="00306D89"/>
    <w:rsid w:val="00306DA7"/>
    <w:rsid w:val="00306F01"/>
    <w:rsid w:val="00306F36"/>
    <w:rsid w:val="00306F55"/>
    <w:rsid w:val="00306F8A"/>
    <w:rsid w:val="003070EC"/>
    <w:rsid w:val="003071ED"/>
    <w:rsid w:val="0030733B"/>
    <w:rsid w:val="0030782D"/>
    <w:rsid w:val="00307C6A"/>
    <w:rsid w:val="00307DBA"/>
    <w:rsid w:val="00307EAD"/>
    <w:rsid w:val="00307EDB"/>
    <w:rsid w:val="003101B9"/>
    <w:rsid w:val="00310270"/>
    <w:rsid w:val="0031028F"/>
    <w:rsid w:val="003102C1"/>
    <w:rsid w:val="00310318"/>
    <w:rsid w:val="0031061D"/>
    <w:rsid w:val="00310657"/>
    <w:rsid w:val="003106DF"/>
    <w:rsid w:val="00310700"/>
    <w:rsid w:val="0031087D"/>
    <w:rsid w:val="003108EA"/>
    <w:rsid w:val="00310921"/>
    <w:rsid w:val="003109F3"/>
    <w:rsid w:val="003109FA"/>
    <w:rsid w:val="00310B73"/>
    <w:rsid w:val="00310C93"/>
    <w:rsid w:val="00310D2D"/>
    <w:rsid w:val="00310D55"/>
    <w:rsid w:val="00310DB4"/>
    <w:rsid w:val="00310DBD"/>
    <w:rsid w:val="00311036"/>
    <w:rsid w:val="003111D4"/>
    <w:rsid w:val="003111E4"/>
    <w:rsid w:val="003112C2"/>
    <w:rsid w:val="00311594"/>
    <w:rsid w:val="00311A3F"/>
    <w:rsid w:val="00311B10"/>
    <w:rsid w:val="00311B63"/>
    <w:rsid w:val="00311DA5"/>
    <w:rsid w:val="0031204A"/>
    <w:rsid w:val="0031207F"/>
    <w:rsid w:val="00312383"/>
    <w:rsid w:val="003123CC"/>
    <w:rsid w:val="00312507"/>
    <w:rsid w:val="00312522"/>
    <w:rsid w:val="0031283C"/>
    <w:rsid w:val="00312D92"/>
    <w:rsid w:val="00312E30"/>
    <w:rsid w:val="0031318B"/>
    <w:rsid w:val="00313428"/>
    <w:rsid w:val="00313501"/>
    <w:rsid w:val="0031353B"/>
    <w:rsid w:val="0031361D"/>
    <w:rsid w:val="0031368D"/>
    <w:rsid w:val="0031372C"/>
    <w:rsid w:val="003138E6"/>
    <w:rsid w:val="00313AE2"/>
    <w:rsid w:val="00313B3B"/>
    <w:rsid w:val="00313B3E"/>
    <w:rsid w:val="00313BC6"/>
    <w:rsid w:val="00313E28"/>
    <w:rsid w:val="00313F07"/>
    <w:rsid w:val="00313F17"/>
    <w:rsid w:val="0031415E"/>
    <w:rsid w:val="0031425E"/>
    <w:rsid w:val="0031438D"/>
    <w:rsid w:val="0031438E"/>
    <w:rsid w:val="0031445D"/>
    <w:rsid w:val="00314584"/>
    <w:rsid w:val="00314621"/>
    <w:rsid w:val="00314900"/>
    <w:rsid w:val="00314931"/>
    <w:rsid w:val="003149CD"/>
    <w:rsid w:val="00314B01"/>
    <w:rsid w:val="00314B89"/>
    <w:rsid w:val="00314C53"/>
    <w:rsid w:val="00314C75"/>
    <w:rsid w:val="00314DA5"/>
    <w:rsid w:val="00314E03"/>
    <w:rsid w:val="00314E6D"/>
    <w:rsid w:val="00314EC9"/>
    <w:rsid w:val="00315282"/>
    <w:rsid w:val="003152E4"/>
    <w:rsid w:val="003153FD"/>
    <w:rsid w:val="0031565E"/>
    <w:rsid w:val="003156B3"/>
    <w:rsid w:val="003156F2"/>
    <w:rsid w:val="0031574D"/>
    <w:rsid w:val="00315772"/>
    <w:rsid w:val="003157C1"/>
    <w:rsid w:val="0031580E"/>
    <w:rsid w:val="0031594F"/>
    <w:rsid w:val="00315966"/>
    <w:rsid w:val="0031599D"/>
    <w:rsid w:val="00315AD2"/>
    <w:rsid w:val="00315B21"/>
    <w:rsid w:val="00315D7E"/>
    <w:rsid w:val="00315E44"/>
    <w:rsid w:val="00315F1A"/>
    <w:rsid w:val="0031616D"/>
    <w:rsid w:val="00316376"/>
    <w:rsid w:val="0031637F"/>
    <w:rsid w:val="00316442"/>
    <w:rsid w:val="003164B7"/>
    <w:rsid w:val="00316651"/>
    <w:rsid w:val="00316726"/>
    <w:rsid w:val="003169D0"/>
    <w:rsid w:val="00316ADF"/>
    <w:rsid w:val="00316B97"/>
    <w:rsid w:val="00316BB3"/>
    <w:rsid w:val="00316D24"/>
    <w:rsid w:val="00316D6D"/>
    <w:rsid w:val="00316E2D"/>
    <w:rsid w:val="0031704D"/>
    <w:rsid w:val="003172C0"/>
    <w:rsid w:val="003172FC"/>
    <w:rsid w:val="00317395"/>
    <w:rsid w:val="00317418"/>
    <w:rsid w:val="003174DE"/>
    <w:rsid w:val="00317661"/>
    <w:rsid w:val="0031771F"/>
    <w:rsid w:val="00317924"/>
    <w:rsid w:val="00317AA4"/>
    <w:rsid w:val="00317AC5"/>
    <w:rsid w:val="00317C64"/>
    <w:rsid w:val="00317E42"/>
    <w:rsid w:val="00317F3F"/>
    <w:rsid w:val="003203E8"/>
    <w:rsid w:val="0032045A"/>
    <w:rsid w:val="003207C8"/>
    <w:rsid w:val="00320865"/>
    <w:rsid w:val="003208BA"/>
    <w:rsid w:val="00320A52"/>
    <w:rsid w:val="00320A5C"/>
    <w:rsid w:val="00320CEB"/>
    <w:rsid w:val="00320CEC"/>
    <w:rsid w:val="00320D61"/>
    <w:rsid w:val="00320DD3"/>
    <w:rsid w:val="003212C6"/>
    <w:rsid w:val="0032134C"/>
    <w:rsid w:val="00321372"/>
    <w:rsid w:val="00321497"/>
    <w:rsid w:val="003215E2"/>
    <w:rsid w:val="0032160A"/>
    <w:rsid w:val="00321678"/>
    <w:rsid w:val="003216F3"/>
    <w:rsid w:val="0032176F"/>
    <w:rsid w:val="003217A0"/>
    <w:rsid w:val="00321BA9"/>
    <w:rsid w:val="00321C5F"/>
    <w:rsid w:val="00321CBF"/>
    <w:rsid w:val="00321DB8"/>
    <w:rsid w:val="00321F37"/>
    <w:rsid w:val="00321F52"/>
    <w:rsid w:val="003220DF"/>
    <w:rsid w:val="003220EA"/>
    <w:rsid w:val="00322292"/>
    <w:rsid w:val="0032236B"/>
    <w:rsid w:val="00322449"/>
    <w:rsid w:val="003227EA"/>
    <w:rsid w:val="00322819"/>
    <w:rsid w:val="003228B4"/>
    <w:rsid w:val="003228CB"/>
    <w:rsid w:val="00322A78"/>
    <w:rsid w:val="00322B17"/>
    <w:rsid w:val="00322DF7"/>
    <w:rsid w:val="00322FFF"/>
    <w:rsid w:val="00323074"/>
    <w:rsid w:val="00323273"/>
    <w:rsid w:val="003232DD"/>
    <w:rsid w:val="00323368"/>
    <w:rsid w:val="003233A7"/>
    <w:rsid w:val="00323548"/>
    <w:rsid w:val="00323680"/>
    <w:rsid w:val="003239C1"/>
    <w:rsid w:val="00323ACD"/>
    <w:rsid w:val="00323B19"/>
    <w:rsid w:val="00323CA1"/>
    <w:rsid w:val="00323E3F"/>
    <w:rsid w:val="00323F07"/>
    <w:rsid w:val="00323FF2"/>
    <w:rsid w:val="003240F0"/>
    <w:rsid w:val="00324104"/>
    <w:rsid w:val="0032425D"/>
    <w:rsid w:val="00324327"/>
    <w:rsid w:val="00324367"/>
    <w:rsid w:val="0032443D"/>
    <w:rsid w:val="003245B7"/>
    <w:rsid w:val="0032460A"/>
    <w:rsid w:val="00324692"/>
    <w:rsid w:val="0032474F"/>
    <w:rsid w:val="0032497B"/>
    <w:rsid w:val="003249C3"/>
    <w:rsid w:val="00324A08"/>
    <w:rsid w:val="00324C1C"/>
    <w:rsid w:val="00324CDF"/>
    <w:rsid w:val="00324D9D"/>
    <w:rsid w:val="00324EDD"/>
    <w:rsid w:val="00325218"/>
    <w:rsid w:val="003253B5"/>
    <w:rsid w:val="003255A0"/>
    <w:rsid w:val="003257A0"/>
    <w:rsid w:val="00325D60"/>
    <w:rsid w:val="00325DFD"/>
    <w:rsid w:val="00325F6A"/>
    <w:rsid w:val="00325FDF"/>
    <w:rsid w:val="003260ED"/>
    <w:rsid w:val="003262F9"/>
    <w:rsid w:val="0032638D"/>
    <w:rsid w:val="00326481"/>
    <w:rsid w:val="003265E5"/>
    <w:rsid w:val="00326658"/>
    <w:rsid w:val="003268AF"/>
    <w:rsid w:val="003268DF"/>
    <w:rsid w:val="00326944"/>
    <w:rsid w:val="00326B1A"/>
    <w:rsid w:val="00326BF8"/>
    <w:rsid w:val="00326CF9"/>
    <w:rsid w:val="00326DB8"/>
    <w:rsid w:val="00326FFB"/>
    <w:rsid w:val="00327044"/>
    <w:rsid w:val="003270D0"/>
    <w:rsid w:val="0032739F"/>
    <w:rsid w:val="00327561"/>
    <w:rsid w:val="003275EB"/>
    <w:rsid w:val="00327781"/>
    <w:rsid w:val="00327856"/>
    <w:rsid w:val="0032797C"/>
    <w:rsid w:val="00327983"/>
    <w:rsid w:val="00327A13"/>
    <w:rsid w:val="00327A5C"/>
    <w:rsid w:val="00327A86"/>
    <w:rsid w:val="00327CEE"/>
    <w:rsid w:val="00327E2A"/>
    <w:rsid w:val="00327EE6"/>
    <w:rsid w:val="00327F50"/>
    <w:rsid w:val="00327F95"/>
    <w:rsid w:val="003300FC"/>
    <w:rsid w:val="0033011D"/>
    <w:rsid w:val="00330166"/>
    <w:rsid w:val="00330182"/>
    <w:rsid w:val="0033030C"/>
    <w:rsid w:val="003303B0"/>
    <w:rsid w:val="00330587"/>
    <w:rsid w:val="00330740"/>
    <w:rsid w:val="0033079D"/>
    <w:rsid w:val="003307CE"/>
    <w:rsid w:val="00330811"/>
    <w:rsid w:val="003308C7"/>
    <w:rsid w:val="003308CF"/>
    <w:rsid w:val="003308F6"/>
    <w:rsid w:val="00330A08"/>
    <w:rsid w:val="00330B3B"/>
    <w:rsid w:val="00330B53"/>
    <w:rsid w:val="00330F11"/>
    <w:rsid w:val="00330F1B"/>
    <w:rsid w:val="0033106A"/>
    <w:rsid w:val="00331097"/>
    <w:rsid w:val="003310F3"/>
    <w:rsid w:val="0033124B"/>
    <w:rsid w:val="003312E9"/>
    <w:rsid w:val="003317B4"/>
    <w:rsid w:val="0033191C"/>
    <w:rsid w:val="00331969"/>
    <w:rsid w:val="00331AF1"/>
    <w:rsid w:val="00331E6D"/>
    <w:rsid w:val="00331EB0"/>
    <w:rsid w:val="00331F86"/>
    <w:rsid w:val="00331FA4"/>
    <w:rsid w:val="00331FFA"/>
    <w:rsid w:val="00332316"/>
    <w:rsid w:val="00332397"/>
    <w:rsid w:val="003323DE"/>
    <w:rsid w:val="0033249E"/>
    <w:rsid w:val="003324C9"/>
    <w:rsid w:val="003325A0"/>
    <w:rsid w:val="003325DA"/>
    <w:rsid w:val="003325FE"/>
    <w:rsid w:val="0033269E"/>
    <w:rsid w:val="00332761"/>
    <w:rsid w:val="003327BC"/>
    <w:rsid w:val="00332899"/>
    <w:rsid w:val="003328DE"/>
    <w:rsid w:val="00332A21"/>
    <w:rsid w:val="00332D77"/>
    <w:rsid w:val="00332EAB"/>
    <w:rsid w:val="003333B0"/>
    <w:rsid w:val="003335E2"/>
    <w:rsid w:val="00333744"/>
    <w:rsid w:val="0033387E"/>
    <w:rsid w:val="003338BC"/>
    <w:rsid w:val="00333B84"/>
    <w:rsid w:val="00333EF4"/>
    <w:rsid w:val="003340C6"/>
    <w:rsid w:val="0033413B"/>
    <w:rsid w:val="00334323"/>
    <w:rsid w:val="003346D9"/>
    <w:rsid w:val="00334772"/>
    <w:rsid w:val="00334785"/>
    <w:rsid w:val="0033486F"/>
    <w:rsid w:val="00334A5A"/>
    <w:rsid w:val="00334AE2"/>
    <w:rsid w:val="00334E39"/>
    <w:rsid w:val="00334E91"/>
    <w:rsid w:val="00334EA3"/>
    <w:rsid w:val="00334F8B"/>
    <w:rsid w:val="00334FEF"/>
    <w:rsid w:val="00335035"/>
    <w:rsid w:val="00335725"/>
    <w:rsid w:val="0033575F"/>
    <w:rsid w:val="0033576F"/>
    <w:rsid w:val="00335827"/>
    <w:rsid w:val="0033584D"/>
    <w:rsid w:val="0033593A"/>
    <w:rsid w:val="00335969"/>
    <w:rsid w:val="0033596C"/>
    <w:rsid w:val="003359F6"/>
    <w:rsid w:val="00335A03"/>
    <w:rsid w:val="00335C5D"/>
    <w:rsid w:val="00336133"/>
    <w:rsid w:val="003361CB"/>
    <w:rsid w:val="00336290"/>
    <w:rsid w:val="003362B6"/>
    <w:rsid w:val="003362E5"/>
    <w:rsid w:val="00336543"/>
    <w:rsid w:val="003366BF"/>
    <w:rsid w:val="00336748"/>
    <w:rsid w:val="0033676D"/>
    <w:rsid w:val="00336949"/>
    <w:rsid w:val="003369DB"/>
    <w:rsid w:val="003369ED"/>
    <w:rsid w:val="00336AED"/>
    <w:rsid w:val="00336D16"/>
    <w:rsid w:val="00336E1F"/>
    <w:rsid w:val="00336E85"/>
    <w:rsid w:val="0033715E"/>
    <w:rsid w:val="0033725B"/>
    <w:rsid w:val="0033739C"/>
    <w:rsid w:val="00337427"/>
    <w:rsid w:val="003374B7"/>
    <w:rsid w:val="00337538"/>
    <w:rsid w:val="003375D3"/>
    <w:rsid w:val="003375D4"/>
    <w:rsid w:val="00337879"/>
    <w:rsid w:val="003379CF"/>
    <w:rsid w:val="00337A3C"/>
    <w:rsid w:val="00337B45"/>
    <w:rsid w:val="00337BDE"/>
    <w:rsid w:val="00337C2F"/>
    <w:rsid w:val="00337F66"/>
    <w:rsid w:val="00337F9A"/>
    <w:rsid w:val="00337FE2"/>
    <w:rsid w:val="003401CB"/>
    <w:rsid w:val="00340210"/>
    <w:rsid w:val="003402D8"/>
    <w:rsid w:val="003407DB"/>
    <w:rsid w:val="00340BB7"/>
    <w:rsid w:val="00340C5F"/>
    <w:rsid w:val="00341179"/>
    <w:rsid w:val="00341206"/>
    <w:rsid w:val="00341215"/>
    <w:rsid w:val="003412FC"/>
    <w:rsid w:val="00341377"/>
    <w:rsid w:val="0034137B"/>
    <w:rsid w:val="003413C3"/>
    <w:rsid w:val="00341762"/>
    <w:rsid w:val="00341785"/>
    <w:rsid w:val="003417CF"/>
    <w:rsid w:val="003419DD"/>
    <w:rsid w:val="00341A81"/>
    <w:rsid w:val="00341A85"/>
    <w:rsid w:val="00341C21"/>
    <w:rsid w:val="00341C28"/>
    <w:rsid w:val="00341C3B"/>
    <w:rsid w:val="00341C88"/>
    <w:rsid w:val="00341DE0"/>
    <w:rsid w:val="00341F51"/>
    <w:rsid w:val="00342101"/>
    <w:rsid w:val="0034214B"/>
    <w:rsid w:val="003421CD"/>
    <w:rsid w:val="00342207"/>
    <w:rsid w:val="00342227"/>
    <w:rsid w:val="003422D4"/>
    <w:rsid w:val="00342373"/>
    <w:rsid w:val="003427B5"/>
    <w:rsid w:val="003428A7"/>
    <w:rsid w:val="00342E2D"/>
    <w:rsid w:val="003431E7"/>
    <w:rsid w:val="0034320C"/>
    <w:rsid w:val="0034332B"/>
    <w:rsid w:val="003433B5"/>
    <w:rsid w:val="00343408"/>
    <w:rsid w:val="003434AB"/>
    <w:rsid w:val="00343544"/>
    <w:rsid w:val="003435D8"/>
    <w:rsid w:val="0034374B"/>
    <w:rsid w:val="00343874"/>
    <w:rsid w:val="0034395B"/>
    <w:rsid w:val="00343BE6"/>
    <w:rsid w:val="00344066"/>
    <w:rsid w:val="003441D3"/>
    <w:rsid w:val="003441FD"/>
    <w:rsid w:val="003442A3"/>
    <w:rsid w:val="003442F2"/>
    <w:rsid w:val="0034430A"/>
    <w:rsid w:val="00344339"/>
    <w:rsid w:val="003444B3"/>
    <w:rsid w:val="003446C2"/>
    <w:rsid w:val="00344703"/>
    <w:rsid w:val="0034481D"/>
    <w:rsid w:val="00344B62"/>
    <w:rsid w:val="00344C43"/>
    <w:rsid w:val="00344D5E"/>
    <w:rsid w:val="00344DFF"/>
    <w:rsid w:val="00344E8C"/>
    <w:rsid w:val="00344F3C"/>
    <w:rsid w:val="00344F6C"/>
    <w:rsid w:val="00344F93"/>
    <w:rsid w:val="00345051"/>
    <w:rsid w:val="00345080"/>
    <w:rsid w:val="003451F5"/>
    <w:rsid w:val="00345237"/>
    <w:rsid w:val="0034529B"/>
    <w:rsid w:val="0034537D"/>
    <w:rsid w:val="003453A2"/>
    <w:rsid w:val="00345656"/>
    <w:rsid w:val="003456A6"/>
    <w:rsid w:val="00345734"/>
    <w:rsid w:val="0034594E"/>
    <w:rsid w:val="00345A6B"/>
    <w:rsid w:val="00345AB8"/>
    <w:rsid w:val="00345BF7"/>
    <w:rsid w:val="00345E88"/>
    <w:rsid w:val="00345EC5"/>
    <w:rsid w:val="00345EFC"/>
    <w:rsid w:val="00345F7F"/>
    <w:rsid w:val="0034608D"/>
    <w:rsid w:val="003460D0"/>
    <w:rsid w:val="0034614E"/>
    <w:rsid w:val="00346368"/>
    <w:rsid w:val="003463F5"/>
    <w:rsid w:val="00346400"/>
    <w:rsid w:val="0034640E"/>
    <w:rsid w:val="00346425"/>
    <w:rsid w:val="0034649A"/>
    <w:rsid w:val="003469BB"/>
    <w:rsid w:val="00346A87"/>
    <w:rsid w:val="00346B6B"/>
    <w:rsid w:val="00346B72"/>
    <w:rsid w:val="00346C88"/>
    <w:rsid w:val="00346EEE"/>
    <w:rsid w:val="003472BB"/>
    <w:rsid w:val="00347360"/>
    <w:rsid w:val="00347687"/>
    <w:rsid w:val="003476AF"/>
    <w:rsid w:val="0034773F"/>
    <w:rsid w:val="0034783E"/>
    <w:rsid w:val="00347858"/>
    <w:rsid w:val="003478C4"/>
    <w:rsid w:val="003478ED"/>
    <w:rsid w:val="00347A6E"/>
    <w:rsid w:val="00347C32"/>
    <w:rsid w:val="00347C70"/>
    <w:rsid w:val="00347C7E"/>
    <w:rsid w:val="00347DD2"/>
    <w:rsid w:val="00347ED3"/>
    <w:rsid w:val="00347F2D"/>
    <w:rsid w:val="00347F95"/>
    <w:rsid w:val="0035005D"/>
    <w:rsid w:val="003500A7"/>
    <w:rsid w:val="003500CD"/>
    <w:rsid w:val="00350198"/>
    <w:rsid w:val="003502B9"/>
    <w:rsid w:val="00350310"/>
    <w:rsid w:val="003506C0"/>
    <w:rsid w:val="003506EF"/>
    <w:rsid w:val="00350858"/>
    <w:rsid w:val="003508A7"/>
    <w:rsid w:val="003509B3"/>
    <w:rsid w:val="00350A10"/>
    <w:rsid w:val="00350B9F"/>
    <w:rsid w:val="00350CAD"/>
    <w:rsid w:val="003511D4"/>
    <w:rsid w:val="003513AD"/>
    <w:rsid w:val="00351447"/>
    <w:rsid w:val="00351564"/>
    <w:rsid w:val="00351814"/>
    <w:rsid w:val="00351898"/>
    <w:rsid w:val="003519DF"/>
    <w:rsid w:val="00351AA3"/>
    <w:rsid w:val="00351B52"/>
    <w:rsid w:val="00351B58"/>
    <w:rsid w:val="00351B92"/>
    <w:rsid w:val="00351C2A"/>
    <w:rsid w:val="00351D38"/>
    <w:rsid w:val="00351FAB"/>
    <w:rsid w:val="00352180"/>
    <w:rsid w:val="00352362"/>
    <w:rsid w:val="00352415"/>
    <w:rsid w:val="0035265E"/>
    <w:rsid w:val="00352939"/>
    <w:rsid w:val="003529F7"/>
    <w:rsid w:val="00352AC9"/>
    <w:rsid w:val="00352B7D"/>
    <w:rsid w:val="00352BFF"/>
    <w:rsid w:val="00352C5F"/>
    <w:rsid w:val="00352D8E"/>
    <w:rsid w:val="00352E34"/>
    <w:rsid w:val="00352E75"/>
    <w:rsid w:val="00352F37"/>
    <w:rsid w:val="00352FE1"/>
    <w:rsid w:val="0035311F"/>
    <w:rsid w:val="0035327E"/>
    <w:rsid w:val="003532A3"/>
    <w:rsid w:val="00353389"/>
    <w:rsid w:val="0035345A"/>
    <w:rsid w:val="00353477"/>
    <w:rsid w:val="003534C7"/>
    <w:rsid w:val="003534F3"/>
    <w:rsid w:val="00353522"/>
    <w:rsid w:val="003535C2"/>
    <w:rsid w:val="00353A66"/>
    <w:rsid w:val="00353B69"/>
    <w:rsid w:val="00353B87"/>
    <w:rsid w:val="00353BB2"/>
    <w:rsid w:val="00353C7F"/>
    <w:rsid w:val="00353EAF"/>
    <w:rsid w:val="00353F1D"/>
    <w:rsid w:val="0035401A"/>
    <w:rsid w:val="003540FA"/>
    <w:rsid w:val="0035412D"/>
    <w:rsid w:val="00354300"/>
    <w:rsid w:val="003544B0"/>
    <w:rsid w:val="003545EF"/>
    <w:rsid w:val="0035481B"/>
    <w:rsid w:val="00354A84"/>
    <w:rsid w:val="00354B78"/>
    <w:rsid w:val="00354BE3"/>
    <w:rsid w:val="00354C92"/>
    <w:rsid w:val="00354EE2"/>
    <w:rsid w:val="00354F19"/>
    <w:rsid w:val="00354F1C"/>
    <w:rsid w:val="00354F42"/>
    <w:rsid w:val="00355054"/>
    <w:rsid w:val="003551EE"/>
    <w:rsid w:val="00355231"/>
    <w:rsid w:val="00355410"/>
    <w:rsid w:val="003554CD"/>
    <w:rsid w:val="00355513"/>
    <w:rsid w:val="003555A8"/>
    <w:rsid w:val="0035565A"/>
    <w:rsid w:val="00355681"/>
    <w:rsid w:val="00355752"/>
    <w:rsid w:val="0035580C"/>
    <w:rsid w:val="00355B05"/>
    <w:rsid w:val="00355B13"/>
    <w:rsid w:val="00355BD3"/>
    <w:rsid w:val="00355CF4"/>
    <w:rsid w:val="00355D48"/>
    <w:rsid w:val="00355E9D"/>
    <w:rsid w:val="00355EA3"/>
    <w:rsid w:val="00355ED8"/>
    <w:rsid w:val="00355F94"/>
    <w:rsid w:val="00356008"/>
    <w:rsid w:val="00356320"/>
    <w:rsid w:val="00356555"/>
    <w:rsid w:val="00356624"/>
    <w:rsid w:val="00356754"/>
    <w:rsid w:val="00356814"/>
    <w:rsid w:val="00356858"/>
    <w:rsid w:val="003568BB"/>
    <w:rsid w:val="00356973"/>
    <w:rsid w:val="00356980"/>
    <w:rsid w:val="00356A23"/>
    <w:rsid w:val="00356A45"/>
    <w:rsid w:val="00356B63"/>
    <w:rsid w:val="00356BD9"/>
    <w:rsid w:val="00356BEE"/>
    <w:rsid w:val="00356DAF"/>
    <w:rsid w:val="00356E4B"/>
    <w:rsid w:val="00356E75"/>
    <w:rsid w:val="00356EDA"/>
    <w:rsid w:val="00356EEE"/>
    <w:rsid w:val="00356F34"/>
    <w:rsid w:val="00357120"/>
    <w:rsid w:val="003571A7"/>
    <w:rsid w:val="00357203"/>
    <w:rsid w:val="003575C2"/>
    <w:rsid w:val="003575F6"/>
    <w:rsid w:val="00357661"/>
    <w:rsid w:val="003578A0"/>
    <w:rsid w:val="00357A43"/>
    <w:rsid w:val="00357B8A"/>
    <w:rsid w:val="00357DCB"/>
    <w:rsid w:val="00357EE7"/>
    <w:rsid w:val="00357EE8"/>
    <w:rsid w:val="00357F2C"/>
    <w:rsid w:val="0036001C"/>
    <w:rsid w:val="003600FA"/>
    <w:rsid w:val="0036017F"/>
    <w:rsid w:val="0036044A"/>
    <w:rsid w:val="00360701"/>
    <w:rsid w:val="00360854"/>
    <w:rsid w:val="00360947"/>
    <w:rsid w:val="00360980"/>
    <w:rsid w:val="003609EC"/>
    <w:rsid w:val="00360C42"/>
    <w:rsid w:val="00360CFD"/>
    <w:rsid w:val="00360D3F"/>
    <w:rsid w:val="00360EF7"/>
    <w:rsid w:val="00360FC1"/>
    <w:rsid w:val="003611FD"/>
    <w:rsid w:val="003614FB"/>
    <w:rsid w:val="0036164A"/>
    <w:rsid w:val="003616BF"/>
    <w:rsid w:val="003616D7"/>
    <w:rsid w:val="003616E1"/>
    <w:rsid w:val="00361822"/>
    <w:rsid w:val="00361919"/>
    <w:rsid w:val="00361B4B"/>
    <w:rsid w:val="00361B59"/>
    <w:rsid w:val="00361D35"/>
    <w:rsid w:val="00361E45"/>
    <w:rsid w:val="00361F4F"/>
    <w:rsid w:val="00362193"/>
    <w:rsid w:val="003622AC"/>
    <w:rsid w:val="0036240D"/>
    <w:rsid w:val="00362646"/>
    <w:rsid w:val="0036265E"/>
    <w:rsid w:val="003626D2"/>
    <w:rsid w:val="00362804"/>
    <w:rsid w:val="00362BD8"/>
    <w:rsid w:val="00362CBF"/>
    <w:rsid w:val="00362D6F"/>
    <w:rsid w:val="00362F16"/>
    <w:rsid w:val="00362F40"/>
    <w:rsid w:val="00362F49"/>
    <w:rsid w:val="0036314D"/>
    <w:rsid w:val="0036325B"/>
    <w:rsid w:val="003632B1"/>
    <w:rsid w:val="00363702"/>
    <w:rsid w:val="00363863"/>
    <w:rsid w:val="00363922"/>
    <w:rsid w:val="00363972"/>
    <w:rsid w:val="003639B5"/>
    <w:rsid w:val="00363A13"/>
    <w:rsid w:val="00363A88"/>
    <w:rsid w:val="00363F92"/>
    <w:rsid w:val="00364062"/>
    <w:rsid w:val="00364400"/>
    <w:rsid w:val="00364424"/>
    <w:rsid w:val="00364448"/>
    <w:rsid w:val="00364541"/>
    <w:rsid w:val="003645E2"/>
    <w:rsid w:val="003647B3"/>
    <w:rsid w:val="00364884"/>
    <w:rsid w:val="0036489E"/>
    <w:rsid w:val="003649E6"/>
    <w:rsid w:val="003649FB"/>
    <w:rsid w:val="00364A40"/>
    <w:rsid w:val="00364C1C"/>
    <w:rsid w:val="00364D26"/>
    <w:rsid w:val="00364DF8"/>
    <w:rsid w:val="00364E4D"/>
    <w:rsid w:val="00364E72"/>
    <w:rsid w:val="00364ED4"/>
    <w:rsid w:val="00364ED9"/>
    <w:rsid w:val="0036500E"/>
    <w:rsid w:val="0036501E"/>
    <w:rsid w:val="00365060"/>
    <w:rsid w:val="003650D3"/>
    <w:rsid w:val="003650D8"/>
    <w:rsid w:val="003650F1"/>
    <w:rsid w:val="003651BE"/>
    <w:rsid w:val="003651C2"/>
    <w:rsid w:val="00365490"/>
    <w:rsid w:val="0036550D"/>
    <w:rsid w:val="00365676"/>
    <w:rsid w:val="003656B0"/>
    <w:rsid w:val="003657A3"/>
    <w:rsid w:val="00365931"/>
    <w:rsid w:val="0036599E"/>
    <w:rsid w:val="00365B2D"/>
    <w:rsid w:val="00365C5E"/>
    <w:rsid w:val="00365CC0"/>
    <w:rsid w:val="00365D87"/>
    <w:rsid w:val="00365E20"/>
    <w:rsid w:val="00365F20"/>
    <w:rsid w:val="003660A5"/>
    <w:rsid w:val="003660A7"/>
    <w:rsid w:val="003661E9"/>
    <w:rsid w:val="003664A5"/>
    <w:rsid w:val="003666DC"/>
    <w:rsid w:val="0036692B"/>
    <w:rsid w:val="00366965"/>
    <w:rsid w:val="00366D83"/>
    <w:rsid w:val="00367165"/>
    <w:rsid w:val="003674F0"/>
    <w:rsid w:val="00367584"/>
    <w:rsid w:val="0036764D"/>
    <w:rsid w:val="003676BA"/>
    <w:rsid w:val="003676D7"/>
    <w:rsid w:val="003677F7"/>
    <w:rsid w:val="00367A0F"/>
    <w:rsid w:val="00367B9F"/>
    <w:rsid w:val="00367C24"/>
    <w:rsid w:val="00367C48"/>
    <w:rsid w:val="00367C6B"/>
    <w:rsid w:val="00367D15"/>
    <w:rsid w:val="00367EC2"/>
    <w:rsid w:val="00370362"/>
    <w:rsid w:val="00370488"/>
    <w:rsid w:val="00370535"/>
    <w:rsid w:val="00370573"/>
    <w:rsid w:val="003705AB"/>
    <w:rsid w:val="003705B7"/>
    <w:rsid w:val="0037062A"/>
    <w:rsid w:val="00370683"/>
    <w:rsid w:val="00370686"/>
    <w:rsid w:val="003706CF"/>
    <w:rsid w:val="00370936"/>
    <w:rsid w:val="00370ABA"/>
    <w:rsid w:val="00370AD8"/>
    <w:rsid w:val="00370B1C"/>
    <w:rsid w:val="00370D8A"/>
    <w:rsid w:val="00370DCE"/>
    <w:rsid w:val="00370E4B"/>
    <w:rsid w:val="00370FB8"/>
    <w:rsid w:val="003710BF"/>
    <w:rsid w:val="003710EB"/>
    <w:rsid w:val="003710F8"/>
    <w:rsid w:val="00371105"/>
    <w:rsid w:val="003711DC"/>
    <w:rsid w:val="003711E4"/>
    <w:rsid w:val="0037127C"/>
    <w:rsid w:val="00371290"/>
    <w:rsid w:val="00371296"/>
    <w:rsid w:val="003712F5"/>
    <w:rsid w:val="0037152A"/>
    <w:rsid w:val="00371582"/>
    <w:rsid w:val="003716DE"/>
    <w:rsid w:val="00371A5A"/>
    <w:rsid w:val="00371C79"/>
    <w:rsid w:val="00371D2A"/>
    <w:rsid w:val="00371FDA"/>
    <w:rsid w:val="00372045"/>
    <w:rsid w:val="00372108"/>
    <w:rsid w:val="00372221"/>
    <w:rsid w:val="0037227D"/>
    <w:rsid w:val="003722D4"/>
    <w:rsid w:val="003723A6"/>
    <w:rsid w:val="00372440"/>
    <w:rsid w:val="00372509"/>
    <w:rsid w:val="00372560"/>
    <w:rsid w:val="003725E9"/>
    <w:rsid w:val="003726E0"/>
    <w:rsid w:val="003726FB"/>
    <w:rsid w:val="0037271D"/>
    <w:rsid w:val="00372783"/>
    <w:rsid w:val="0037281B"/>
    <w:rsid w:val="0037291D"/>
    <w:rsid w:val="00372A42"/>
    <w:rsid w:val="00372B62"/>
    <w:rsid w:val="00372BBB"/>
    <w:rsid w:val="00372DF5"/>
    <w:rsid w:val="00372E52"/>
    <w:rsid w:val="00372F06"/>
    <w:rsid w:val="00372FC9"/>
    <w:rsid w:val="00373078"/>
    <w:rsid w:val="00373219"/>
    <w:rsid w:val="003732CE"/>
    <w:rsid w:val="0037335F"/>
    <w:rsid w:val="00373638"/>
    <w:rsid w:val="003736DD"/>
    <w:rsid w:val="003737C9"/>
    <w:rsid w:val="003738A8"/>
    <w:rsid w:val="0037394D"/>
    <w:rsid w:val="00373D8F"/>
    <w:rsid w:val="00373DCA"/>
    <w:rsid w:val="00373DF1"/>
    <w:rsid w:val="00373E29"/>
    <w:rsid w:val="003740A0"/>
    <w:rsid w:val="003741D4"/>
    <w:rsid w:val="003742CB"/>
    <w:rsid w:val="003743E9"/>
    <w:rsid w:val="003745BD"/>
    <w:rsid w:val="00374602"/>
    <w:rsid w:val="003746CF"/>
    <w:rsid w:val="00374816"/>
    <w:rsid w:val="00374860"/>
    <w:rsid w:val="003748A6"/>
    <w:rsid w:val="003748F6"/>
    <w:rsid w:val="00374910"/>
    <w:rsid w:val="00374D95"/>
    <w:rsid w:val="00375077"/>
    <w:rsid w:val="003750DC"/>
    <w:rsid w:val="003751CB"/>
    <w:rsid w:val="0037540D"/>
    <w:rsid w:val="00375492"/>
    <w:rsid w:val="003755C0"/>
    <w:rsid w:val="0037560B"/>
    <w:rsid w:val="003756DA"/>
    <w:rsid w:val="0037571E"/>
    <w:rsid w:val="003757FA"/>
    <w:rsid w:val="00375AAE"/>
    <w:rsid w:val="00375AB7"/>
    <w:rsid w:val="00375C63"/>
    <w:rsid w:val="00375D7E"/>
    <w:rsid w:val="00375DC2"/>
    <w:rsid w:val="00375E49"/>
    <w:rsid w:val="00375F75"/>
    <w:rsid w:val="00375FA1"/>
    <w:rsid w:val="00375FBA"/>
    <w:rsid w:val="00376205"/>
    <w:rsid w:val="00376274"/>
    <w:rsid w:val="00376330"/>
    <w:rsid w:val="00376484"/>
    <w:rsid w:val="00376693"/>
    <w:rsid w:val="00376747"/>
    <w:rsid w:val="003769FD"/>
    <w:rsid w:val="00376A04"/>
    <w:rsid w:val="00376A91"/>
    <w:rsid w:val="00376AE8"/>
    <w:rsid w:val="00376BEA"/>
    <w:rsid w:val="00376BEF"/>
    <w:rsid w:val="00376D85"/>
    <w:rsid w:val="00376FB4"/>
    <w:rsid w:val="00377058"/>
    <w:rsid w:val="003770D1"/>
    <w:rsid w:val="00377179"/>
    <w:rsid w:val="00377215"/>
    <w:rsid w:val="00377340"/>
    <w:rsid w:val="003773EB"/>
    <w:rsid w:val="00377522"/>
    <w:rsid w:val="00377551"/>
    <w:rsid w:val="00377714"/>
    <w:rsid w:val="00377719"/>
    <w:rsid w:val="00377814"/>
    <w:rsid w:val="00377927"/>
    <w:rsid w:val="00377ABD"/>
    <w:rsid w:val="00377E42"/>
    <w:rsid w:val="00377E70"/>
    <w:rsid w:val="0038016B"/>
    <w:rsid w:val="003803AD"/>
    <w:rsid w:val="003803F3"/>
    <w:rsid w:val="0038051F"/>
    <w:rsid w:val="003805C3"/>
    <w:rsid w:val="00380755"/>
    <w:rsid w:val="00380A56"/>
    <w:rsid w:val="00380AC1"/>
    <w:rsid w:val="00380CB2"/>
    <w:rsid w:val="00380CB9"/>
    <w:rsid w:val="00380CDC"/>
    <w:rsid w:val="00380DD4"/>
    <w:rsid w:val="00380F09"/>
    <w:rsid w:val="00380FBD"/>
    <w:rsid w:val="00380FD6"/>
    <w:rsid w:val="00380FDC"/>
    <w:rsid w:val="003811F7"/>
    <w:rsid w:val="00381401"/>
    <w:rsid w:val="0038143E"/>
    <w:rsid w:val="003814FA"/>
    <w:rsid w:val="0038156D"/>
    <w:rsid w:val="0038166B"/>
    <w:rsid w:val="00381759"/>
    <w:rsid w:val="003817BB"/>
    <w:rsid w:val="003818E6"/>
    <w:rsid w:val="003819F8"/>
    <w:rsid w:val="00381A02"/>
    <w:rsid w:val="00381A3A"/>
    <w:rsid w:val="00381A8F"/>
    <w:rsid w:val="00381B7B"/>
    <w:rsid w:val="00381D29"/>
    <w:rsid w:val="00381EE0"/>
    <w:rsid w:val="003820EC"/>
    <w:rsid w:val="0038217F"/>
    <w:rsid w:val="003821A8"/>
    <w:rsid w:val="00382351"/>
    <w:rsid w:val="003825A0"/>
    <w:rsid w:val="00382617"/>
    <w:rsid w:val="00382648"/>
    <w:rsid w:val="00382658"/>
    <w:rsid w:val="003826C3"/>
    <w:rsid w:val="0038272F"/>
    <w:rsid w:val="003827BC"/>
    <w:rsid w:val="0038293B"/>
    <w:rsid w:val="00382940"/>
    <w:rsid w:val="003829B1"/>
    <w:rsid w:val="00382A03"/>
    <w:rsid w:val="00382A0B"/>
    <w:rsid w:val="00382BF9"/>
    <w:rsid w:val="00382E3D"/>
    <w:rsid w:val="00382F6E"/>
    <w:rsid w:val="00382F7B"/>
    <w:rsid w:val="003832AC"/>
    <w:rsid w:val="003832AE"/>
    <w:rsid w:val="0038335A"/>
    <w:rsid w:val="0038358B"/>
    <w:rsid w:val="00383648"/>
    <w:rsid w:val="0038366C"/>
    <w:rsid w:val="003836BA"/>
    <w:rsid w:val="00383751"/>
    <w:rsid w:val="00383861"/>
    <w:rsid w:val="00383989"/>
    <w:rsid w:val="00383B85"/>
    <w:rsid w:val="00383DE5"/>
    <w:rsid w:val="00383E3E"/>
    <w:rsid w:val="00383EDD"/>
    <w:rsid w:val="00383EEF"/>
    <w:rsid w:val="00383F17"/>
    <w:rsid w:val="00384918"/>
    <w:rsid w:val="00384957"/>
    <w:rsid w:val="003849B8"/>
    <w:rsid w:val="00384A2E"/>
    <w:rsid w:val="00384B17"/>
    <w:rsid w:val="00384CF0"/>
    <w:rsid w:val="00384D1A"/>
    <w:rsid w:val="00384E8A"/>
    <w:rsid w:val="00384F2C"/>
    <w:rsid w:val="003853EB"/>
    <w:rsid w:val="0038550C"/>
    <w:rsid w:val="003855DB"/>
    <w:rsid w:val="00385633"/>
    <w:rsid w:val="0038564C"/>
    <w:rsid w:val="003856C8"/>
    <w:rsid w:val="003856E4"/>
    <w:rsid w:val="0038570F"/>
    <w:rsid w:val="00385738"/>
    <w:rsid w:val="00385844"/>
    <w:rsid w:val="00385869"/>
    <w:rsid w:val="0038586F"/>
    <w:rsid w:val="00385929"/>
    <w:rsid w:val="00385C6D"/>
    <w:rsid w:val="00385CF0"/>
    <w:rsid w:val="00385D4F"/>
    <w:rsid w:val="00385E26"/>
    <w:rsid w:val="00385E47"/>
    <w:rsid w:val="00386055"/>
    <w:rsid w:val="00386065"/>
    <w:rsid w:val="003860CA"/>
    <w:rsid w:val="00386166"/>
    <w:rsid w:val="003863D9"/>
    <w:rsid w:val="0038640E"/>
    <w:rsid w:val="0038688E"/>
    <w:rsid w:val="00386B87"/>
    <w:rsid w:val="00386B8A"/>
    <w:rsid w:val="00386C81"/>
    <w:rsid w:val="00386CAA"/>
    <w:rsid w:val="00386CCB"/>
    <w:rsid w:val="00386FA5"/>
    <w:rsid w:val="003870EB"/>
    <w:rsid w:val="00387199"/>
    <w:rsid w:val="003871FF"/>
    <w:rsid w:val="0038728E"/>
    <w:rsid w:val="0038735F"/>
    <w:rsid w:val="0038758D"/>
    <w:rsid w:val="00387789"/>
    <w:rsid w:val="003877A0"/>
    <w:rsid w:val="003877F4"/>
    <w:rsid w:val="003877F8"/>
    <w:rsid w:val="00387873"/>
    <w:rsid w:val="003878C7"/>
    <w:rsid w:val="00387931"/>
    <w:rsid w:val="00387945"/>
    <w:rsid w:val="00387D4D"/>
    <w:rsid w:val="00387DA1"/>
    <w:rsid w:val="00387EAD"/>
    <w:rsid w:val="00387F6D"/>
    <w:rsid w:val="00387FCA"/>
    <w:rsid w:val="00390066"/>
    <w:rsid w:val="003900F6"/>
    <w:rsid w:val="003902F2"/>
    <w:rsid w:val="00390601"/>
    <w:rsid w:val="0039063D"/>
    <w:rsid w:val="00390677"/>
    <w:rsid w:val="0039079B"/>
    <w:rsid w:val="00390BF7"/>
    <w:rsid w:val="00390C02"/>
    <w:rsid w:val="00390C09"/>
    <w:rsid w:val="00390C35"/>
    <w:rsid w:val="00390D73"/>
    <w:rsid w:val="00390DE6"/>
    <w:rsid w:val="00390F76"/>
    <w:rsid w:val="00390FFD"/>
    <w:rsid w:val="0039102F"/>
    <w:rsid w:val="003910D9"/>
    <w:rsid w:val="003910EF"/>
    <w:rsid w:val="003912EE"/>
    <w:rsid w:val="00391596"/>
    <w:rsid w:val="003915E7"/>
    <w:rsid w:val="00391753"/>
    <w:rsid w:val="00391774"/>
    <w:rsid w:val="003917EF"/>
    <w:rsid w:val="00391AA8"/>
    <w:rsid w:val="00391AD2"/>
    <w:rsid w:val="00391EA7"/>
    <w:rsid w:val="00391FB2"/>
    <w:rsid w:val="00391FDF"/>
    <w:rsid w:val="003924BA"/>
    <w:rsid w:val="003924C1"/>
    <w:rsid w:val="00392683"/>
    <w:rsid w:val="00392687"/>
    <w:rsid w:val="0039295F"/>
    <w:rsid w:val="0039297B"/>
    <w:rsid w:val="00392B16"/>
    <w:rsid w:val="00392C5C"/>
    <w:rsid w:val="00392D2B"/>
    <w:rsid w:val="00392EF3"/>
    <w:rsid w:val="00392F57"/>
    <w:rsid w:val="0039314C"/>
    <w:rsid w:val="00393347"/>
    <w:rsid w:val="003933B6"/>
    <w:rsid w:val="003933B9"/>
    <w:rsid w:val="00393467"/>
    <w:rsid w:val="00393509"/>
    <w:rsid w:val="00393522"/>
    <w:rsid w:val="00393741"/>
    <w:rsid w:val="00393768"/>
    <w:rsid w:val="003937B4"/>
    <w:rsid w:val="003938EB"/>
    <w:rsid w:val="00393990"/>
    <w:rsid w:val="003939E7"/>
    <w:rsid w:val="00393A6C"/>
    <w:rsid w:val="00393B30"/>
    <w:rsid w:val="00393BDF"/>
    <w:rsid w:val="00393CC7"/>
    <w:rsid w:val="00393E0C"/>
    <w:rsid w:val="00393FDA"/>
    <w:rsid w:val="003940D9"/>
    <w:rsid w:val="003941E8"/>
    <w:rsid w:val="003943F5"/>
    <w:rsid w:val="003946BF"/>
    <w:rsid w:val="0039488F"/>
    <w:rsid w:val="00394895"/>
    <w:rsid w:val="0039496B"/>
    <w:rsid w:val="00394A83"/>
    <w:rsid w:val="00394D96"/>
    <w:rsid w:val="00394DA3"/>
    <w:rsid w:val="00395298"/>
    <w:rsid w:val="003954DD"/>
    <w:rsid w:val="00395505"/>
    <w:rsid w:val="003958D5"/>
    <w:rsid w:val="00395961"/>
    <w:rsid w:val="00395973"/>
    <w:rsid w:val="003959D9"/>
    <w:rsid w:val="00395A2B"/>
    <w:rsid w:val="00395A9A"/>
    <w:rsid w:val="00395C96"/>
    <w:rsid w:val="00395F8E"/>
    <w:rsid w:val="003960E4"/>
    <w:rsid w:val="0039615B"/>
    <w:rsid w:val="00396198"/>
    <w:rsid w:val="0039644C"/>
    <w:rsid w:val="00396488"/>
    <w:rsid w:val="00396627"/>
    <w:rsid w:val="0039686A"/>
    <w:rsid w:val="00396A89"/>
    <w:rsid w:val="00396C5E"/>
    <w:rsid w:val="00397058"/>
    <w:rsid w:val="00397272"/>
    <w:rsid w:val="003974DB"/>
    <w:rsid w:val="003975CF"/>
    <w:rsid w:val="00397847"/>
    <w:rsid w:val="00397958"/>
    <w:rsid w:val="003979B8"/>
    <w:rsid w:val="00397B88"/>
    <w:rsid w:val="00397C64"/>
    <w:rsid w:val="00397CA2"/>
    <w:rsid w:val="00397D2D"/>
    <w:rsid w:val="00397D32"/>
    <w:rsid w:val="00397EFF"/>
    <w:rsid w:val="003A0048"/>
    <w:rsid w:val="003A00A5"/>
    <w:rsid w:val="003A01B6"/>
    <w:rsid w:val="003A01D5"/>
    <w:rsid w:val="003A0235"/>
    <w:rsid w:val="003A02D1"/>
    <w:rsid w:val="003A06E8"/>
    <w:rsid w:val="003A0942"/>
    <w:rsid w:val="003A0A6C"/>
    <w:rsid w:val="003A0CC4"/>
    <w:rsid w:val="003A0E13"/>
    <w:rsid w:val="003A0F7D"/>
    <w:rsid w:val="003A1022"/>
    <w:rsid w:val="003A1323"/>
    <w:rsid w:val="003A1327"/>
    <w:rsid w:val="003A13DD"/>
    <w:rsid w:val="003A14D8"/>
    <w:rsid w:val="003A1760"/>
    <w:rsid w:val="003A179C"/>
    <w:rsid w:val="003A17D8"/>
    <w:rsid w:val="003A18BF"/>
    <w:rsid w:val="003A18FB"/>
    <w:rsid w:val="003A1935"/>
    <w:rsid w:val="003A19B8"/>
    <w:rsid w:val="003A19BE"/>
    <w:rsid w:val="003A1B02"/>
    <w:rsid w:val="003A1B8F"/>
    <w:rsid w:val="003A1D25"/>
    <w:rsid w:val="003A1D5B"/>
    <w:rsid w:val="003A1D6F"/>
    <w:rsid w:val="003A1DF2"/>
    <w:rsid w:val="003A1E8C"/>
    <w:rsid w:val="003A1EB3"/>
    <w:rsid w:val="003A1EF4"/>
    <w:rsid w:val="003A1F8B"/>
    <w:rsid w:val="003A204C"/>
    <w:rsid w:val="003A2103"/>
    <w:rsid w:val="003A2114"/>
    <w:rsid w:val="003A21E4"/>
    <w:rsid w:val="003A2330"/>
    <w:rsid w:val="003A2534"/>
    <w:rsid w:val="003A253F"/>
    <w:rsid w:val="003A2681"/>
    <w:rsid w:val="003A26F6"/>
    <w:rsid w:val="003A271E"/>
    <w:rsid w:val="003A278C"/>
    <w:rsid w:val="003A2874"/>
    <w:rsid w:val="003A2ABD"/>
    <w:rsid w:val="003A2B0B"/>
    <w:rsid w:val="003A2B1E"/>
    <w:rsid w:val="003A2C54"/>
    <w:rsid w:val="003A2D39"/>
    <w:rsid w:val="003A2D7E"/>
    <w:rsid w:val="003A2E14"/>
    <w:rsid w:val="003A2EDF"/>
    <w:rsid w:val="003A2F2E"/>
    <w:rsid w:val="003A3050"/>
    <w:rsid w:val="003A3082"/>
    <w:rsid w:val="003A30BC"/>
    <w:rsid w:val="003A3164"/>
    <w:rsid w:val="003A3204"/>
    <w:rsid w:val="003A3494"/>
    <w:rsid w:val="003A376E"/>
    <w:rsid w:val="003A38D2"/>
    <w:rsid w:val="003A3A21"/>
    <w:rsid w:val="003A3AC2"/>
    <w:rsid w:val="003A4215"/>
    <w:rsid w:val="003A429C"/>
    <w:rsid w:val="003A4360"/>
    <w:rsid w:val="003A44EC"/>
    <w:rsid w:val="003A4A25"/>
    <w:rsid w:val="003A4AB0"/>
    <w:rsid w:val="003A4CCB"/>
    <w:rsid w:val="003A4D20"/>
    <w:rsid w:val="003A4DC6"/>
    <w:rsid w:val="003A4DD6"/>
    <w:rsid w:val="003A4E28"/>
    <w:rsid w:val="003A509D"/>
    <w:rsid w:val="003A50F7"/>
    <w:rsid w:val="003A5163"/>
    <w:rsid w:val="003A51D6"/>
    <w:rsid w:val="003A532E"/>
    <w:rsid w:val="003A53B0"/>
    <w:rsid w:val="003A53E8"/>
    <w:rsid w:val="003A548E"/>
    <w:rsid w:val="003A5743"/>
    <w:rsid w:val="003A5889"/>
    <w:rsid w:val="003A593F"/>
    <w:rsid w:val="003A5C70"/>
    <w:rsid w:val="003A5CC6"/>
    <w:rsid w:val="003A5CF1"/>
    <w:rsid w:val="003A5D20"/>
    <w:rsid w:val="003A5FDC"/>
    <w:rsid w:val="003A5FDF"/>
    <w:rsid w:val="003A610E"/>
    <w:rsid w:val="003A6283"/>
    <w:rsid w:val="003A6568"/>
    <w:rsid w:val="003A65F5"/>
    <w:rsid w:val="003A6679"/>
    <w:rsid w:val="003A685C"/>
    <w:rsid w:val="003A688B"/>
    <w:rsid w:val="003A6890"/>
    <w:rsid w:val="003A6A14"/>
    <w:rsid w:val="003A6B9E"/>
    <w:rsid w:val="003A6D1E"/>
    <w:rsid w:val="003A6FBE"/>
    <w:rsid w:val="003A7056"/>
    <w:rsid w:val="003A70E9"/>
    <w:rsid w:val="003A7236"/>
    <w:rsid w:val="003A7330"/>
    <w:rsid w:val="003A75EA"/>
    <w:rsid w:val="003A7712"/>
    <w:rsid w:val="003A7771"/>
    <w:rsid w:val="003A7867"/>
    <w:rsid w:val="003A78C5"/>
    <w:rsid w:val="003A78F6"/>
    <w:rsid w:val="003A79C7"/>
    <w:rsid w:val="003A7A4E"/>
    <w:rsid w:val="003A7AEF"/>
    <w:rsid w:val="003A7B3B"/>
    <w:rsid w:val="003A7BB1"/>
    <w:rsid w:val="003A7CEB"/>
    <w:rsid w:val="003A7D28"/>
    <w:rsid w:val="003A7DD9"/>
    <w:rsid w:val="003A7E5E"/>
    <w:rsid w:val="003A7EE6"/>
    <w:rsid w:val="003A7EFC"/>
    <w:rsid w:val="003A7FF2"/>
    <w:rsid w:val="003B0009"/>
    <w:rsid w:val="003B011E"/>
    <w:rsid w:val="003B01DA"/>
    <w:rsid w:val="003B045D"/>
    <w:rsid w:val="003B0487"/>
    <w:rsid w:val="003B05BF"/>
    <w:rsid w:val="003B0710"/>
    <w:rsid w:val="003B0735"/>
    <w:rsid w:val="003B07CE"/>
    <w:rsid w:val="003B096F"/>
    <w:rsid w:val="003B0D03"/>
    <w:rsid w:val="003B0E1F"/>
    <w:rsid w:val="003B114A"/>
    <w:rsid w:val="003B12A4"/>
    <w:rsid w:val="003B14C4"/>
    <w:rsid w:val="003B1534"/>
    <w:rsid w:val="003B1637"/>
    <w:rsid w:val="003B173C"/>
    <w:rsid w:val="003B189D"/>
    <w:rsid w:val="003B18C4"/>
    <w:rsid w:val="003B19F3"/>
    <w:rsid w:val="003B19F6"/>
    <w:rsid w:val="003B1BD3"/>
    <w:rsid w:val="003B1D5C"/>
    <w:rsid w:val="003B1D71"/>
    <w:rsid w:val="003B1E87"/>
    <w:rsid w:val="003B1EBA"/>
    <w:rsid w:val="003B2268"/>
    <w:rsid w:val="003B2393"/>
    <w:rsid w:val="003B23BC"/>
    <w:rsid w:val="003B23D3"/>
    <w:rsid w:val="003B24AF"/>
    <w:rsid w:val="003B2621"/>
    <w:rsid w:val="003B276A"/>
    <w:rsid w:val="003B27DE"/>
    <w:rsid w:val="003B2850"/>
    <w:rsid w:val="003B28C9"/>
    <w:rsid w:val="003B2FFC"/>
    <w:rsid w:val="003B3153"/>
    <w:rsid w:val="003B323C"/>
    <w:rsid w:val="003B3241"/>
    <w:rsid w:val="003B331A"/>
    <w:rsid w:val="003B3644"/>
    <w:rsid w:val="003B3670"/>
    <w:rsid w:val="003B380B"/>
    <w:rsid w:val="003B3A19"/>
    <w:rsid w:val="003B3C4F"/>
    <w:rsid w:val="003B3DE6"/>
    <w:rsid w:val="003B3F73"/>
    <w:rsid w:val="003B3FD1"/>
    <w:rsid w:val="003B3FF4"/>
    <w:rsid w:val="003B4008"/>
    <w:rsid w:val="003B41FF"/>
    <w:rsid w:val="003B42BA"/>
    <w:rsid w:val="003B4372"/>
    <w:rsid w:val="003B4404"/>
    <w:rsid w:val="003B44FF"/>
    <w:rsid w:val="003B463B"/>
    <w:rsid w:val="003B4670"/>
    <w:rsid w:val="003B4673"/>
    <w:rsid w:val="003B46CF"/>
    <w:rsid w:val="003B4768"/>
    <w:rsid w:val="003B4BB3"/>
    <w:rsid w:val="003B4BC6"/>
    <w:rsid w:val="003B4D3F"/>
    <w:rsid w:val="003B4E5A"/>
    <w:rsid w:val="003B4EF9"/>
    <w:rsid w:val="003B4F23"/>
    <w:rsid w:val="003B5457"/>
    <w:rsid w:val="003B54A8"/>
    <w:rsid w:val="003B5525"/>
    <w:rsid w:val="003B561B"/>
    <w:rsid w:val="003B56A6"/>
    <w:rsid w:val="003B573A"/>
    <w:rsid w:val="003B5855"/>
    <w:rsid w:val="003B5888"/>
    <w:rsid w:val="003B5901"/>
    <w:rsid w:val="003B5969"/>
    <w:rsid w:val="003B5985"/>
    <w:rsid w:val="003B5B1D"/>
    <w:rsid w:val="003B5B63"/>
    <w:rsid w:val="003B5C25"/>
    <w:rsid w:val="003B5C87"/>
    <w:rsid w:val="003B5C8C"/>
    <w:rsid w:val="003B5FB8"/>
    <w:rsid w:val="003B604F"/>
    <w:rsid w:val="003B61E4"/>
    <w:rsid w:val="003B63C8"/>
    <w:rsid w:val="003B65A3"/>
    <w:rsid w:val="003B67FC"/>
    <w:rsid w:val="003B6881"/>
    <w:rsid w:val="003B69D6"/>
    <w:rsid w:val="003B6B79"/>
    <w:rsid w:val="003B6C58"/>
    <w:rsid w:val="003B6D59"/>
    <w:rsid w:val="003B6D7A"/>
    <w:rsid w:val="003B6E36"/>
    <w:rsid w:val="003B6E63"/>
    <w:rsid w:val="003B6F07"/>
    <w:rsid w:val="003B6FFC"/>
    <w:rsid w:val="003B7154"/>
    <w:rsid w:val="003B73F5"/>
    <w:rsid w:val="003B745C"/>
    <w:rsid w:val="003B7480"/>
    <w:rsid w:val="003B750C"/>
    <w:rsid w:val="003B7642"/>
    <w:rsid w:val="003B76E0"/>
    <w:rsid w:val="003B7736"/>
    <w:rsid w:val="003B77BB"/>
    <w:rsid w:val="003B7817"/>
    <w:rsid w:val="003B7883"/>
    <w:rsid w:val="003B79CC"/>
    <w:rsid w:val="003B7BC6"/>
    <w:rsid w:val="003B7CFE"/>
    <w:rsid w:val="003B7DBB"/>
    <w:rsid w:val="003B7DC4"/>
    <w:rsid w:val="003B7F6C"/>
    <w:rsid w:val="003B7FCD"/>
    <w:rsid w:val="003C00A8"/>
    <w:rsid w:val="003C00AB"/>
    <w:rsid w:val="003C00E5"/>
    <w:rsid w:val="003C01A8"/>
    <w:rsid w:val="003C0371"/>
    <w:rsid w:val="003C04BD"/>
    <w:rsid w:val="003C04E3"/>
    <w:rsid w:val="003C0798"/>
    <w:rsid w:val="003C07FF"/>
    <w:rsid w:val="003C086F"/>
    <w:rsid w:val="003C08BE"/>
    <w:rsid w:val="003C0981"/>
    <w:rsid w:val="003C0A01"/>
    <w:rsid w:val="003C0B23"/>
    <w:rsid w:val="003C0B29"/>
    <w:rsid w:val="003C0B35"/>
    <w:rsid w:val="003C0BBE"/>
    <w:rsid w:val="003C0C55"/>
    <w:rsid w:val="003C0D11"/>
    <w:rsid w:val="003C1019"/>
    <w:rsid w:val="003C116D"/>
    <w:rsid w:val="003C1191"/>
    <w:rsid w:val="003C1580"/>
    <w:rsid w:val="003C1602"/>
    <w:rsid w:val="003C1CA4"/>
    <w:rsid w:val="003C2470"/>
    <w:rsid w:val="003C24E7"/>
    <w:rsid w:val="003C26BD"/>
    <w:rsid w:val="003C272B"/>
    <w:rsid w:val="003C2759"/>
    <w:rsid w:val="003C2973"/>
    <w:rsid w:val="003C29DF"/>
    <w:rsid w:val="003C29EE"/>
    <w:rsid w:val="003C2BBC"/>
    <w:rsid w:val="003C2CEB"/>
    <w:rsid w:val="003C2D95"/>
    <w:rsid w:val="003C2DBD"/>
    <w:rsid w:val="003C2E75"/>
    <w:rsid w:val="003C2E8E"/>
    <w:rsid w:val="003C2F72"/>
    <w:rsid w:val="003C3070"/>
    <w:rsid w:val="003C31DD"/>
    <w:rsid w:val="003C32AA"/>
    <w:rsid w:val="003C32F1"/>
    <w:rsid w:val="003C3366"/>
    <w:rsid w:val="003C348C"/>
    <w:rsid w:val="003C34CC"/>
    <w:rsid w:val="003C357E"/>
    <w:rsid w:val="003C3651"/>
    <w:rsid w:val="003C3657"/>
    <w:rsid w:val="003C36C1"/>
    <w:rsid w:val="003C3767"/>
    <w:rsid w:val="003C38CA"/>
    <w:rsid w:val="003C3A24"/>
    <w:rsid w:val="003C3B45"/>
    <w:rsid w:val="003C3C59"/>
    <w:rsid w:val="003C3DB7"/>
    <w:rsid w:val="003C3EF4"/>
    <w:rsid w:val="003C3FE8"/>
    <w:rsid w:val="003C404C"/>
    <w:rsid w:val="003C40CF"/>
    <w:rsid w:val="003C4143"/>
    <w:rsid w:val="003C456C"/>
    <w:rsid w:val="003C45D5"/>
    <w:rsid w:val="003C4675"/>
    <w:rsid w:val="003C48FB"/>
    <w:rsid w:val="003C4B14"/>
    <w:rsid w:val="003C4BF3"/>
    <w:rsid w:val="003C4C79"/>
    <w:rsid w:val="003C4CBD"/>
    <w:rsid w:val="003C4E30"/>
    <w:rsid w:val="003C4EE0"/>
    <w:rsid w:val="003C5007"/>
    <w:rsid w:val="003C5041"/>
    <w:rsid w:val="003C5623"/>
    <w:rsid w:val="003C5A1A"/>
    <w:rsid w:val="003C5B2B"/>
    <w:rsid w:val="003C5C78"/>
    <w:rsid w:val="003C601F"/>
    <w:rsid w:val="003C6076"/>
    <w:rsid w:val="003C61D2"/>
    <w:rsid w:val="003C625C"/>
    <w:rsid w:val="003C6646"/>
    <w:rsid w:val="003C6668"/>
    <w:rsid w:val="003C66FF"/>
    <w:rsid w:val="003C6816"/>
    <w:rsid w:val="003C6901"/>
    <w:rsid w:val="003C6987"/>
    <w:rsid w:val="003C6CD8"/>
    <w:rsid w:val="003C6DF5"/>
    <w:rsid w:val="003C6E3F"/>
    <w:rsid w:val="003C6EE5"/>
    <w:rsid w:val="003C6FC9"/>
    <w:rsid w:val="003C6FD6"/>
    <w:rsid w:val="003C719F"/>
    <w:rsid w:val="003C726D"/>
    <w:rsid w:val="003C7296"/>
    <w:rsid w:val="003C738D"/>
    <w:rsid w:val="003C73FB"/>
    <w:rsid w:val="003C7505"/>
    <w:rsid w:val="003C75F8"/>
    <w:rsid w:val="003C77D8"/>
    <w:rsid w:val="003C7819"/>
    <w:rsid w:val="003C7BAE"/>
    <w:rsid w:val="003C7E7A"/>
    <w:rsid w:val="003C7EA7"/>
    <w:rsid w:val="003D01C0"/>
    <w:rsid w:val="003D04F2"/>
    <w:rsid w:val="003D0506"/>
    <w:rsid w:val="003D0660"/>
    <w:rsid w:val="003D06BA"/>
    <w:rsid w:val="003D07B4"/>
    <w:rsid w:val="003D0854"/>
    <w:rsid w:val="003D0863"/>
    <w:rsid w:val="003D0875"/>
    <w:rsid w:val="003D08C3"/>
    <w:rsid w:val="003D09ED"/>
    <w:rsid w:val="003D0B61"/>
    <w:rsid w:val="003D0CC2"/>
    <w:rsid w:val="003D0CFB"/>
    <w:rsid w:val="003D0F2C"/>
    <w:rsid w:val="003D107A"/>
    <w:rsid w:val="003D10D1"/>
    <w:rsid w:val="003D1146"/>
    <w:rsid w:val="003D12E1"/>
    <w:rsid w:val="003D1312"/>
    <w:rsid w:val="003D1317"/>
    <w:rsid w:val="003D13F2"/>
    <w:rsid w:val="003D15C8"/>
    <w:rsid w:val="003D1A13"/>
    <w:rsid w:val="003D1B20"/>
    <w:rsid w:val="003D1B3E"/>
    <w:rsid w:val="003D1B5E"/>
    <w:rsid w:val="003D1D34"/>
    <w:rsid w:val="003D1D5D"/>
    <w:rsid w:val="003D1E9F"/>
    <w:rsid w:val="003D1F78"/>
    <w:rsid w:val="003D1F98"/>
    <w:rsid w:val="003D1FD8"/>
    <w:rsid w:val="003D2418"/>
    <w:rsid w:val="003D24F6"/>
    <w:rsid w:val="003D25FC"/>
    <w:rsid w:val="003D268B"/>
    <w:rsid w:val="003D26B9"/>
    <w:rsid w:val="003D276E"/>
    <w:rsid w:val="003D284A"/>
    <w:rsid w:val="003D28A1"/>
    <w:rsid w:val="003D29A9"/>
    <w:rsid w:val="003D29F1"/>
    <w:rsid w:val="003D2A56"/>
    <w:rsid w:val="003D2AA3"/>
    <w:rsid w:val="003D2BEA"/>
    <w:rsid w:val="003D2D68"/>
    <w:rsid w:val="003D2ECC"/>
    <w:rsid w:val="003D2F9E"/>
    <w:rsid w:val="003D311C"/>
    <w:rsid w:val="003D3143"/>
    <w:rsid w:val="003D3419"/>
    <w:rsid w:val="003D34C2"/>
    <w:rsid w:val="003D35C7"/>
    <w:rsid w:val="003D368B"/>
    <w:rsid w:val="003D3704"/>
    <w:rsid w:val="003D391E"/>
    <w:rsid w:val="003D3B3A"/>
    <w:rsid w:val="003D3B60"/>
    <w:rsid w:val="003D3D55"/>
    <w:rsid w:val="003D3DF1"/>
    <w:rsid w:val="003D4037"/>
    <w:rsid w:val="003D4139"/>
    <w:rsid w:val="003D41BD"/>
    <w:rsid w:val="003D430E"/>
    <w:rsid w:val="003D4314"/>
    <w:rsid w:val="003D46B9"/>
    <w:rsid w:val="003D48C6"/>
    <w:rsid w:val="003D48E4"/>
    <w:rsid w:val="003D4B5A"/>
    <w:rsid w:val="003D4C55"/>
    <w:rsid w:val="003D4C95"/>
    <w:rsid w:val="003D4DF6"/>
    <w:rsid w:val="003D4F1E"/>
    <w:rsid w:val="003D5289"/>
    <w:rsid w:val="003D5305"/>
    <w:rsid w:val="003D5411"/>
    <w:rsid w:val="003D554E"/>
    <w:rsid w:val="003D55C7"/>
    <w:rsid w:val="003D56B5"/>
    <w:rsid w:val="003D572B"/>
    <w:rsid w:val="003D576D"/>
    <w:rsid w:val="003D5991"/>
    <w:rsid w:val="003D59AD"/>
    <w:rsid w:val="003D5A99"/>
    <w:rsid w:val="003D5B73"/>
    <w:rsid w:val="003D5C2F"/>
    <w:rsid w:val="003D5D02"/>
    <w:rsid w:val="003D5DF0"/>
    <w:rsid w:val="003D5E70"/>
    <w:rsid w:val="003D603F"/>
    <w:rsid w:val="003D614B"/>
    <w:rsid w:val="003D61AE"/>
    <w:rsid w:val="003D61EA"/>
    <w:rsid w:val="003D620F"/>
    <w:rsid w:val="003D6220"/>
    <w:rsid w:val="003D6418"/>
    <w:rsid w:val="003D641E"/>
    <w:rsid w:val="003D643F"/>
    <w:rsid w:val="003D65BF"/>
    <w:rsid w:val="003D65CB"/>
    <w:rsid w:val="003D673C"/>
    <w:rsid w:val="003D6748"/>
    <w:rsid w:val="003D675E"/>
    <w:rsid w:val="003D678F"/>
    <w:rsid w:val="003D6816"/>
    <w:rsid w:val="003D687C"/>
    <w:rsid w:val="003D697B"/>
    <w:rsid w:val="003D69FC"/>
    <w:rsid w:val="003D6A99"/>
    <w:rsid w:val="003D6B26"/>
    <w:rsid w:val="003D6D18"/>
    <w:rsid w:val="003D6EDB"/>
    <w:rsid w:val="003D6F48"/>
    <w:rsid w:val="003D7041"/>
    <w:rsid w:val="003D704D"/>
    <w:rsid w:val="003D71A5"/>
    <w:rsid w:val="003D725D"/>
    <w:rsid w:val="003D72E6"/>
    <w:rsid w:val="003D7375"/>
    <w:rsid w:val="003D73CF"/>
    <w:rsid w:val="003D7562"/>
    <w:rsid w:val="003D75C8"/>
    <w:rsid w:val="003D797D"/>
    <w:rsid w:val="003D7CF1"/>
    <w:rsid w:val="003D7D4E"/>
    <w:rsid w:val="003D7FC6"/>
    <w:rsid w:val="003E010B"/>
    <w:rsid w:val="003E097E"/>
    <w:rsid w:val="003E09C3"/>
    <w:rsid w:val="003E0CEB"/>
    <w:rsid w:val="003E0EC5"/>
    <w:rsid w:val="003E10F5"/>
    <w:rsid w:val="003E1119"/>
    <w:rsid w:val="003E117A"/>
    <w:rsid w:val="003E1199"/>
    <w:rsid w:val="003E121C"/>
    <w:rsid w:val="003E14FE"/>
    <w:rsid w:val="003E15A1"/>
    <w:rsid w:val="003E15AF"/>
    <w:rsid w:val="003E1756"/>
    <w:rsid w:val="003E185B"/>
    <w:rsid w:val="003E187D"/>
    <w:rsid w:val="003E188E"/>
    <w:rsid w:val="003E1CA1"/>
    <w:rsid w:val="003E1DC9"/>
    <w:rsid w:val="003E1E49"/>
    <w:rsid w:val="003E1ED7"/>
    <w:rsid w:val="003E1EF8"/>
    <w:rsid w:val="003E1F79"/>
    <w:rsid w:val="003E20DC"/>
    <w:rsid w:val="003E2366"/>
    <w:rsid w:val="003E240E"/>
    <w:rsid w:val="003E2522"/>
    <w:rsid w:val="003E2987"/>
    <w:rsid w:val="003E2ABA"/>
    <w:rsid w:val="003E2B4A"/>
    <w:rsid w:val="003E2B5C"/>
    <w:rsid w:val="003E2E69"/>
    <w:rsid w:val="003E3142"/>
    <w:rsid w:val="003E3298"/>
    <w:rsid w:val="003E32D6"/>
    <w:rsid w:val="003E3477"/>
    <w:rsid w:val="003E3512"/>
    <w:rsid w:val="003E3565"/>
    <w:rsid w:val="003E35B6"/>
    <w:rsid w:val="003E3615"/>
    <w:rsid w:val="003E3705"/>
    <w:rsid w:val="003E37E6"/>
    <w:rsid w:val="003E3869"/>
    <w:rsid w:val="003E390C"/>
    <w:rsid w:val="003E3AA5"/>
    <w:rsid w:val="003E3B38"/>
    <w:rsid w:val="003E3CBC"/>
    <w:rsid w:val="003E3E2A"/>
    <w:rsid w:val="003E3E66"/>
    <w:rsid w:val="003E3EFF"/>
    <w:rsid w:val="003E3FBA"/>
    <w:rsid w:val="003E4092"/>
    <w:rsid w:val="003E4109"/>
    <w:rsid w:val="003E42B7"/>
    <w:rsid w:val="003E43F2"/>
    <w:rsid w:val="003E44DE"/>
    <w:rsid w:val="003E468D"/>
    <w:rsid w:val="003E4A22"/>
    <w:rsid w:val="003E4B99"/>
    <w:rsid w:val="003E4CF2"/>
    <w:rsid w:val="003E4F1B"/>
    <w:rsid w:val="003E4F37"/>
    <w:rsid w:val="003E4F8A"/>
    <w:rsid w:val="003E5091"/>
    <w:rsid w:val="003E5098"/>
    <w:rsid w:val="003E5134"/>
    <w:rsid w:val="003E517E"/>
    <w:rsid w:val="003E51FC"/>
    <w:rsid w:val="003E5293"/>
    <w:rsid w:val="003E5335"/>
    <w:rsid w:val="003E5672"/>
    <w:rsid w:val="003E5692"/>
    <w:rsid w:val="003E5734"/>
    <w:rsid w:val="003E5810"/>
    <w:rsid w:val="003E58B4"/>
    <w:rsid w:val="003E5931"/>
    <w:rsid w:val="003E5A7C"/>
    <w:rsid w:val="003E5A8C"/>
    <w:rsid w:val="003E5AE4"/>
    <w:rsid w:val="003E5AE5"/>
    <w:rsid w:val="003E5EDB"/>
    <w:rsid w:val="003E5F47"/>
    <w:rsid w:val="003E5F73"/>
    <w:rsid w:val="003E611C"/>
    <w:rsid w:val="003E6143"/>
    <w:rsid w:val="003E6319"/>
    <w:rsid w:val="003E64EA"/>
    <w:rsid w:val="003E661D"/>
    <w:rsid w:val="003E663D"/>
    <w:rsid w:val="003E664B"/>
    <w:rsid w:val="003E66C2"/>
    <w:rsid w:val="003E66D9"/>
    <w:rsid w:val="003E693E"/>
    <w:rsid w:val="003E69B6"/>
    <w:rsid w:val="003E6AD4"/>
    <w:rsid w:val="003E6E3A"/>
    <w:rsid w:val="003E6E67"/>
    <w:rsid w:val="003E7045"/>
    <w:rsid w:val="003E7058"/>
    <w:rsid w:val="003E712B"/>
    <w:rsid w:val="003E72C1"/>
    <w:rsid w:val="003E72C8"/>
    <w:rsid w:val="003E7324"/>
    <w:rsid w:val="003E733D"/>
    <w:rsid w:val="003E73C0"/>
    <w:rsid w:val="003E755F"/>
    <w:rsid w:val="003E76F6"/>
    <w:rsid w:val="003E7803"/>
    <w:rsid w:val="003E78E7"/>
    <w:rsid w:val="003E7A4D"/>
    <w:rsid w:val="003E7AAA"/>
    <w:rsid w:val="003E7BE7"/>
    <w:rsid w:val="003E7C7D"/>
    <w:rsid w:val="003E7C8A"/>
    <w:rsid w:val="003F00A0"/>
    <w:rsid w:val="003F00AE"/>
    <w:rsid w:val="003F03CB"/>
    <w:rsid w:val="003F042F"/>
    <w:rsid w:val="003F04A5"/>
    <w:rsid w:val="003F0525"/>
    <w:rsid w:val="003F08B5"/>
    <w:rsid w:val="003F091C"/>
    <w:rsid w:val="003F091F"/>
    <w:rsid w:val="003F0981"/>
    <w:rsid w:val="003F09A8"/>
    <w:rsid w:val="003F09B5"/>
    <w:rsid w:val="003F0A9C"/>
    <w:rsid w:val="003F0B19"/>
    <w:rsid w:val="003F0B3E"/>
    <w:rsid w:val="003F0C45"/>
    <w:rsid w:val="003F0C62"/>
    <w:rsid w:val="003F0F03"/>
    <w:rsid w:val="003F10AB"/>
    <w:rsid w:val="003F10F7"/>
    <w:rsid w:val="003F116E"/>
    <w:rsid w:val="003F125C"/>
    <w:rsid w:val="003F1499"/>
    <w:rsid w:val="003F14D1"/>
    <w:rsid w:val="003F14D8"/>
    <w:rsid w:val="003F152A"/>
    <w:rsid w:val="003F15E1"/>
    <w:rsid w:val="003F1A19"/>
    <w:rsid w:val="003F1CCC"/>
    <w:rsid w:val="003F21EE"/>
    <w:rsid w:val="003F2379"/>
    <w:rsid w:val="003F251A"/>
    <w:rsid w:val="003F271C"/>
    <w:rsid w:val="003F2745"/>
    <w:rsid w:val="003F2746"/>
    <w:rsid w:val="003F2837"/>
    <w:rsid w:val="003F2841"/>
    <w:rsid w:val="003F2849"/>
    <w:rsid w:val="003F2A3B"/>
    <w:rsid w:val="003F2A9B"/>
    <w:rsid w:val="003F2BC9"/>
    <w:rsid w:val="003F2CF1"/>
    <w:rsid w:val="003F2D63"/>
    <w:rsid w:val="003F2E83"/>
    <w:rsid w:val="003F31EE"/>
    <w:rsid w:val="003F3255"/>
    <w:rsid w:val="003F3267"/>
    <w:rsid w:val="003F32B3"/>
    <w:rsid w:val="003F3318"/>
    <w:rsid w:val="003F354B"/>
    <w:rsid w:val="003F3646"/>
    <w:rsid w:val="003F3789"/>
    <w:rsid w:val="003F37E7"/>
    <w:rsid w:val="003F38E2"/>
    <w:rsid w:val="003F38E7"/>
    <w:rsid w:val="003F399C"/>
    <w:rsid w:val="003F39BD"/>
    <w:rsid w:val="003F3A66"/>
    <w:rsid w:val="003F3AA7"/>
    <w:rsid w:val="003F3B38"/>
    <w:rsid w:val="003F3C02"/>
    <w:rsid w:val="003F3D9C"/>
    <w:rsid w:val="003F3F20"/>
    <w:rsid w:val="003F402C"/>
    <w:rsid w:val="003F41E9"/>
    <w:rsid w:val="003F41EE"/>
    <w:rsid w:val="003F4269"/>
    <w:rsid w:val="003F42F4"/>
    <w:rsid w:val="003F436E"/>
    <w:rsid w:val="003F4467"/>
    <w:rsid w:val="003F44B1"/>
    <w:rsid w:val="003F470C"/>
    <w:rsid w:val="003F47DA"/>
    <w:rsid w:val="003F48ED"/>
    <w:rsid w:val="003F498E"/>
    <w:rsid w:val="003F49BA"/>
    <w:rsid w:val="003F4A44"/>
    <w:rsid w:val="003F4AB5"/>
    <w:rsid w:val="003F4C76"/>
    <w:rsid w:val="003F4D2A"/>
    <w:rsid w:val="003F4E85"/>
    <w:rsid w:val="003F4F8B"/>
    <w:rsid w:val="003F5065"/>
    <w:rsid w:val="003F52A1"/>
    <w:rsid w:val="003F5413"/>
    <w:rsid w:val="003F542C"/>
    <w:rsid w:val="003F5466"/>
    <w:rsid w:val="003F5472"/>
    <w:rsid w:val="003F5673"/>
    <w:rsid w:val="003F56E5"/>
    <w:rsid w:val="003F5728"/>
    <w:rsid w:val="003F599D"/>
    <w:rsid w:val="003F59F2"/>
    <w:rsid w:val="003F5C6B"/>
    <w:rsid w:val="003F5D51"/>
    <w:rsid w:val="003F5E0D"/>
    <w:rsid w:val="003F5E55"/>
    <w:rsid w:val="003F5E69"/>
    <w:rsid w:val="003F6075"/>
    <w:rsid w:val="003F60A7"/>
    <w:rsid w:val="003F60F5"/>
    <w:rsid w:val="003F6100"/>
    <w:rsid w:val="003F612A"/>
    <w:rsid w:val="003F613D"/>
    <w:rsid w:val="003F6196"/>
    <w:rsid w:val="003F6373"/>
    <w:rsid w:val="003F640B"/>
    <w:rsid w:val="003F65C7"/>
    <w:rsid w:val="003F6613"/>
    <w:rsid w:val="003F6723"/>
    <w:rsid w:val="003F6867"/>
    <w:rsid w:val="003F6940"/>
    <w:rsid w:val="003F69D3"/>
    <w:rsid w:val="003F6A00"/>
    <w:rsid w:val="003F6CF6"/>
    <w:rsid w:val="003F6D26"/>
    <w:rsid w:val="003F6EBE"/>
    <w:rsid w:val="003F6FE6"/>
    <w:rsid w:val="003F7170"/>
    <w:rsid w:val="003F7377"/>
    <w:rsid w:val="003F75D5"/>
    <w:rsid w:val="003F7701"/>
    <w:rsid w:val="003F779C"/>
    <w:rsid w:val="003F7954"/>
    <w:rsid w:val="003F79CE"/>
    <w:rsid w:val="003F7A03"/>
    <w:rsid w:val="003F7BE3"/>
    <w:rsid w:val="003F7D8D"/>
    <w:rsid w:val="003F7EA5"/>
    <w:rsid w:val="004001C1"/>
    <w:rsid w:val="004002EC"/>
    <w:rsid w:val="004004F3"/>
    <w:rsid w:val="0040057A"/>
    <w:rsid w:val="004007D0"/>
    <w:rsid w:val="004007FA"/>
    <w:rsid w:val="00400BA8"/>
    <w:rsid w:val="00400BB5"/>
    <w:rsid w:val="00400BCE"/>
    <w:rsid w:val="00400D34"/>
    <w:rsid w:val="004011F1"/>
    <w:rsid w:val="00401258"/>
    <w:rsid w:val="0040128D"/>
    <w:rsid w:val="004012F6"/>
    <w:rsid w:val="00401488"/>
    <w:rsid w:val="00401586"/>
    <w:rsid w:val="004015A4"/>
    <w:rsid w:val="0040165F"/>
    <w:rsid w:val="00401822"/>
    <w:rsid w:val="0040191A"/>
    <w:rsid w:val="0040192D"/>
    <w:rsid w:val="0040198A"/>
    <w:rsid w:val="00401A2B"/>
    <w:rsid w:val="00401AD1"/>
    <w:rsid w:val="00401B61"/>
    <w:rsid w:val="00401BE5"/>
    <w:rsid w:val="00401C0C"/>
    <w:rsid w:val="00401CD1"/>
    <w:rsid w:val="00401E32"/>
    <w:rsid w:val="00401E37"/>
    <w:rsid w:val="00401E43"/>
    <w:rsid w:val="00401FC0"/>
    <w:rsid w:val="00402024"/>
    <w:rsid w:val="004024EA"/>
    <w:rsid w:val="00402592"/>
    <w:rsid w:val="00402655"/>
    <w:rsid w:val="0040279E"/>
    <w:rsid w:val="004027E8"/>
    <w:rsid w:val="00402B52"/>
    <w:rsid w:val="00402C62"/>
    <w:rsid w:val="00402F67"/>
    <w:rsid w:val="004032D4"/>
    <w:rsid w:val="004033C2"/>
    <w:rsid w:val="00403527"/>
    <w:rsid w:val="0040358B"/>
    <w:rsid w:val="004035DA"/>
    <w:rsid w:val="00403635"/>
    <w:rsid w:val="004037A4"/>
    <w:rsid w:val="004038C6"/>
    <w:rsid w:val="00403B38"/>
    <w:rsid w:val="00403C1D"/>
    <w:rsid w:val="00403D78"/>
    <w:rsid w:val="00403E37"/>
    <w:rsid w:val="00403F0B"/>
    <w:rsid w:val="0040405B"/>
    <w:rsid w:val="004042B9"/>
    <w:rsid w:val="00404300"/>
    <w:rsid w:val="0040436F"/>
    <w:rsid w:val="0040438F"/>
    <w:rsid w:val="00404487"/>
    <w:rsid w:val="00404499"/>
    <w:rsid w:val="004045CD"/>
    <w:rsid w:val="004046C6"/>
    <w:rsid w:val="00404714"/>
    <w:rsid w:val="00404778"/>
    <w:rsid w:val="00404792"/>
    <w:rsid w:val="004047CD"/>
    <w:rsid w:val="00404B4A"/>
    <w:rsid w:val="00404BC1"/>
    <w:rsid w:val="00404C4D"/>
    <w:rsid w:val="00404EEA"/>
    <w:rsid w:val="00404FC4"/>
    <w:rsid w:val="00405047"/>
    <w:rsid w:val="0040520A"/>
    <w:rsid w:val="00405423"/>
    <w:rsid w:val="00405521"/>
    <w:rsid w:val="004056F4"/>
    <w:rsid w:val="00405777"/>
    <w:rsid w:val="004058B5"/>
    <w:rsid w:val="004058C0"/>
    <w:rsid w:val="00405998"/>
    <w:rsid w:val="00405F0F"/>
    <w:rsid w:val="00405FE7"/>
    <w:rsid w:val="004061A3"/>
    <w:rsid w:val="00406234"/>
    <w:rsid w:val="00406248"/>
    <w:rsid w:val="004062CF"/>
    <w:rsid w:val="0040646B"/>
    <w:rsid w:val="0040647C"/>
    <w:rsid w:val="004065DA"/>
    <w:rsid w:val="004068EF"/>
    <w:rsid w:val="00406A16"/>
    <w:rsid w:val="00406A5B"/>
    <w:rsid w:val="00406B82"/>
    <w:rsid w:val="00406CC0"/>
    <w:rsid w:val="00406DBC"/>
    <w:rsid w:val="00406DEB"/>
    <w:rsid w:val="00406FF1"/>
    <w:rsid w:val="00407076"/>
    <w:rsid w:val="0040709B"/>
    <w:rsid w:val="004070D0"/>
    <w:rsid w:val="00407174"/>
    <w:rsid w:val="00407321"/>
    <w:rsid w:val="004074A4"/>
    <w:rsid w:val="00407551"/>
    <w:rsid w:val="004076B4"/>
    <w:rsid w:val="00407760"/>
    <w:rsid w:val="0040794B"/>
    <w:rsid w:val="00407CF5"/>
    <w:rsid w:val="00407DF8"/>
    <w:rsid w:val="00407EE2"/>
    <w:rsid w:val="00407F5B"/>
    <w:rsid w:val="00410066"/>
    <w:rsid w:val="00410387"/>
    <w:rsid w:val="004104E7"/>
    <w:rsid w:val="0041057A"/>
    <w:rsid w:val="00410697"/>
    <w:rsid w:val="004106CE"/>
    <w:rsid w:val="004107A0"/>
    <w:rsid w:val="004108D0"/>
    <w:rsid w:val="00410AC2"/>
    <w:rsid w:val="00410B15"/>
    <w:rsid w:val="00410B3B"/>
    <w:rsid w:val="00410B87"/>
    <w:rsid w:val="00410BD0"/>
    <w:rsid w:val="00410FB5"/>
    <w:rsid w:val="00410FD5"/>
    <w:rsid w:val="00411259"/>
    <w:rsid w:val="004114AF"/>
    <w:rsid w:val="004114BB"/>
    <w:rsid w:val="004115C5"/>
    <w:rsid w:val="004115F6"/>
    <w:rsid w:val="00411860"/>
    <w:rsid w:val="00411A7C"/>
    <w:rsid w:val="00411AA7"/>
    <w:rsid w:val="00411B20"/>
    <w:rsid w:val="00411CF9"/>
    <w:rsid w:val="00411DA4"/>
    <w:rsid w:val="0041206F"/>
    <w:rsid w:val="004122E2"/>
    <w:rsid w:val="00412343"/>
    <w:rsid w:val="0041253A"/>
    <w:rsid w:val="004125D9"/>
    <w:rsid w:val="004125DC"/>
    <w:rsid w:val="00412613"/>
    <w:rsid w:val="00412660"/>
    <w:rsid w:val="0041280B"/>
    <w:rsid w:val="00412971"/>
    <w:rsid w:val="00412BF2"/>
    <w:rsid w:val="00412CDF"/>
    <w:rsid w:val="00412D3B"/>
    <w:rsid w:val="00412E82"/>
    <w:rsid w:val="00412F54"/>
    <w:rsid w:val="00413176"/>
    <w:rsid w:val="004131B0"/>
    <w:rsid w:val="00413233"/>
    <w:rsid w:val="00413284"/>
    <w:rsid w:val="0041340D"/>
    <w:rsid w:val="004134DE"/>
    <w:rsid w:val="004136B5"/>
    <w:rsid w:val="004136DE"/>
    <w:rsid w:val="0041383D"/>
    <w:rsid w:val="00413BC2"/>
    <w:rsid w:val="00413BE4"/>
    <w:rsid w:val="00413C4A"/>
    <w:rsid w:val="00413F7A"/>
    <w:rsid w:val="00414220"/>
    <w:rsid w:val="0041437D"/>
    <w:rsid w:val="004143A2"/>
    <w:rsid w:val="0041441F"/>
    <w:rsid w:val="0041480E"/>
    <w:rsid w:val="00414938"/>
    <w:rsid w:val="0041495E"/>
    <w:rsid w:val="00414AA8"/>
    <w:rsid w:val="00414C21"/>
    <w:rsid w:val="00414D61"/>
    <w:rsid w:val="00414F74"/>
    <w:rsid w:val="00414FAF"/>
    <w:rsid w:val="004150BC"/>
    <w:rsid w:val="004152B7"/>
    <w:rsid w:val="0041533F"/>
    <w:rsid w:val="0041559C"/>
    <w:rsid w:val="004156C3"/>
    <w:rsid w:val="00415BA9"/>
    <w:rsid w:val="00415C4D"/>
    <w:rsid w:val="00415D88"/>
    <w:rsid w:val="00415DFE"/>
    <w:rsid w:val="00415E03"/>
    <w:rsid w:val="00415FE7"/>
    <w:rsid w:val="0041609C"/>
    <w:rsid w:val="004162AD"/>
    <w:rsid w:val="004163DD"/>
    <w:rsid w:val="004165CA"/>
    <w:rsid w:val="00416682"/>
    <w:rsid w:val="00416694"/>
    <w:rsid w:val="00416887"/>
    <w:rsid w:val="00416A4E"/>
    <w:rsid w:val="00416B85"/>
    <w:rsid w:val="00416BB5"/>
    <w:rsid w:val="00416BD6"/>
    <w:rsid w:val="00416C71"/>
    <w:rsid w:val="00416D03"/>
    <w:rsid w:val="00416D56"/>
    <w:rsid w:val="00417190"/>
    <w:rsid w:val="004172A2"/>
    <w:rsid w:val="004172C4"/>
    <w:rsid w:val="00417552"/>
    <w:rsid w:val="004175E0"/>
    <w:rsid w:val="004175E4"/>
    <w:rsid w:val="004176D4"/>
    <w:rsid w:val="00417799"/>
    <w:rsid w:val="00417839"/>
    <w:rsid w:val="004178E8"/>
    <w:rsid w:val="0041793C"/>
    <w:rsid w:val="00417A01"/>
    <w:rsid w:val="00417BF7"/>
    <w:rsid w:val="00417C3E"/>
    <w:rsid w:val="00417CEE"/>
    <w:rsid w:val="00417E27"/>
    <w:rsid w:val="00417EAD"/>
    <w:rsid w:val="00417F5A"/>
    <w:rsid w:val="00417F89"/>
    <w:rsid w:val="00420077"/>
    <w:rsid w:val="00420088"/>
    <w:rsid w:val="004202C2"/>
    <w:rsid w:val="00420349"/>
    <w:rsid w:val="00420483"/>
    <w:rsid w:val="00420489"/>
    <w:rsid w:val="00420714"/>
    <w:rsid w:val="00420825"/>
    <w:rsid w:val="0042083F"/>
    <w:rsid w:val="0042091E"/>
    <w:rsid w:val="00420950"/>
    <w:rsid w:val="0042098D"/>
    <w:rsid w:val="004209B1"/>
    <w:rsid w:val="004209F3"/>
    <w:rsid w:val="00420A53"/>
    <w:rsid w:val="00420C15"/>
    <w:rsid w:val="00420E27"/>
    <w:rsid w:val="0042109F"/>
    <w:rsid w:val="004210AB"/>
    <w:rsid w:val="0042119D"/>
    <w:rsid w:val="0042124C"/>
    <w:rsid w:val="00421346"/>
    <w:rsid w:val="00421508"/>
    <w:rsid w:val="00421552"/>
    <w:rsid w:val="004215D8"/>
    <w:rsid w:val="00421637"/>
    <w:rsid w:val="004216EA"/>
    <w:rsid w:val="00421918"/>
    <w:rsid w:val="00421B95"/>
    <w:rsid w:val="00421C4E"/>
    <w:rsid w:val="00421C72"/>
    <w:rsid w:val="00421CA7"/>
    <w:rsid w:val="00421D89"/>
    <w:rsid w:val="00421E36"/>
    <w:rsid w:val="00421F01"/>
    <w:rsid w:val="00421FC9"/>
    <w:rsid w:val="00421FF2"/>
    <w:rsid w:val="00422072"/>
    <w:rsid w:val="004220D4"/>
    <w:rsid w:val="00422407"/>
    <w:rsid w:val="00422423"/>
    <w:rsid w:val="00422518"/>
    <w:rsid w:val="00422673"/>
    <w:rsid w:val="004228A4"/>
    <w:rsid w:val="00422994"/>
    <w:rsid w:val="00422C91"/>
    <w:rsid w:val="00422D41"/>
    <w:rsid w:val="004230AB"/>
    <w:rsid w:val="00423164"/>
    <w:rsid w:val="00423373"/>
    <w:rsid w:val="00423396"/>
    <w:rsid w:val="004233CB"/>
    <w:rsid w:val="004233DE"/>
    <w:rsid w:val="004236F5"/>
    <w:rsid w:val="004238D5"/>
    <w:rsid w:val="004239CC"/>
    <w:rsid w:val="00423A32"/>
    <w:rsid w:val="00423E1D"/>
    <w:rsid w:val="0042405D"/>
    <w:rsid w:val="004240B7"/>
    <w:rsid w:val="00424217"/>
    <w:rsid w:val="00424252"/>
    <w:rsid w:val="0042441E"/>
    <w:rsid w:val="00424663"/>
    <w:rsid w:val="004247F7"/>
    <w:rsid w:val="00424873"/>
    <w:rsid w:val="004248A5"/>
    <w:rsid w:val="004248BB"/>
    <w:rsid w:val="00424CAF"/>
    <w:rsid w:val="00424D0A"/>
    <w:rsid w:val="004250F0"/>
    <w:rsid w:val="00425131"/>
    <w:rsid w:val="00425354"/>
    <w:rsid w:val="00425422"/>
    <w:rsid w:val="00425439"/>
    <w:rsid w:val="00425453"/>
    <w:rsid w:val="0042584B"/>
    <w:rsid w:val="0042591D"/>
    <w:rsid w:val="00425A98"/>
    <w:rsid w:val="00425BF8"/>
    <w:rsid w:val="00425C71"/>
    <w:rsid w:val="00425C7A"/>
    <w:rsid w:val="00426024"/>
    <w:rsid w:val="00426186"/>
    <w:rsid w:val="00426252"/>
    <w:rsid w:val="00426307"/>
    <w:rsid w:val="004264ED"/>
    <w:rsid w:val="004265A2"/>
    <w:rsid w:val="00426693"/>
    <w:rsid w:val="004266BB"/>
    <w:rsid w:val="004268A9"/>
    <w:rsid w:val="00426A71"/>
    <w:rsid w:val="00426AA2"/>
    <w:rsid w:val="00426B0B"/>
    <w:rsid w:val="00426BDE"/>
    <w:rsid w:val="00426CB5"/>
    <w:rsid w:val="00426DE1"/>
    <w:rsid w:val="00426E07"/>
    <w:rsid w:val="00426E08"/>
    <w:rsid w:val="00426EED"/>
    <w:rsid w:val="00426F29"/>
    <w:rsid w:val="00427123"/>
    <w:rsid w:val="00427347"/>
    <w:rsid w:val="00427390"/>
    <w:rsid w:val="004273B2"/>
    <w:rsid w:val="004276AC"/>
    <w:rsid w:val="00427800"/>
    <w:rsid w:val="00427889"/>
    <w:rsid w:val="004278FC"/>
    <w:rsid w:val="004279A5"/>
    <w:rsid w:val="00427ACC"/>
    <w:rsid w:val="00427B8E"/>
    <w:rsid w:val="00427C2B"/>
    <w:rsid w:val="00427CAA"/>
    <w:rsid w:val="00427CB1"/>
    <w:rsid w:val="00427F79"/>
    <w:rsid w:val="00430066"/>
    <w:rsid w:val="00430087"/>
    <w:rsid w:val="00430168"/>
    <w:rsid w:val="00430195"/>
    <w:rsid w:val="004303C9"/>
    <w:rsid w:val="0043041F"/>
    <w:rsid w:val="0043043E"/>
    <w:rsid w:val="0043046D"/>
    <w:rsid w:val="00430535"/>
    <w:rsid w:val="004305B7"/>
    <w:rsid w:val="004305F3"/>
    <w:rsid w:val="004306ED"/>
    <w:rsid w:val="00430A58"/>
    <w:rsid w:val="00430B7A"/>
    <w:rsid w:val="00430D10"/>
    <w:rsid w:val="00430D5C"/>
    <w:rsid w:val="00430D89"/>
    <w:rsid w:val="00430D95"/>
    <w:rsid w:val="00430EAA"/>
    <w:rsid w:val="00431047"/>
    <w:rsid w:val="004311EC"/>
    <w:rsid w:val="00431393"/>
    <w:rsid w:val="004313DF"/>
    <w:rsid w:val="0043146B"/>
    <w:rsid w:val="00431633"/>
    <w:rsid w:val="0043168C"/>
    <w:rsid w:val="00431702"/>
    <w:rsid w:val="004317FF"/>
    <w:rsid w:val="0043184D"/>
    <w:rsid w:val="0043185D"/>
    <w:rsid w:val="00431B7F"/>
    <w:rsid w:val="00431C18"/>
    <w:rsid w:val="00431D59"/>
    <w:rsid w:val="00431E08"/>
    <w:rsid w:val="00431E6E"/>
    <w:rsid w:val="00431E8A"/>
    <w:rsid w:val="00431E8C"/>
    <w:rsid w:val="00431EF3"/>
    <w:rsid w:val="0043206F"/>
    <w:rsid w:val="0043220E"/>
    <w:rsid w:val="004322E3"/>
    <w:rsid w:val="00432665"/>
    <w:rsid w:val="00432690"/>
    <w:rsid w:val="0043270B"/>
    <w:rsid w:val="00432931"/>
    <w:rsid w:val="004329F9"/>
    <w:rsid w:val="00432BAD"/>
    <w:rsid w:val="00432DE3"/>
    <w:rsid w:val="00432DF3"/>
    <w:rsid w:val="00432DF7"/>
    <w:rsid w:val="00432EA1"/>
    <w:rsid w:val="00432F4C"/>
    <w:rsid w:val="0043304A"/>
    <w:rsid w:val="00433341"/>
    <w:rsid w:val="0043336B"/>
    <w:rsid w:val="00433375"/>
    <w:rsid w:val="004333B1"/>
    <w:rsid w:val="0043352B"/>
    <w:rsid w:val="004335B0"/>
    <w:rsid w:val="004336E5"/>
    <w:rsid w:val="0043388E"/>
    <w:rsid w:val="00433939"/>
    <w:rsid w:val="0043394C"/>
    <w:rsid w:val="00433AC7"/>
    <w:rsid w:val="00433E34"/>
    <w:rsid w:val="00433E54"/>
    <w:rsid w:val="00433E8A"/>
    <w:rsid w:val="00433FA5"/>
    <w:rsid w:val="004343B1"/>
    <w:rsid w:val="004345D7"/>
    <w:rsid w:val="004345FC"/>
    <w:rsid w:val="00434646"/>
    <w:rsid w:val="00434772"/>
    <w:rsid w:val="00434799"/>
    <w:rsid w:val="00434810"/>
    <w:rsid w:val="00434953"/>
    <w:rsid w:val="00434BEE"/>
    <w:rsid w:val="00434C71"/>
    <w:rsid w:val="00434CC3"/>
    <w:rsid w:val="00434EE8"/>
    <w:rsid w:val="00434FD0"/>
    <w:rsid w:val="00434FD5"/>
    <w:rsid w:val="00434FD9"/>
    <w:rsid w:val="004350BB"/>
    <w:rsid w:val="004352D5"/>
    <w:rsid w:val="004352FC"/>
    <w:rsid w:val="00435441"/>
    <w:rsid w:val="00435487"/>
    <w:rsid w:val="004354D8"/>
    <w:rsid w:val="0043553D"/>
    <w:rsid w:val="0043564F"/>
    <w:rsid w:val="0043569F"/>
    <w:rsid w:val="0043579C"/>
    <w:rsid w:val="00435C74"/>
    <w:rsid w:val="00435D23"/>
    <w:rsid w:val="00435D71"/>
    <w:rsid w:val="00435DC8"/>
    <w:rsid w:val="00435DDC"/>
    <w:rsid w:val="00435E4E"/>
    <w:rsid w:val="00435E5F"/>
    <w:rsid w:val="00436180"/>
    <w:rsid w:val="0043618D"/>
    <w:rsid w:val="00436285"/>
    <w:rsid w:val="00436601"/>
    <w:rsid w:val="00436908"/>
    <w:rsid w:val="0043691A"/>
    <w:rsid w:val="00436B3A"/>
    <w:rsid w:val="00436C9E"/>
    <w:rsid w:val="00436CA1"/>
    <w:rsid w:val="00436CFE"/>
    <w:rsid w:val="00436D05"/>
    <w:rsid w:val="00436F2B"/>
    <w:rsid w:val="00437005"/>
    <w:rsid w:val="004371AC"/>
    <w:rsid w:val="004371FE"/>
    <w:rsid w:val="00437440"/>
    <w:rsid w:val="00437461"/>
    <w:rsid w:val="004374B8"/>
    <w:rsid w:val="00437539"/>
    <w:rsid w:val="00437603"/>
    <w:rsid w:val="00437902"/>
    <w:rsid w:val="00437AC5"/>
    <w:rsid w:val="00437BD5"/>
    <w:rsid w:val="00437C5B"/>
    <w:rsid w:val="00437E44"/>
    <w:rsid w:val="00437FB6"/>
    <w:rsid w:val="00440133"/>
    <w:rsid w:val="004402C2"/>
    <w:rsid w:val="004403A9"/>
    <w:rsid w:val="004405F6"/>
    <w:rsid w:val="00440773"/>
    <w:rsid w:val="0044089B"/>
    <w:rsid w:val="0044090B"/>
    <w:rsid w:val="004409C8"/>
    <w:rsid w:val="004409FA"/>
    <w:rsid w:val="00440ABF"/>
    <w:rsid w:val="00440B14"/>
    <w:rsid w:val="00440BF3"/>
    <w:rsid w:val="00440C0B"/>
    <w:rsid w:val="00440C40"/>
    <w:rsid w:val="00440DA4"/>
    <w:rsid w:val="00440DE3"/>
    <w:rsid w:val="00440E4E"/>
    <w:rsid w:val="00440EFC"/>
    <w:rsid w:val="00441089"/>
    <w:rsid w:val="00441153"/>
    <w:rsid w:val="004411D2"/>
    <w:rsid w:val="0044123D"/>
    <w:rsid w:val="00441253"/>
    <w:rsid w:val="0044141D"/>
    <w:rsid w:val="004415E9"/>
    <w:rsid w:val="004418CF"/>
    <w:rsid w:val="00441A06"/>
    <w:rsid w:val="00441AFC"/>
    <w:rsid w:val="00441BDD"/>
    <w:rsid w:val="00441F05"/>
    <w:rsid w:val="00441F62"/>
    <w:rsid w:val="00441FD1"/>
    <w:rsid w:val="00442205"/>
    <w:rsid w:val="004423CB"/>
    <w:rsid w:val="00442567"/>
    <w:rsid w:val="00442756"/>
    <w:rsid w:val="00442893"/>
    <w:rsid w:val="00442894"/>
    <w:rsid w:val="0044290A"/>
    <w:rsid w:val="00442A85"/>
    <w:rsid w:val="00442A8A"/>
    <w:rsid w:val="00442BF9"/>
    <w:rsid w:val="00442C76"/>
    <w:rsid w:val="00442C89"/>
    <w:rsid w:val="00442F28"/>
    <w:rsid w:val="00442F43"/>
    <w:rsid w:val="00442F9C"/>
    <w:rsid w:val="00442FF6"/>
    <w:rsid w:val="00443010"/>
    <w:rsid w:val="00443131"/>
    <w:rsid w:val="0044348E"/>
    <w:rsid w:val="004435E0"/>
    <w:rsid w:val="004437CE"/>
    <w:rsid w:val="00443882"/>
    <w:rsid w:val="004439C4"/>
    <w:rsid w:val="00443D8B"/>
    <w:rsid w:val="00443E0A"/>
    <w:rsid w:val="00443E0F"/>
    <w:rsid w:val="00443F1D"/>
    <w:rsid w:val="00443F6C"/>
    <w:rsid w:val="00444079"/>
    <w:rsid w:val="00444117"/>
    <w:rsid w:val="004441D3"/>
    <w:rsid w:val="0044424E"/>
    <w:rsid w:val="0044428A"/>
    <w:rsid w:val="00444335"/>
    <w:rsid w:val="00444337"/>
    <w:rsid w:val="00444546"/>
    <w:rsid w:val="00444606"/>
    <w:rsid w:val="004446C7"/>
    <w:rsid w:val="0044478A"/>
    <w:rsid w:val="00444861"/>
    <w:rsid w:val="00444ACA"/>
    <w:rsid w:val="00444F59"/>
    <w:rsid w:val="00445041"/>
    <w:rsid w:val="004450EF"/>
    <w:rsid w:val="00445114"/>
    <w:rsid w:val="004451EE"/>
    <w:rsid w:val="004452A4"/>
    <w:rsid w:val="004452C0"/>
    <w:rsid w:val="0044539F"/>
    <w:rsid w:val="004454BF"/>
    <w:rsid w:val="00445585"/>
    <w:rsid w:val="0044565D"/>
    <w:rsid w:val="004456A0"/>
    <w:rsid w:val="00445790"/>
    <w:rsid w:val="0044582F"/>
    <w:rsid w:val="0044587F"/>
    <w:rsid w:val="00445BDF"/>
    <w:rsid w:val="00445C18"/>
    <w:rsid w:val="00445C35"/>
    <w:rsid w:val="00445E41"/>
    <w:rsid w:val="00445EB5"/>
    <w:rsid w:val="00445FB3"/>
    <w:rsid w:val="004463C2"/>
    <w:rsid w:val="00446614"/>
    <w:rsid w:val="0044665B"/>
    <w:rsid w:val="004467D8"/>
    <w:rsid w:val="00446956"/>
    <w:rsid w:val="00446A9F"/>
    <w:rsid w:val="00446B27"/>
    <w:rsid w:val="00446B76"/>
    <w:rsid w:val="00446C10"/>
    <w:rsid w:val="00446C16"/>
    <w:rsid w:val="00446F3B"/>
    <w:rsid w:val="00446F51"/>
    <w:rsid w:val="00447336"/>
    <w:rsid w:val="004473AC"/>
    <w:rsid w:val="0044749E"/>
    <w:rsid w:val="004475BE"/>
    <w:rsid w:val="00447614"/>
    <w:rsid w:val="004478E2"/>
    <w:rsid w:val="00447B1B"/>
    <w:rsid w:val="00447B1E"/>
    <w:rsid w:val="00447CF9"/>
    <w:rsid w:val="00447E2C"/>
    <w:rsid w:val="00447F02"/>
    <w:rsid w:val="00447F69"/>
    <w:rsid w:val="004500DE"/>
    <w:rsid w:val="00450212"/>
    <w:rsid w:val="00450283"/>
    <w:rsid w:val="004502EB"/>
    <w:rsid w:val="004503C6"/>
    <w:rsid w:val="00450507"/>
    <w:rsid w:val="00450579"/>
    <w:rsid w:val="004505D5"/>
    <w:rsid w:val="004506BF"/>
    <w:rsid w:val="00450738"/>
    <w:rsid w:val="0045087F"/>
    <w:rsid w:val="0045091B"/>
    <w:rsid w:val="0045091F"/>
    <w:rsid w:val="0045092B"/>
    <w:rsid w:val="00450CEE"/>
    <w:rsid w:val="00450D99"/>
    <w:rsid w:val="00450FA3"/>
    <w:rsid w:val="004510BB"/>
    <w:rsid w:val="00451143"/>
    <w:rsid w:val="004511C9"/>
    <w:rsid w:val="00451206"/>
    <w:rsid w:val="00451287"/>
    <w:rsid w:val="00451657"/>
    <w:rsid w:val="004517D4"/>
    <w:rsid w:val="00451943"/>
    <w:rsid w:val="004519CB"/>
    <w:rsid w:val="00451AFA"/>
    <w:rsid w:val="00451B2F"/>
    <w:rsid w:val="00451B3C"/>
    <w:rsid w:val="00451B78"/>
    <w:rsid w:val="00451CFA"/>
    <w:rsid w:val="00451F19"/>
    <w:rsid w:val="00451F6C"/>
    <w:rsid w:val="00451F9B"/>
    <w:rsid w:val="004521FD"/>
    <w:rsid w:val="00452342"/>
    <w:rsid w:val="0045236D"/>
    <w:rsid w:val="00452451"/>
    <w:rsid w:val="004527B5"/>
    <w:rsid w:val="0045287D"/>
    <w:rsid w:val="00452890"/>
    <w:rsid w:val="004528EC"/>
    <w:rsid w:val="00452A75"/>
    <w:rsid w:val="00452B46"/>
    <w:rsid w:val="00452BAE"/>
    <w:rsid w:val="00452F93"/>
    <w:rsid w:val="00453157"/>
    <w:rsid w:val="0045320E"/>
    <w:rsid w:val="00453507"/>
    <w:rsid w:val="00453576"/>
    <w:rsid w:val="004536DA"/>
    <w:rsid w:val="00453875"/>
    <w:rsid w:val="0045392A"/>
    <w:rsid w:val="00453C45"/>
    <w:rsid w:val="00453D74"/>
    <w:rsid w:val="00453F8E"/>
    <w:rsid w:val="00453FA5"/>
    <w:rsid w:val="00454091"/>
    <w:rsid w:val="00454416"/>
    <w:rsid w:val="00454531"/>
    <w:rsid w:val="0045464F"/>
    <w:rsid w:val="00454823"/>
    <w:rsid w:val="0045489E"/>
    <w:rsid w:val="00454959"/>
    <w:rsid w:val="00454A9F"/>
    <w:rsid w:val="00454B5A"/>
    <w:rsid w:val="00454BF0"/>
    <w:rsid w:val="00454CEC"/>
    <w:rsid w:val="00454D95"/>
    <w:rsid w:val="00454E61"/>
    <w:rsid w:val="00454EF1"/>
    <w:rsid w:val="004550BB"/>
    <w:rsid w:val="004550F1"/>
    <w:rsid w:val="00455193"/>
    <w:rsid w:val="00455212"/>
    <w:rsid w:val="00455315"/>
    <w:rsid w:val="004553FB"/>
    <w:rsid w:val="0045550C"/>
    <w:rsid w:val="004556F7"/>
    <w:rsid w:val="00455806"/>
    <w:rsid w:val="00455817"/>
    <w:rsid w:val="004558EE"/>
    <w:rsid w:val="00455D00"/>
    <w:rsid w:val="00455DE7"/>
    <w:rsid w:val="00455E82"/>
    <w:rsid w:val="00455EA3"/>
    <w:rsid w:val="00455F92"/>
    <w:rsid w:val="00456374"/>
    <w:rsid w:val="0045642B"/>
    <w:rsid w:val="00456562"/>
    <w:rsid w:val="0045656C"/>
    <w:rsid w:val="00456AA9"/>
    <w:rsid w:val="00456AD0"/>
    <w:rsid w:val="00456B5A"/>
    <w:rsid w:val="00456C29"/>
    <w:rsid w:val="00456C40"/>
    <w:rsid w:val="00456E37"/>
    <w:rsid w:val="00456E44"/>
    <w:rsid w:val="00456ECB"/>
    <w:rsid w:val="00456EEA"/>
    <w:rsid w:val="00457073"/>
    <w:rsid w:val="004572BC"/>
    <w:rsid w:val="004572CD"/>
    <w:rsid w:val="0045743D"/>
    <w:rsid w:val="0045746A"/>
    <w:rsid w:val="004575AF"/>
    <w:rsid w:val="004575C3"/>
    <w:rsid w:val="00457626"/>
    <w:rsid w:val="004576AC"/>
    <w:rsid w:val="00457A7F"/>
    <w:rsid w:val="00457B9B"/>
    <w:rsid w:val="00457E28"/>
    <w:rsid w:val="00457F7A"/>
    <w:rsid w:val="00457FEE"/>
    <w:rsid w:val="004600C2"/>
    <w:rsid w:val="00460181"/>
    <w:rsid w:val="00460214"/>
    <w:rsid w:val="0046084A"/>
    <w:rsid w:val="00460884"/>
    <w:rsid w:val="00460892"/>
    <w:rsid w:val="0046093B"/>
    <w:rsid w:val="00460A21"/>
    <w:rsid w:val="00460A44"/>
    <w:rsid w:val="00460A64"/>
    <w:rsid w:val="00460D32"/>
    <w:rsid w:val="00460F02"/>
    <w:rsid w:val="00460F8B"/>
    <w:rsid w:val="00460FE2"/>
    <w:rsid w:val="00461101"/>
    <w:rsid w:val="004611D0"/>
    <w:rsid w:val="00461337"/>
    <w:rsid w:val="004613DA"/>
    <w:rsid w:val="004614B1"/>
    <w:rsid w:val="0046153D"/>
    <w:rsid w:val="004615AF"/>
    <w:rsid w:val="004615E6"/>
    <w:rsid w:val="0046179F"/>
    <w:rsid w:val="004617A4"/>
    <w:rsid w:val="004617F7"/>
    <w:rsid w:val="00461860"/>
    <w:rsid w:val="0046191E"/>
    <w:rsid w:val="00461971"/>
    <w:rsid w:val="00461A03"/>
    <w:rsid w:val="00461A98"/>
    <w:rsid w:val="00461B16"/>
    <w:rsid w:val="00461D6E"/>
    <w:rsid w:val="00461E34"/>
    <w:rsid w:val="00461EAB"/>
    <w:rsid w:val="00461F01"/>
    <w:rsid w:val="00461F0C"/>
    <w:rsid w:val="00461FA8"/>
    <w:rsid w:val="00462299"/>
    <w:rsid w:val="00462300"/>
    <w:rsid w:val="00462466"/>
    <w:rsid w:val="00462704"/>
    <w:rsid w:val="00462730"/>
    <w:rsid w:val="00462756"/>
    <w:rsid w:val="0046279D"/>
    <w:rsid w:val="00462898"/>
    <w:rsid w:val="00462934"/>
    <w:rsid w:val="00462B0C"/>
    <w:rsid w:val="00462BD5"/>
    <w:rsid w:val="00462D9A"/>
    <w:rsid w:val="004630EB"/>
    <w:rsid w:val="00463169"/>
    <w:rsid w:val="004631CA"/>
    <w:rsid w:val="00463513"/>
    <w:rsid w:val="0046391C"/>
    <w:rsid w:val="00463A3E"/>
    <w:rsid w:val="00463AC4"/>
    <w:rsid w:val="00463BA8"/>
    <w:rsid w:val="00463C65"/>
    <w:rsid w:val="00463DEA"/>
    <w:rsid w:val="00463F7E"/>
    <w:rsid w:val="00464070"/>
    <w:rsid w:val="00464302"/>
    <w:rsid w:val="00464375"/>
    <w:rsid w:val="004644E7"/>
    <w:rsid w:val="004645DE"/>
    <w:rsid w:val="004646B6"/>
    <w:rsid w:val="00464750"/>
    <w:rsid w:val="0046482C"/>
    <w:rsid w:val="004648EA"/>
    <w:rsid w:val="00464952"/>
    <w:rsid w:val="00464BED"/>
    <w:rsid w:val="00464D74"/>
    <w:rsid w:val="00464F50"/>
    <w:rsid w:val="004650CA"/>
    <w:rsid w:val="004654AD"/>
    <w:rsid w:val="00465500"/>
    <w:rsid w:val="00465808"/>
    <w:rsid w:val="0046580C"/>
    <w:rsid w:val="00465980"/>
    <w:rsid w:val="00465B50"/>
    <w:rsid w:val="00465D4A"/>
    <w:rsid w:val="00465E79"/>
    <w:rsid w:val="00465E7C"/>
    <w:rsid w:val="00465F6D"/>
    <w:rsid w:val="00466039"/>
    <w:rsid w:val="00466144"/>
    <w:rsid w:val="004661EA"/>
    <w:rsid w:val="00466332"/>
    <w:rsid w:val="00466393"/>
    <w:rsid w:val="00466512"/>
    <w:rsid w:val="0046665C"/>
    <w:rsid w:val="004669B2"/>
    <w:rsid w:val="004669D0"/>
    <w:rsid w:val="00466A87"/>
    <w:rsid w:val="00466AC1"/>
    <w:rsid w:val="00466AE0"/>
    <w:rsid w:val="00466C17"/>
    <w:rsid w:val="00466DD2"/>
    <w:rsid w:val="00466E33"/>
    <w:rsid w:val="00466E8C"/>
    <w:rsid w:val="00467002"/>
    <w:rsid w:val="00467157"/>
    <w:rsid w:val="00467297"/>
    <w:rsid w:val="00467334"/>
    <w:rsid w:val="004673E2"/>
    <w:rsid w:val="00467476"/>
    <w:rsid w:val="004674A2"/>
    <w:rsid w:val="00467653"/>
    <w:rsid w:val="004678F1"/>
    <w:rsid w:val="00467A6C"/>
    <w:rsid w:val="00467BA4"/>
    <w:rsid w:val="00467BA8"/>
    <w:rsid w:val="00467C38"/>
    <w:rsid w:val="00467D3A"/>
    <w:rsid w:val="00467E89"/>
    <w:rsid w:val="004701F5"/>
    <w:rsid w:val="004702F8"/>
    <w:rsid w:val="004703BE"/>
    <w:rsid w:val="004704A4"/>
    <w:rsid w:val="00470512"/>
    <w:rsid w:val="004706F0"/>
    <w:rsid w:val="00470863"/>
    <w:rsid w:val="0047099E"/>
    <w:rsid w:val="00470CF6"/>
    <w:rsid w:val="00470D4E"/>
    <w:rsid w:val="00470EA0"/>
    <w:rsid w:val="00470F94"/>
    <w:rsid w:val="00471093"/>
    <w:rsid w:val="00471151"/>
    <w:rsid w:val="00471187"/>
    <w:rsid w:val="004711B0"/>
    <w:rsid w:val="00471387"/>
    <w:rsid w:val="00471405"/>
    <w:rsid w:val="00471419"/>
    <w:rsid w:val="0047144D"/>
    <w:rsid w:val="00471469"/>
    <w:rsid w:val="00471474"/>
    <w:rsid w:val="00471810"/>
    <w:rsid w:val="00471824"/>
    <w:rsid w:val="004718A8"/>
    <w:rsid w:val="0047192D"/>
    <w:rsid w:val="00471A90"/>
    <w:rsid w:val="00471CD3"/>
    <w:rsid w:val="00471D03"/>
    <w:rsid w:val="00471FCB"/>
    <w:rsid w:val="00472102"/>
    <w:rsid w:val="00472162"/>
    <w:rsid w:val="00472169"/>
    <w:rsid w:val="004723F7"/>
    <w:rsid w:val="0047248D"/>
    <w:rsid w:val="004724F4"/>
    <w:rsid w:val="0047252F"/>
    <w:rsid w:val="004725C3"/>
    <w:rsid w:val="00472684"/>
    <w:rsid w:val="00472872"/>
    <w:rsid w:val="00472A86"/>
    <w:rsid w:val="00472AA5"/>
    <w:rsid w:val="00472C2F"/>
    <w:rsid w:val="00472CA5"/>
    <w:rsid w:val="00472D9F"/>
    <w:rsid w:val="00472DCC"/>
    <w:rsid w:val="00472F04"/>
    <w:rsid w:val="00472F2A"/>
    <w:rsid w:val="00472FF8"/>
    <w:rsid w:val="0047305F"/>
    <w:rsid w:val="00473112"/>
    <w:rsid w:val="0047317E"/>
    <w:rsid w:val="00473238"/>
    <w:rsid w:val="004733CF"/>
    <w:rsid w:val="00473520"/>
    <w:rsid w:val="00473673"/>
    <w:rsid w:val="00473719"/>
    <w:rsid w:val="00473988"/>
    <w:rsid w:val="00473A43"/>
    <w:rsid w:val="00473C0C"/>
    <w:rsid w:val="00473D0A"/>
    <w:rsid w:val="00473D49"/>
    <w:rsid w:val="00473DA9"/>
    <w:rsid w:val="00473DBB"/>
    <w:rsid w:val="00474202"/>
    <w:rsid w:val="00474213"/>
    <w:rsid w:val="004744CA"/>
    <w:rsid w:val="004745C6"/>
    <w:rsid w:val="0047465D"/>
    <w:rsid w:val="0047471E"/>
    <w:rsid w:val="00474921"/>
    <w:rsid w:val="00474B58"/>
    <w:rsid w:val="00474D0A"/>
    <w:rsid w:val="00474EE2"/>
    <w:rsid w:val="004751A5"/>
    <w:rsid w:val="004753A9"/>
    <w:rsid w:val="0047541E"/>
    <w:rsid w:val="004757FA"/>
    <w:rsid w:val="004758B3"/>
    <w:rsid w:val="00475A47"/>
    <w:rsid w:val="00475A63"/>
    <w:rsid w:val="00475AA0"/>
    <w:rsid w:val="00475AB8"/>
    <w:rsid w:val="00475B79"/>
    <w:rsid w:val="00475C9B"/>
    <w:rsid w:val="00475CF8"/>
    <w:rsid w:val="00475E3E"/>
    <w:rsid w:val="00475E81"/>
    <w:rsid w:val="0047608F"/>
    <w:rsid w:val="0047623F"/>
    <w:rsid w:val="00476257"/>
    <w:rsid w:val="00476441"/>
    <w:rsid w:val="00476523"/>
    <w:rsid w:val="00476569"/>
    <w:rsid w:val="00476586"/>
    <w:rsid w:val="004766A4"/>
    <w:rsid w:val="0047683A"/>
    <w:rsid w:val="0047683B"/>
    <w:rsid w:val="00476864"/>
    <w:rsid w:val="00476884"/>
    <w:rsid w:val="0047699A"/>
    <w:rsid w:val="00476A2F"/>
    <w:rsid w:val="00476AD7"/>
    <w:rsid w:val="00476D96"/>
    <w:rsid w:val="00476F52"/>
    <w:rsid w:val="00476F69"/>
    <w:rsid w:val="00477022"/>
    <w:rsid w:val="004771B3"/>
    <w:rsid w:val="004772C6"/>
    <w:rsid w:val="0047734D"/>
    <w:rsid w:val="004773B3"/>
    <w:rsid w:val="00477599"/>
    <w:rsid w:val="0047761C"/>
    <w:rsid w:val="004777BF"/>
    <w:rsid w:val="004779CB"/>
    <w:rsid w:val="00477A3A"/>
    <w:rsid w:val="00477A3D"/>
    <w:rsid w:val="00477B69"/>
    <w:rsid w:val="00477D5A"/>
    <w:rsid w:val="00477D76"/>
    <w:rsid w:val="00477D8E"/>
    <w:rsid w:val="004801A7"/>
    <w:rsid w:val="004802B2"/>
    <w:rsid w:val="004805BC"/>
    <w:rsid w:val="0048065B"/>
    <w:rsid w:val="004807E0"/>
    <w:rsid w:val="0048083F"/>
    <w:rsid w:val="004808F5"/>
    <w:rsid w:val="00480923"/>
    <w:rsid w:val="00480935"/>
    <w:rsid w:val="004809C6"/>
    <w:rsid w:val="00480A63"/>
    <w:rsid w:val="00480C7C"/>
    <w:rsid w:val="00480E4E"/>
    <w:rsid w:val="004810D6"/>
    <w:rsid w:val="00481210"/>
    <w:rsid w:val="004812A6"/>
    <w:rsid w:val="004812CC"/>
    <w:rsid w:val="004812D3"/>
    <w:rsid w:val="004812E6"/>
    <w:rsid w:val="00481338"/>
    <w:rsid w:val="00481342"/>
    <w:rsid w:val="004815A0"/>
    <w:rsid w:val="0048167C"/>
    <w:rsid w:val="00481B14"/>
    <w:rsid w:val="00481BC9"/>
    <w:rsid w:val="00481D10"/>
    <w:rsid w:val="00481F73"/>
    <w:rsid w:val="0048213E"/>
    <w:rsid w:val="004821D0"/>
    <w:rsid w:val="0048227D"/>
    <w:rsid w:val="00482694"/>
    <w:rsid w:val="0048269B"/>
    <w:rsid w:val="00482825"/>
    <w:rsid w:val="004828D3"/>
    <w:rsid w:val="00482951"/>
    <w:rsid w:val="00482AA4"/>
    <w:rsid w:val="00482AAE"/>
    <w:rsid w:val="00482CE0"/>
    <w:rsid w:val="00482D0B"/>
    <w:rsid w:val="00482F09"/>
    <w:rsid w:val="00482F45"/>
    <w:rsid w:val="00482F6D"/>
    <w:rsid w:val="00482F88"/>
    <w:rsid w:val="004831B8"/>
    <w:rsid w:val="004833D0"/>
    <w:rsid w:val="0048346B"/>
    <w:rsid w:val="004834DB"/>
    <w:rsid w:val="0048359F"/>
    <w:rsid w:val="004835A0"/>
    <w:rsid w:val="0048369A"/>
    <w:rsid w:val="00483817"/>
    <w:rsid w:val="00483D4C"/>
    <w:rsid w:val="0048409E"/>
    <w:rsid w:val="00484130"/>
    <w:rsid w:val="004841BC"/>
    <w:rsid w:val="00484217"/>
    <w:rsid w:val="004843E6"/>
    <w:rsid w:val="00484468"/>
    <w:rsid w:val="00484523"/>
    <w:rsid w:val="004849D9"/>
    <w:rsid w:val="00484AC5"/>
    <w:rsid w:val="00484AD4"/>
    <w:rsid w:val="00484C22"/>
    <w:rsid w:val="00484EF0"/>
    <w:rsid w:val="00484F18"/>
    <w:rsid w:val="00484F39"/>
    <w:rsid w:val="004850B4"/>
    <w:rsid w:val="004851C3"/>
    <w:rsid w:val="004852B0"/>
    <w:rsid w:val="004855CB"/>
    <w:rsid w:val="0048563A"/>
    <w:rsid w:val="004858AF"/>
    <w:rsid w:val="0048591D"/>
    <w:rsid w:val="00485931"/>
    <w:rsid w:val="0048599F"/>
    <w:rsid w:val="004859F8"/>
    <w:rsid w:val="00485AE2"/>
    <w:rsid w:val="00485F3D"/>
    <w:rsid w:val="00485F78"/>
    <w:rsid w:val="00486100"/>
    <w:rsid w:val="004861C2"/>
    <w:rsid w:val="00486303"/>
    <w:rsid w:val="004864F2"/>
    <w:rsid w:val="00486654"/>
    <w:rsid w:val="00486664"/>
    <w:rsid w:val="004866B8"/>
    <w:rsid w:val="004866D2"/>
    <w:rsid w:val="00486768"/>
    <w:rsid w:val="0048692C"/>
    <w:rsid w:val="00486953"/>
    <w:rsid w:val="00486ACB"/>
    <w:rsid w:val="00486C4D"/>
    <w:rsid w:val="00486DA2"/>
    <w:rsid w:val="00486F9D"/>
    <w:rsid w:val="00487079"/>
    <w:rsid w:val="00487132"/>
    <w:rsid w:val="004871C7"/>
    <w:rsid w:val="00487201"/>
    <w:rsid w:val="00487205"/>
    <w:rsid w:val="00487238"/>
    <w:rsid w:val="00487252"/>
    <w:rsid w:val="00487363"/>
    <w:rsid w:val="00487388"/>
    <w:rsid w:val="004874E6"/>
    <w:rsid w:val="00487858"/>
    <w:rsid w:val="00487871"/>
    <w:rsid w:val="00487A57"/>
    <w:rsid w:val="00487B3E"/>
    <w:rsid w:val="00487D8C"/>
    <w:rsid w:val="00487FAA"/>
    <w:rsid w:val="00490052"/>
    <w:rsid w:val="00490060"/>
    <w:rsid w:val="004904FA"/>
    <w:rsid w:val="004906DA"/>
    <w:rsid w:val="00490807"/>
    <w:rsid w:val="0049091F"/>
    <w:rsid w:val="00490A45"/>
    <w:rsid w:val="00490A77"/>
    <w:rsid w:val="00490B81"/>
    <w:rsid w:val="00490B8A"/>
    <w:rsid w:val="00490BBC"/>
    <w:rsid w:val="00490C36"/>
    <w:rsid w:val="00490CD2"/>
    <w:rsid w:val="00490D64"/>
    <w:rsid w:val="00490DD7"/>
    <w:rsid w:val="00491087"/>
    <w:rsid w:val="00491104"/>
    <w:rsid w:val="00491380"/>
    <w:rsid w:val="004916AC"/>
    <w:rsid w:val="0049195E"/>
    <w:rsid w:val="00491962"/>
    <w:rsid w:val="00491AC3"/>
    <w:rsid w:val="00491CDD"/>
    <w:rsid w:val="00491DDC"/>
    <w:rsid w:val="004920C9"/>
    <w:rsid w:val="004921D8"/>
    <w:rsid w:val="00492297"/>
    <w:rsid w:val="00492404"/>
    <w:rsid w:val="004924C7"/>
    <w:rsid w:val="0049251C"/>
    <w:rsid w:val="00492521"/>
    <w:rsid w:val="00492623"/>
    <w:rsid w:val="00492646"/>
    <w:rsid w:val="0049279B"/>
    <w:rsid w:val="004928B0"/>
    <w:rsid w:val="00492906"/>
    <w:rsid w:val="00492A4B"/>
    <w:rsid w:val="00492B07"/>
    <w:rsid w:val="00492B7E"/>
    <w:rsid w:val="00492FB5"/>
    <w:rsid w:val="00493060"/>
    <w:rsid w:val="00493119"/>
    <w:rsid w:val="004931AF"/>
    <w:rsid w:val="00493321"/>
    <w:rsid w:val="00493424"/>
    <w:rsid w:val="00493558"/>
    <w:rsid w:val="004935EA"/>
    <w:rsid w:val="004937CC"/>
    <w:rsid w:val="00493A17"/>
    <w:rsid w:val="00493C3D"/>
    <w:rsid w:val="0049436D"/>
    <w:rsid w:val="004943B7"/>
    <w:rsid w:val="00494659"/>
    <w:rsid w:val="004947C4"/>
    <w:rsid w:val="004948C5"/>
    <w:rsid w:val="00494CCE"/>
    <w:rsid w:val="00494D31"/>
    <w:rsid w:val="00494E60"/>
    <w:rsid w:val="00494E91"/>
    <w:rsid w:val="00494FAF"/>
    <w:rsid w:val="00495033"/>
    <w:rsid w:val="00495051"/>
    <w:rsid w:val="004950FB"/>
    <w:rsid w:val="0049517E"/>
    <w:rsid w:val="00495824"/>
    <w:rsid w:val="00495A84"/>
    <w:rsid w:val="00495B0F"/>
    <w:rsid w:val="00495D42"/>
    <w:rsid w:val="00495E4B"/>
    <w:rsid w:val="00495F95"/>
    <w:rsid w:val="0049605C"/>
    <w:rsid w:val="0049616B"/>
    <w:rsid w:val="00496424"/>
    <w:rsid w:val="00496729"/>
    <w:rsid w:val="0049682E"/>
    <w:rsid w:val="00496B04"/>
    <w:rsid w:val="00496B13"/>
    <w:rsid w:val="00496C04"/>
    <w:rsid w:val="00496CC9"/>
    <w:rsid w:val="00496E23"/>
    <w:rsid w:val="00497082"/>
    <w:rsid w:val="00497191"/>
    <w:rsid w:val="00497249"/>
    <w:rsid w:val="004972EA"/>
    <w:rsid w:val="004973F9"/>
    <w:rsid w:val="0049759F"/>
    <w:rsid w:val="004975D4"/>
    <w:rsid w:val="004975F2"/>
    <w:rsid w:val="0049765A"/>
    <w:rsid w:val="0049770C"/>
    <w:rsid w:val="004977F4"/>
    <w:rsid w:val="00497871"/>
    <w:rsid w:val="004978CE"/>
    <w:rsid w:val="00497B26"/>
    <w:rsid w:val="00497D5B"/>
    <w:rsid w:val="00497D6A"/>
    <w:rsid w:val="00497E09"/>
    <w:rsid w:val="00497E41"/>
    <w:rsid w:val="00497EB2"/>
    <w:rsid w:val="00497FDA"/>
    <w:rsid w:val="004A0055"/>
    <w:rsid w:val="004A0346"/>
    <w:rsid w:val="004A0553"/>
    <w:rsid w:val="004A05D1"/>
    <w:rsid w:val="004A07CB"/>
    <w:rsid w:val="004A084E"/>
    <w:rsid w:val="004A08C2"/>
    <w:rsid w:val="004A0B71"/>
    <w:rsid w:val="004A0C67"/>
    <w:rsid w:val="004A1000"/>
    <w:rsid w:val="004A1004"/>
    <w:rsid w:val="004A10C0"/>
    <w:rsid w:val="004A112A"/>
    <w:rsid w:val="004A11A3"/>
    <w:rsid w:val="004A11D4"/>
    <w:rsid w:val="004A1312"/>
    <w:rsid w:val="004A1336"/>
    <w:rsid w:val="004A141D"/>
    <w:rsid w:val="004A15C1"/>
    <w:rsid w:val="004A170C"/>
    <w:rsid w:val="004A17D0"/>
    <w:rsid w:val="004A1A10"/>
    <w:rsid w:val="004A1B02"/>
    <w:rsid w:val="004A1B38"/>
    <w:rsid w:val="004A1C28"/>
    <w:rsid w:val="004A1C2E"/>
    <w:rsid w:val="004A1C8D"/>
    <w:rsid w:val="004A1CE3"/>
    <w:rsid w:val="004A22A7"/>
    <w:rsid w:val="004A23D0"/>
    <w:rsid w:val="004A23D8"/>
    <w:rsid w:val="004A2501"/>
    <w:rsid w:val="004A25FD"/>
    <w:rsid w:val="004A290B"/>
    <w:rsid w:val="004A29CA"/>
    <w:rsid w:val="004A2C18"/>
    <w:rsid w:val="004A2FBB"/>
    <w:rsid w:val="004A3030"/>
    <w:rsid w:val="004A3075"/>
    <w:rsid w:val="004A324A"/>
    <w:rsid w:val="004A3275"/>
    <w:rsid w:val="004A3636"/>
    <w:rsid w:val="004A386F"/>
    <w:rsid w:val="004A391F"/>
    <w:rsid w:val="004A3934"/>
    <w:rsid w:val="004A3AD3"/>
    <w:rsid w:val="004A3DC4"/>
    <w:rsid w:val="004A3E92"/>
    <w:rsid w:val="004A411F"/>
    <w:rsid w:val="004A42EE"/>
    <w:rsid w:val="004A4499"/>
    <w:rsid w:val="004A4617"/>
    <w:rsid w:val="004A4673"/>
    <w:rsid w:val="004A46EB"/>
    <w:rsid w:val="004A4834"/>
    <w:rsid w:val="004A495B"/>
    <w:rsid w:val="004A4B8E"/>
    <w:rsid w:val="004A4C48"/>
    <w:rsid w:val="004A4D2B"/>
    <w:rsid w:val="004A4DC7"/>
    <w:rsid w:val="004A4EA0"/>
    <w:rsid w:val="004A4EC7"/>
    <w:rsid w:val="004A4ECE"/>
    <w:rsid w:val="004A4FA4"/>
    <w:rsid w:val="004A514A"/>
    <w:rsid w:val="004A528F"/>
    <w:rsid w:val="004A52D1"/>
    <w:rsid w:val="004A5314"/>
    <w:rsid w:val="004A5397"/>
    <w:rsid w:val="004A5511"/>
    <w:rsid w:val="004A551D"/>
    <w:rsid w:val="004A5734"/>
    <w:rsid w:val="004A5B6C"/>
    <w:rsid w:val="004A5B95"/>
    <w:rsid w:val="004A5BEA"/>
    <w:rsid w:val="004A5BFA"/>
    <w:rsid w:val="004A5CE9"/>
    <w:rsid w:val="004A5DAE"/>
    <w:rsid w:val="004A6112"/>
    <w:rsid w:val="004A61B9"/>
    <w:rsid w:val="004A61F7"/>
    <w:rsid w:val="004A6527"/>
    <w:rsid w:val="004A6538"/>
    <w:rsid w:val="004A65C0"/>
    <w:rsid w:val="004A6755"/>
    <w:rsid w:val="004A677D"/>
    <w:rsid w:val="004A67A8"/>
    <w:rsid w:val="004A694B"/>
    <w:rsid w:val="004A69C4"/>
    <w:rsid w:val="004A6A25"/>
    <w:rsid w:val="004A6E3E"/>
    <w:rsid w:val="004A6E81"/>
    <w:rsid w:val="004A6EFA"/>
    <w:rsid w:val="004A6EFC"/>
    <w:rsid w:val="004A6F03"/>
    <w:rsid w:val="004A7018"/>
    <w:rsid w:val="004A70B3"/>
    <w:rsid w:val="004A735B"/>
    <w:rsid w:val="004A7626"/>
    <w:rsid w:val="004A76F7"/>
    <w:rsid w:val="004A785B"/>
    <w:rsid w:val="004A7A00"/>
    <w:rsid w:val="004A7CCD"/>
    <w:rsid w:val="004A7D46"/>
    <w:rsid w:val="004A7ED4"/>
    <w:rsid w:val="004A7EF7"/>
    <w:rsid w:val="004A7F02"/>
    <w:rsid w:val="004A7F26"/>
    <w:rsid w:val="004A7F8E"/>
    <w:rsid w:val="004B00B0"/>
    <w:rsid w:val="004B00B7"/>
    <w:rsid w:val="004B012F"/>
    <w:rsid w:val="004B0241"/>
    <w:rsid w:val="004B0416"/>
    <w:rsid w:val="004B0603"/>
    <w:rsid w:val="004B0612"/>
    <w:rsid w:val="004B0615"/>
    <w:rsid w:val="004B0756"/>
    <w:rsid w:val="004B07E1"/>
    <w:rsid w:val="004B083C"/>
    <w:rsid w:val="004B0ABF"/>
    <w:rsid w:val="004B0AFE"/>
    <w:rsid w:val="004B0C47"/>
    <w:rsid w:val="004B0D19"/>
    <w:rsid w:val="004B0D1A"/>
    <w:rsid w:val="004B0FCB"/>
    <w:rsid w:val="004B121C"/>
    <w:rsid w:val="004B123E"/>
    <w:rsid w:val="004B1296"/>
    <w:rsid w:val="004B12D2"/>
    <w:rsid w:val="004B1312"/>
    <w:rsid w:val="004B1374"/>
    <w:rsid w:val="004B13DC"/>
    <w:rsid w:val="004B176B"/>
    <w:rsid w:val="004B188A"/>
    <w:rsid w:val="004B18B2"/>
    <w:rsid w:val="004B19E1"/>
    <w:rsid w:val="004B1B37"/>
    <w:rsid w:val="004B1B75"/>
    <w:rsid w:val="004B1BBA"/>
    <w:rsid w:val="004B1D82"/>
    <w:rsid w:val="004B1D8B"/>
    <w:rsid w:val="004B1E5C"/>
    <w:rsid w:val="004B1EBF"/>
    <w:rsid w:val="004B1F3D"/>
    <w:rsid w:val="004B1F5C"/>
    <w:rsid w:val="004B2272"/>
    <w:rsid w:val="004B22CC"/>
    <w:rsid w:val="004B239C"/>
    <w:rsid w:val="004B23F7"/>
    <w:rsid w:val="004B2484"/>
    <w:rsid w:val="004B2911"/>
    <w:rsid w:val="004B2C25"/>
    <w:rsid w:val="004B2E04"/>
    <w:rsid w:val="004B33C0"/>
    <w:rsid w:val="004B346C"/>
    <w:rsid w:val="004B3556"/>
    <w:rsid w:val="004B35C1"/>
    <w:rsid w:val="004B35FD"/>
    <w:rsid w:val="004B36C6"/>
    <w:rsid w:val="004B36D9"/>
    <w:rsid w:val="004B3764"/>
    <w:rsid w:val="004B37DC"/>
    <w:rsid w:val="004B38E3"/>
    <w:rsid w:val="004B3C14"/>
    <w:rsid w:val="004B3CE2"/>
    <w:rsid w:val="004B3D83"/>
    <w:rsid w:val="004B3F50"/>
    <w:rsid w:val="004B3F9D"/>
    <w:rsid w:val="004B4023"/>
    <w:rsid w:val="004B403D"/>
    <w:rsid w:val="004B4119"/>
    <w:rsid w:val="004B4697"/>
    <w:rsid w:val="004B47DF"/>
    <w:rsid w:val="004B480C"/>
    <w:rsid w:val="004B4829"/>
    <w:rsid w:val="004B49C0"/>
    <w:rsid w:val="004B4A02"/>
    <w:rsid w:val="004B4AAE"/>
    <w:rsid w:val="004B4C13"/>
    <w:rsid w:val="004B4C59"/>
    <w:rsid w:val="004B4E70"/>
    <w:rsid w:val="004B5188"/>
    <w:rsid w:val="004B51FC"/>
    <w:rsid w:val="004B5397"/>
    <w:rsid w:val="004B55A1"/>
    <w:rsid w:val="004B5B11"/>
    <w:rsid w:val="004B5BFC"/>
    <w:rsid w:val="004B5C8A"/>
    <w:rsid w:val="004B5EBC"/>
    <w:rsid w:val="004B5F7F"/>
    <w:rsid w:val="004B6040"/>
    <w:rsid w:val="004B610A"/>
    <w:rsid w:val="004B6288"/>
    <w:rsid w:val="004B6534"/>
    <w:rsid w:val="004B6957"/>
    <w:rsid w:val="004B6A72"/>
    <w:rsid w:val="004B6D05"/>
    <w:rsid w:val="004B6D89"/>
    <w:rsid w:val="004B6EB5"/>
    <w:rsid w:val="004B6F0E"/>
    <w:rsid w:val="004B707B"/>
    <w:rsid w:val="004B729E"/>
    <w:rsid w:val="004B7405"/>
    <w:rsid w:val="004B74C5"/>
    <w:rsid w:val="004B7529"/>
    <w:rsid w:val="004B753F"/>
    <w:rsid w:val="004B7723"/>
    <w:rsid w:val="004B79BF"/>
    <w:rsid w:val="004B79C0"/>
    <w:rsid w:val="004B7A1C"/>
    <w:rsid w:val="004B7B1E"/>
    <w:rsid w:val="004B7C4F"/>
    <w:rsid w:val="004B7CA6"/>
    <w:rsid w:val="004B7CFE"/>
    <w:rsid w:val="004B7EEF"/>
    <w:rsid w:val="004B7F46"/>
    <w:rsid w:val="004B7F74"/>
    <w:rsid w:val="004C00C1"/>
    <w:rsid w:val="004C05F6"/>
    <w:rsid w:val="004C0662"/>
    <w:rsid w:val="004C0681"/>
    <w:rsid w:val="004C08D8"/>
    <w:rsid w:val="004C0912"/>
    <w:rsid w:val="004C0A9C"/>
    <w:rsid w:val="004C0BF5"/>
    <w:rsid w:val="004C0D7F"/>
    <w:rsid w:val="004C0DCA"/>
    <w:rsid w:val="004C0ED3"/>
    <w:rsid w:val="004C108A"/>
    <w:rsid w:val="004C1168"/>
    <w:rsid w:val="004C139A"/>
    <w:rsid w:val="004C154A"/>
    <w:rsid w:val="004C1642"/>
    <w:rsid w:val="004C1771"/>
    <w:rsid w:val="004C17F7"/>
    <w:rsid w:val="004C186C"/>
    <w:rsid w:val="004C18CA"/>
    <w:rsid w:val="004C1A61"/>
    <w:rsid w:val="004C1B02"/>
    <w:rsid w:val="004C1C46"/>
    <w:rsid w:val="004C1C54"/>
    <w:rsid w:val="004C2050"/>
    <w:rsid w:val="004C22F1"/>
    <w:rsid w:val="004C240E"/>
    <w:rsid w:val="004C2524"/>
    <w:rsid w:val="004C27A9"/>
    <w:rsid w:val="004C2845"/>
    <w:rsid w:val="004C2930"/>
    <w:rsid w:val="004C2B5B"/>
    <w:rsid w:val="004C2E01"/>
    <w:rsid w:val="004C2EAE"/>
    <w:rsid w:val="004C2EB5"/>
    <w:rsid w:val="004C2EC7"/>
    <w:rsid w:val="004C311D"/>
    <w:rsid w:val="004C3200"/>
    <w:rsid w:val="004C328A"/>
    <w:rsid w:val="004C32BC"/>
    <w:rsid w:val="004C3340"/>
    <w:rsid w:val="004C350D"/>
    <w:rsid w:val="004C3529"/>
    <w:rsid w:val="004C3565"/>
    <w:rsid w:val="004C359D"/>
    <w:rsid w:val="004C3818"/>
    <w:rsid w:val="004C3964"/>
    <w:rsid w:val="004C3A1F"/>
    <w:rsid w:val="004C3C47"/>
    <w:rsid w:val="004C3F09"/>
    <w:rsid w:val="004C3F0A"/>
    <w:rsid w:val="004C3F27"/>
    <w:rsid w:val="004C3F62"/>
    <w:rsid w:val="004C3FFD"/>
    <w:rsid w:val="004C4086"/>
    <w:rsid w:val="004C41A4"/>
    <w:rsid w:val="004C41B1"/>
    <w:rsid w:val="004C4244"/>
    <w:rsid w:val="004C427C"/>
    <w:rsid w:val="004C4712"/>
    <w:rsid w:val="004C4757"/>
    <w:rsid w:val="004C477E"/>
    <w:rsid w:val="004C4790"/>
    <w:rsid w:val="004C4948"/>
    <w:rsid w:val="004C4C3F"/>
    <w:rsid w:val="004C54E1"/>
    <w:rsid w:val="004C5743"/>
    <w:rsid w:val="004C584B"/>
    <w:rsid w:val="004C58AC"/>
    <w:rsid w:val="004C592E"/>
    <w:rsid w:val="004C5933"/>
    <w:rsid w:val="004C5A1B"/>
    <w:rsid w:val="004C5A41"/>
    <w:rsid w:val="004C5BD5"/>
    <w:rsid w:val="004C5C0D"/>
    <w:rsid w:val="004C5C23"/>
    <w:rsid w:val="004C5C39"/>
    <w:rsid w:val="004C5D27"/>
    <w:rsid w:val="004C5F4E"/>
    <w:rsid w:val="004C5FF2"/>
    <w:rsid w:val="004C6070"/>
    <w:rsid w:val="004C6079"/>
    <w:rsid w:val="004C61B3"/>
    <w:rsid w:val="004C6237"/>
    <w:rsid w:val="004C62D5"/>
    <w:rsid w:val="004C64B3"/>
    <w:rsid w:val="004C64DF"/>
    <w:rsid w:val="004C6673"/>
    <w:rsid w:val="004C66CA"/>
    <w:rsid w:val="004C6938"/>
    <w:rsid w:val="004C6959"/>
    <w:rsid w:val="004C698E"/>
    <w:rsid w:val="004C6B27"/>
    <w:rsid w:val="004C6B78"/>
    <w:rsid w:val="004C6BF1"/>
    <w:rsid w:val="004C6C20"/>
    <w:rsid w:val="004C6D96"/>
    <w:rsid w:val="004C6DC1"/>
    <w:rsid w:val="004C6FA4"/>
    <w:rsid w:val="004C6FBE"/>
    <w:rsid w:val="004C70A0"/>
    <w:rsid w:val="004C7130"/>
    <w:rsid w:val="004C71B7"/>
    <w:rsid w:val="004C7417"/>
    <w:rsid w:val="004C7536"/>
    <w:rsid w:val="004C7558"/>
    <w:rsid w:val="004C75F5"/>
    <w:rsid w:val="004C76E7"/>
    <w:rsid w:val="004C7737"/>
    <w:rsid w:val="004C773C"/>
    <w:rsid w:val="004C7781"/>
    <w:rsid w:val="004C783D"/>
    <w:rsid w:val="004C7883"/>
    <w:rsid w:val="004C7912"/>
    <w:rsid w:val="004C7A20"/>
    <w:rsid w:val="004C7B3B"/>
    <w:rsid w:val="004C7C79"/>
    <w:rsid w:val="004C7F08"/>
    <w:rsid w:val="004C7FCE"/>
    <w:rsid w:val="004D0117"/>
    <w:rsid w:val="004D0189"/>
    <w:rsid w:val="004D02BD"/>
    <w:rsid w:val="004D02CF"/>
    <w:rsid w:val="004D0404"/>
    <w:rsid w:val="004D0564"/>
    <w:rsid w:val="004D083B"/>
    <w:rsid w:val="004D090D"/>
    <w:rsid w:val="004D0969"/>
    <w:rsid w:val="004D0B47"/>
    <w:rsid w:val="004D0B9F"/>
    <w:rsid w:val="004D0C3A"/>
    <w:rsid w:val="004D0C55"/>
    <w:rsid w:val="004D0C8A"/>
    <w:rsid w:val="004D0D88"/>
    <w:rsid w:val="004D0EC9"/>
    <w:rsid w:val="004D0FBB"/>
    <w:rsid w:val="004D0FCC"/>
    <w:rsid w:val="004D10E2"/>
    <w:rsid w:val="004D113F"/>
    <w:rsid w:val="004D12A9"/>
    <w:rsid w:val="004D13C2"/>
    <w:rsid w:val="004D14E2"/>
    <w:rsid w:val="004D1523"/>
    <w:rsid w:val="004D15F2"/>
    <w:rsid w:val="004D1635"/>
    <w:rsid w:val="004D1720"/>
    <w:rsid w:val="004D19F9"/>
    <w:rsid w:val="004D1C66"/>
    <w:rsid w:val="004D1F20"/>
    <w:rsid w:val="004D1F24"/>
    <w:rsid w:val="004D1F52"/>
    <w:rsid w:val="004D205F"/>
    <w:rsid w:val="004D2073"/>
    <w:rsid w:val="004D24BA"/>
    <w:rsid w:val="004D2533"/>
    <w:rsid w:val="004D259C"/>
    <w:rsid w:val="004D260B"/>
    <w:rsid w:val="004D2779"/>
    <w:rsid w:val="004D283D"/>
    <w:rsid w:val="004D28D3"/>
    <w:rsid w:val="004D29B6"/>
    <w:rsid w:val="004D2BB2"/>
    <w:rsid w:val="004D2D40"/>
    <w:rsid w:val="004D2E00"/>
    <w:rsid w:val="004D2EAB"/>
    <w:rsid w:val="004D2EFA"/>
    <w:rsid w:val="004D3148"/>
    <w:rsid w:val="004D3379"/>
    <w:rsid w:val="004D344C"/>
    <w:rsid w:val="004D3537"/>
    <w:rsid w:val="004D358A"/>
    <w:rsid w:val="004D359C"/>
    <w:rsid w:val="004D35AB"/>
    <w:rsid w:val="004D364A"/>
    <w:rsid w:val="004D3897"/>
    <w:rsid w:val="004D39BB"/>
    <w:rsid w:val="004D3ADE"/>
    <w:rsid w:val="004D3B3A"/>
    <w:rsid w:val="004D3C90"/>
    <w:rsid w:val="004D4031"/>
    <w:rsid w:val="004D4086"/>
    <w:rsid w:val="004D41CB"/>
    <w:rsid w:val="004D4423"/>
    <w:rsid w:val="004D464F"/>
    <w:rsid w:val="004D4660"/>
    <w:rsid w:val="004D466C"/>
    <w:rsid w:val="004D4871"/>
    <w:rsid w:val="004D4B4A"/>
    <w:rsid w:val="004D4B86"/>
    <w:rsid w:val="004D4BCB"/>
    <w:rsid w:val="004D4DB8"/>
    <w:rsid w:val="004D4E7C"/>
    <w:rsid w:val="004D4FAC"/>
    <w:rsid w:val="004D4FE5"/>
    <w:rsid w:val="004D5078"/>
    <w:rsid w:val="004D51DB"/>
    <w:rsid w:val="004D547A"/>
    <w:rsid w:val="004D569C"/>
    <w:rsid w:val="004D56E4"/>
    <w:rsid w:val="004D570D"/>
    <w:rsid w:val="004D5717"/>
    <w:rsid w:val="004D57C7"/>
    <w:rsid w:val="004D5873"/>
    <w:rsid w:val="004D5981"/>
    <w:rsid w:val="004D5A98"/>
    <w:rsid w:val="004D5AF6"/>
    <w:rsid w:val="004D5C19"/>
    <w:rsid w:val="004D5FA0"/>
    <w:rsid w:val="004D5FA7"/>
    <w:rsid w:val="004D618E"/>
    <w:rsid w:val="004D659F"/>
    <w:rsid w:val="004D664C"/>
    <w:rsid w:val="004D66C1"/>
    <w:rsid w:val="004D66FB"/>
    <w:rsid w:val="004D6807"/>
    <w:rsid w:val="004D68AC"/>
    <w:rsid w:val="004D692B"/>
    <w:rsid w:val="004D6AF4"/>
    <w:rsid w:val="004D6DC4"/>
    <w:rsid w:val="004D6E3C"/>
    <w:rsid w:val="004D706B"/>
    <w:rsid w:val="004D71A7"/>
    <w:rsid w:val="004D72AA"/>
    <w:rsid w:val="004D7376"/>
    <w:rsid w:val="004D73A9"/>
    <w:rsid w:val="004D7459"/>
    <w:rsid w:val="004D74E4"/>
    <w:rsid w:val="004D7548"/>
    <w:rsid w:val="004D75E2"/>
    <w:rsid w:val="004D76A6"/>
    <w:rsid w:val="004D76D8"/>
    <w:rsid w:val="004D77D9"/>
    <w:rsid w:val="004D77F2"/>
    <w:rsid w:val="004D796A"/>
    <w:rsid w:val="004D79AA"/>
    <w:rsid w:val="004D7A55"/>
    <w:rsid w:val="004D7C7E"/>
    <w:rsid w:val="004D7E0B"/>
    <w:rsid w:val="004D7F45"/>
    <w:rsid w:val="004D7F80"/>
    <w:rsid w:val="004D7FD4"/>
    <w:rsid w:val="004E007E"/>
    <w:rsid w:val="004E0185"/>
    <w:rsid w:val="004E01C1"/>
    <w:rsid w:val="004E0250"/>
    <w:rsid w:val="004E028E"/>
    <w:rsid w:val="004E02D0"/>
    <w:rsid w:val="004E030D"/>
    <w:rsid w:val="004E0421"/>
    <w:rsid w:val="004E04B2"/>
    <w:rsid w:val="004E0628"/>
    <w:rsid w:val="004E06C6"/>
    <w:rsid w:val="004E0763"/>
    <w:rsid w:val="004E077F"/>
    <w:rsid w:val="004E086E"/>
    <w:rsid w:val="004E0CEC"/>
    <w:rsid w:val="004E0F15"/>
    <w:rsid w:val="004E1151"/>
    <w:rsid w:val="004E11D4"/>
    <w:rsid w:val="004E124B"/>
    <w:rsid w:val="004E12E8"/>
    <w:rsid w:val="004E12F5"/>
    <w:rsid w:val="004E13E1"/>
    <w:rsid w:val="004E1468"/>
    <w:rsid w:val="004E1567"/>
    <w:rsid w:val="004E1588"/>
    <w:rsid w:val="004E159D"/>
    <w:rsid w:val="004E15EF"/>
    <w:rsid w:val="004E16B1"/>
    <w:rsid w:val="004E1740"/>
    <w:rsid w:val="004E1776"/>
    <w:rsid w:val="004E1929"/>
    <w:rsid w:val="004E1A9B"/>
    <w:rsid w:val="004E1AC3"/>
    <w:rsid w:val="004E1B3C"/>
    <w:rsid w:val="004E1C5F"/>
    <w:rsid w:val="004E1CB8"/>
    <w:rsid w:val="004E1D93"/>
    <w:rsid w:val="004E1DF3"/>
    <w:rsid w:val="004E1E57"/>
    <w:rsid w:val="004E1F2F"/>
    <w:rsid w:val="004E1F9C"/>
    <w:rsid w:val="004E2149"/>
    <w:rsid w:val="004E227C"/>
    <w:rsid w:val="004E2422"/>
    <w:rsid w:val="004E2684"/>
    <w:rsid w:val="004E28D6"/>
    <w:rsid w:val="004E2955"/>
    <w:rsid w:val="004E29BD"/>
    <w:rsid w:val="004E2A33"/>
    <w:rsid w:val="004E2AAF"/>
    <w:rsid w:val="004E2DDD"/>
    <w:rsid w:val="004E301F"/>
    <w:rsid w:val="004E3031"/>
    <w:rsid w:val="004E30C0"/>
    <w:rsid w:val="004E30FC"/>
    <w:rsid w:val="004E3138"/>
    <w:rsid w:val="004E323B"/>
    <w:rsid w:val="004E34AA"/>
    <w:rsid w:val="004E34C8"/>
    <w:rsid w:val="004E3530"/>
    <w:rsid w:val="004E353B"/>
    <w:rsid w:val="004E363A"/>
    <w:rsid w:val="004E394E"/>
    <w:rsid w:val="004E395B"/>
    <w:rsid w:val="004E3A2C"/>
    <w:rsid w:val="004E3A66"/>
    <w:rsid w:val="004E3B11"/>
    <w:rsid w:val="004E3D66"/>
    <w:rsid w:val="004E3F4F"/>
    <w:rsid w:val="004E40BB"/>
    <w:rsid w:val="004E410E"/>
    <w:rsid w:val="004E4308"/>
    <w:rsid w:val="004E44E6"/>
    <w:rsid w:val="004E4560"/>
    <w:rsid w:val="004E45E0"/>
    <w:rsid w:val="004E464B"/>
    <w:rsid w:val="004E470B"/>
    <w:rsid w:val="004E47DD"/>
    <w:rsid w:val="004E47F4"/>
    <w:rsid w:val="004E486A"/>
    <w:rsid w:val="004E4990"/>
    <w:rsid w:val="004E4A27"/>
    <w:rsid w:val="004E4B1A"/>
    <w:rsid w:val="004E4BD4"/>
    <w:rsid w:val="004E4C26"/>
    <w:rsid w:val="004E4C4F"/>
    <w:rsid w:val="004E4DBF"/>
    <w:rsid w:val="004E4E3D"/>
    <w:rsid w:val="004E4EC8"/>
    <w:rsid w:val="004E50C2"/>
    <w:rsid w:val="004E5276"/>
    <w:rsid w:val="004E52CA"/>
    <w:rsid w:val="004E537E"/>
    <w:rsid w:val="004E53CD"/>
    <w:rsid w:val="004E53DA"/>
    <w:rsid w:val="004E540A"/>
    <w:rsid w:val="004E54C7"/>
    <w:rsid w:val="004E558D"/>
    <w:rsid w:val="004E55C5"/>
    <w:rsid w:val="004E55EF"/>
    <w:rsid w:val="004E5613"/>
    <w:rsid w:val="004E56DA"/>
    <w:rsid w:val="004E59C8"/>
    <w:rsid w:val="004E59E6"/>
    <w:rsid w:val="004E59FF"/>
    <w:rsid w:val="004E5A39"/>
    <w:rsid w:val="004E5D63"/>
    <w:rsid w:val="004E5D85"/>
    <w:rsid w:val="004E5D90"/>
    <w:rsid w:val="004E5DD2"/>
    <w:rsid w:val="004E5F33"/>
    <w:rsid w:val="004E5F9C"/>
    <w:rsid w:val="004E614C"/>
    <w:rsid w:val="004E61FD"/>
    <w:rsid w:val="004E624B"/>
    <w:rsid w:val="004E62E7"/>
    <w:rsid w:val="004E6306"/>
    <w:rsid w:val="004E63FC"/>
    <w:rsid w:val="004E6425"/>
    <w:rsid w:val="004E64B5"/>
    <w:rsid w:val="004E64D4"/>
    <w:rsid w:val="004E65C4"/>
    <w:rsid w:val="004E67C4"/>
    <w:rsid w:val="004E696B"/>
    <w:rsid w:val="004E6E2D"/>
    <w:rsid w:val="004E704E"/>
    <w:rsid w:val="004E7112"/>
    <w:rsid w:val="004E713E"/>
    <w:rsid w:val="004E73C5"/>
    <w:rsid w:val="004E7578"/>
    <w:rsid w:val="004E7657"/>
    <w:rsid w:val="004E7824"/>
    <w:rsid w:val="004E7915"/>
    <w:rsid w:val="004E7940"/>
    <w:rsid w:val="004E797B"/>
    <w:rsid w:val="004E7B03"/>
    <w:rsid w:val="004E7B94"/>
    <w:rsid w:val="004E7BCA"/>
    <w:rsid w:val="004E7BF0"/>
    <w:rsid w:val="004E7C45"/>
    <w:rsid w:val="004E7C50"/>
    <w:rsid w:val="004E7CD3"/>
    <w:rsid w:val="004E7E96"/>
    <w:rsid w:val="004E7EFC"/>
    <w:rsid w:val="004E7F40"/>
    <w:rsid w:val="004E7F6C"/>
    <w:rsid w:val="004F006F"/>
    <w:rsid w:val="004F00EA"/>
    <w:rsid w:val="004F015F"/>
    <w:rsid w:val="004F01CB"/>
    <w:rsid w:val="004F0309"/>
    <w:rsid w:val="004F04D3"/>
    <w:rsid w:val="004F074E"/>
    <w:rsid w:val="004F0973"/>
    <w:rsid w:val="004F09CF"/>
    <w:rsid w:val="004F09DC"/>
    <w:rsid w:val="004F0A87"/>
    <w:rsid w:val="004F0A90"/>
    <w:rsid w:val="004F0B72"/>
    <w:rsid w:val="004F0D05"/>
    <w:rsid w:val="004F0DB0"/>
    <w:rsid w:val="004F0F13"/>
    <w:rsid w:val="004F11CB"/>
    <w:rsid w:val="004F1215"/>
    <w:rsid w:val="004F1366"/>
    <w:rsid w:val="004F16DF"/>
    <w:rsid w:val="004F1915"/>
    <w:rsid w:val="004F1CC6"/>
    <w:rsid w:val="004F1FC8"/>
    <w:rsid w:val="004F204D"/>
    <w:rsid w:val="004F20E2"/>
    <w:rsid w:val="004F2252"/>
    <w:rsid w:val="004F2282"/>
    <w:rsid w:val="004F2313"/>
    <w:rsid w:val="004F24B0"/>
    <w:rsid w:val="004F2574"/>
    <w:rsid w:val="004F27E7"/>
    <w:rsid w:val="004F29E7"/>
    <w:rsid w:val="004F2A3E"/>
    <w:rsid w:val="004F2AE8"/>
    <w:rsid w:val="004F2D41"/>
    <w:rsid w:val="004F2F9A"/>
    <w:rsid w:val="004F33E9"/>
    <w:rsid w:val="004F3605"/>
    <w:rsid w:val="004F38B0"/>
    <w:rsid w:val="004F3A62"/>
    <w:rsid w:val="004F3BEF"/>
    <w:rsid w:val="004F3C72"/>
    <w:rsid w:val="004F3D24"/>
    <w:rsid w:val="004F3FD9"/>
    <w:rsid w:val="004F4176"/>
    <w:rsid w:val="004F462B"/>
    <w:rsid w:val="004F46FB"/>
    <w:rsid w:val="004F47D9"/>
    <w:rsid w:val="004F4C3A"/>
    <w:rsid w:val="004F4C4E"/>
    <w:rsid w:val="004F4DB9"/>
    <w:rsid w:val="004F4DFD"/>
    <w:rsid w:val="004F4E3E"/>
    <w:rsid w:val="004F4EB4"/>
    <w:rsid w:val="004F5153"/>
    <w:rsid w:val="004F51A3"/>
    <w:rsid w:val="004F51C2"/>
    <w:rsid w:val="004F5419"/>
    <w:rsid w:val="004F5842"/>
    <w:rsid w:val="004F58E1"/>
    <w:rsid w:val="004F5936"/>
    <w:rsid w:val="004F594F"/>
    <w:rsid w:val="004F5A36"/>
    <w:rsid w:val="004F5A72"/>
    <w:rsid w:val="004F5AD5"/>
    <w:rsid w:val="004F5B2D"/>
    <w:rsid w:val="004F5B67"/>
    <w:rsid w:val="004F5BE9"/>
    <w:rsid w:val="004F5C58"/>
    <w:rsid w:val="004F5DEB"/>
    <w:rsid w:val="004F5DF9"/>
    <w:rsid w:val="004F5E30"/>
    <w:rsid w:val="004F5F74"/>
    <w:rsid w:val="004F60DD"/>
    <w:rsid w:val="004F60F2"/>
    <w:rsid w:val="004F6130"/>
    <w:rsid w:val="004F6194"/>
    <w:rsid w:val="004F61AC"/>
    <w:rsid w:val="004F63F6"/>
    <w:rsid w:val="004F64EE"/>
    <w:rsid w:val="004F6647"/>
    <w:rsid w:val="004F67EB"/>
    <w:rsid w:val="004F69E1"/>
    <w:rsid w:val="004F6B41"/>
    <w:rsid w:val="004F6BA6"/>
    <w:rsid w:val="004F6F28"/>
    <w:rsid w:val="004F72CD"/>
    <w:rsid w:val="004F7389"/>
    <w:rsid w:val="004F75F8"/>
    <w:rsid w:val="004F7711"/>
    <w:rsid w:val="004F772E"/>
    <w:rsid w:val="004F773E"/>
    <w:rsid w:val="004F7791"/>
    <w:rsid w:val="004F77B6"/>
    <w:rsid w:val="004F781E"/>
    <w:rsid w:val="004F7B3B"/>
    <w:rsid w:val="004F7B6F"/>
    <w:rsid w:val="004F7BC4"/>
    <w:rsid w:val="004F7D75"/>
    <w:rsid w:val="004F7FB7"/>
    <w:rsid w:val="00500113"/>
    <w:rsid w:val="0050024C"/>
    <w:rsid w:val="0050040A"/>
    <w:rsid w:val="0050052E"/>
    <w:rsid w:val="00500805"/>
    <w:rsid w:val="0050083B"/>
    <w:rsid w:val="00500CCF"/>
    <w:rsid w:val="00500D2A"/>
    <w:rsid w:val="00500D57"/>
    <w:rsid w:val="00500EC0"/>
    <w:rsid w:val="00501235"/>
    <w:rsid w:val="00501314"/>
    <w:rsid w:val="005013ED"/>
    <w:rsid w:val="0050190C"/>
    <w:rsid w:val="005019C3"/>
    <w:rsid w:val="00501B98"/>
    <w:rsid w:val="00501C26"/>
    <w:rsid w:val="00501CE3"/>
    <w:rsid w:val="00501CFB"/>
    <w:rsid w:val="00501D9D"/>
    <w:rsid w:val="00501FF4"/>
    <w:rsid w:val="005023F5"/>
    <w:rsid w:val="00502431"/>
    <w:rsid w:val="00502641"/>
    <w:rsid w:val="005026D8"/>
    <w:rsid w:val="005029A8"/>
    <w:rsid w:val="00502ABD"/>
    <w:rsid w:val="00502B95"/>
    <w:rsid w:val="00502C17"/>
    <w:rsid w:val="00502C2D"/>
    <w:rsid w:val="00502DAA"/>
    <w:rsid w:val="00502DC1"/>
    <w:rsid w:val="00502E81"/>
    <w:rsid w:val="00502F1B"/>
    <w:rsid w:val="00502F28"/>
    <w:rsid w:val="00503199"/>
    <w:rsid w:val="005031BD"/>
    <w:rsid w:val="005031F2"/>
    <w:rsid w:val="00503535"/>
    <w:rsid w:val="005035A2"/>
    <w:rsid w:val="005035A8"/>
    <w:rsid w:val="00503649"/>
    <w:rsid w:val="0050365B"/>
    <w:rsid w:val="005037F6"/>
    <w:rsid w:val="005039E8"/>
    <w:rsid w:val="00503BC6"/>
    <w:rsid w:val="00503BE3"/>
    <w:rsid w:val="00503E2C"/>
    <w:rsid w:val="0050405E"/>
    <w:rsid w:val="00504094"/>
    <w:rsid w:val="005040FD"/>
    <w:rsid w:val="00504264"/>
    <w:rsid w:val="0050426B"/>
    <w:rsid w:val="00504273"/>
    <w:rsid w:val="0050429D"/>
    <w:rsid w:val="005042F7"/>
    <w:rsid w:val="005043AA"/>
    <w:rsid w:val="00504446"/>
    <w:rsid w:val="00504591"/>
    <w:rsid w:val="0050462F"/>
    <w:rsid w:val="00504836"/>
    <w:rsid w:val="005048FD"/>
    <w:rsid w:val="00504994"/>
    <w:rsid w:val="00504A5F"/>
    <w:rsid w:val="00504A76"/>
    <w:rsid w:val="00504C12"/>
    <w:rsid w:val="00504CC8"/>
    <w:rsid w:val="00504DDE"/>
    <w:rsid w:val="0050503B"/>
    <w:rsid w:val="00505213"/>
    <w:rsid w:val="0050528A"/>
    <w:rsid w:val="0050535B"/>
    <w:rsid w:val="0050552D"/>
    <w:rsid w:val="00505550"/>
    <w:rsid w:val="005056B5"/>
    <w:rsid w:val="005059FD"/>
    <w:rsid w:val="00505B5E"/>
    <w:rsid w:val="00505C3A"/>
    <w:rsid w:val="00505F01"/>
    <w:rsid w:val="0050620C"/>
    <w:rsid w:val="00506253"/>
    <w:rsid w:val="005065C5"/>
    <w:rsid w:val="00506B8F"/>
    <w:rsid w:val="00506BDB"/>
    <w:rsid w:val="00506BE3"/>
    <w:rsid w:val="00506C1C"/>
    <w:rsid w:val="00506C67"/>
    <w:rsid w:val="00506E34"/>
    <w:rsid w:val="00506E4D"/>
    <w:rsid w:val="00506FE8"/>
    <w:rsid w:val="005070A7"/>
    <w:rsid w:val="005070BC"/>
    <w:rsid w:val="005070C8"/>
    <w:rsid w:val="0050720E"/>
    <w:rsid w:val="00507400"/>
    <w:rsid w:val="00507409"/>
    <w:rsid w:val="0050745A"/>
    <w:rsid w:val="00507516"/>
    <w:rsid w:val="005079AD"/>
    <w:rsid w:val="00507A94"/>
    <w:rsid w:val="00507CAC"/>
    <w:rsid w:val="00507EB4"/>
    <w:rsid w:val="00510044"/>
    <w:rsid w:val="00510227"/>
    <w:rsid w:val="00510269"/>
    <w:rsid w:val="0051031F"/>
    <w:rsid w:val="0051041C"/>
    <w:rsid w:val="00510493"/>
    <w:rsid w:val="00510688"/>
    <w:rsid w:val="0051076C"/>
    <w:rsid w:val="005107C8"/>
    <w:rsid w:val="0051080C"/>
    <w:rsid w:val="00510835"/>
    <w:rsid w:val="00510856"/>
    <w:rsid w:val="00510961"/>
    <w:rsid w:val="00510A5D"/>
    <w:rsid w:val="00510A81"/>
    <w:rsid w:val="00510C19"/>
    <w:rsid w:val="00510CAE"/>
    <w:rsid w:val="00510D18"/>
    <w:rsid w:val="00510D65"/>
    <w:rsid w:val="00510DA5"/>
    <w:rsid w:val="00510E46"/>
    <w:rsid w:val="00510EEA"/>
    <w:rsid w:val="00510FB7"/>
    <w:rsid w:val="005110C9"/>
    <w:rsid w:val="00511361"/>
    <w:rsid w:val="005116C5"/>
    <w:rsid w:val="00511A7F"/>
    <w:rsid w:val="00511B08"/>
    <w:rsid w:val="00511B47"/>
    <w:rsid w:val="00511C62"/>
    <w:rsid w:val="00511EDD"/>
    <w:rsid w:val="00512049"/>
    <w:rsid w:val="0051206D"/>
    <w:rsid w:val="005120AD"/>
    <w:rsid w:val="005120F4"/>
    <w:rsid w:val="00512341"/>
    <w:rsid w:val="005124E2"/>
    <w:rsid w:val="00512598"/>
    <w:rsid w:val="00512758"/>
    <w:rsid w:val="0051275A"/>
    <w:rsid w:val="005127CE"/>
    <w:rsid w:val="005127EA"/>
    <w:rsid w:val="005128C7"/>
    <w:rsid w:val="00512949"/>
    <w:rsid w:val="00512A39"/>
    <w:rsid w:val="00512AC6"/>
    <w:rsid w:val="00512AED"/>
    <w:rsid w:val="00512E1B"/>
    <w:rsid w:val="00512E4D"/>
    <w:rsid w:val="00512E9F"/>
    <w:rsid w:val="00512FB6"/>
    <w:rsid w:val="00513114"/>
    <w:rsid w:val="00513651"/>
    <w:rsid w:val="0051389C"/>
    <w:rsid w:val="0051398D"/>
    <w:rsid w:val="00513B25"/>
    <w:rsid w:val="00513B3E"/>
    <w:rsid w:val="00513CAC"/>
    <w:rsid w:val="00513E77"/>
    <w:rsid w:val="00513F13"/>
    <w:rsid w:val="00513FCE"/>
    <w:rsid w:val="0051401B"/>
    <w:rsid w:val="00514030"/>
    <w:rsid w:val="0051423A"/>
    <w:rsid w:val="005142ED"/>
    <w:rsid w:val="005143EB"/>
    <w:rsid w:val="00514487"/>
    <w:rsid w:val="005144F7"/>
    <w:rsid w:val="005146AD"/>
    <w:rsid w:val="005148F0"/>
    <w:rsid w:val="005148F5"/>
    <w:rsid w:val="00514A0F"/>
    <w:rsid w:val="00514E64"/>
    <w:rsid w:val="00514EF6"/>
    <w:rsid w:val="00514F09"/>
    <w:rsid w:val="00514F4B"/>
    <w:rsid w:val="00515108"/>
    <w:rsid w:val="005151D9"/>
    <w:rsid w:val="00515245"/>
    <w:rsid w:val="00515373"/>
    <w:rsid w:val="00515490"/>
    <w:rsid w:val="00515585"/>
    <w:rsid w:val="0051572A"/>
    <w:rsid w:val="00515AFE"/>
    <w:rsid w:val="00515B4C"/>
    <w:rsid w:val="00515B6E"/>
    <w:rsid w:val="00515BAE"/>
    <w:rsid w:val="00515BF6"/>
    <w:rsid w:val="00515E21"/>
    <w:rsid w:val="00515E7C"/>
    <w:rsid w:val="00515E8F"/>
    <w:rsid w:val="00515F54"/>
    <w:rsid w:val="0051654E"/>
    <w:rsid w:val="005165B1"/>
    <w:rsid w:val="005165BC"/>
    <w:rsid w:val="0051677A"/>
    <w:rsid w:val="005167F0"/>
    <w:rsid w:val="00516AB2"/>
    <w:rsid w:val="00516B44"/>
    <w:rsid w:val="00516EFC"/>
    <w:rsid w:val="00516F7E"/>
    <w:rsid w:val="00516FA2"/>
    <w:rsid w:val="0051719A"/>
    <w:rsid w:val="005173ED"/>
    <w:rsid w:val="005174BE"/>
    <w:rsid w:val="00517B49"/>
    <w:rsid w:val="00517C0F"/>
    <w:rsid w:val="00517CF2"/>
    <w:rsid w:val="00517E14"/>
    <w:rsid w:val="00517E5A"/>
    <w:rsid w:val="00517EB9"/>
    <w:rsid w:val="00520092"/>
    <w:rsid w:val="00520469"/>
    <w:rsid w:val="00520498"/>
    <w:rsid w:val="005204B4"/>
    <w:rsid w:val="005204F8"/>
    <w:rsid w:val="0052050B"/>
    <w:rsid w:val="005205B2"/>
    <w:rsid w:val="0052074C"/>
    <w:rsid w:val="00520857"/>
    <w:rsid w:val="005208FF"/>
    <w:rsid w:val="00520942"/>
    <w:rsid w:val="005209AC"/>
    <w:rsid w:val="005209D3"/>
    <w:rsid w:val="00520B9D"/>
    <w:rsid w:val="00520CA5"/>
    <w:rsid w:val="00520DBC"/>
    <w:rsid w:val="00520DC3"/>
    <w:rsid w:val="00520DE2"/>
    <w:rsid w:val="00520F77"/>
    <w:rsid w:val="005212A9"/>
    <w:rsid w:val="00521337"/>
    <w:rsid w:val="00521390"/>
    <w:rsid w:val="00521509"/>
    <w:rsid w:val="00521593"/>
    <w:rsid w:val="00521600"/>
    <w:rsid w:val="005216A0"/>
    <w:rsid w:val="005216BA"/>
    <w:rsid w:val="00521794"/>
    <w:rsid w:val="0052197C"/>
    <w:rsid w:val="00521C42"/>
    <w:rsid w:val="00521EE3"/>
    <w:rsid w:val="00521F88"/>
    <w:rsid w:val="00521FC7"/>
    <w:rsid w:val="00522233"/>
    <w:rsid w:val="005223C2"/>
    <w:rsid w:val="005224AD"/>
    <w:rsid w:val="005225A3"/>
    <w:rsid w:val="0052260C"/>
    <w:rsid w:val="0052273D"/>
    <w:rsid w:val="00522BAF"/>
    <w:rsid w:val="00522C44"/>
    <w:rsid w:val="00522CA3"/>
    <w:rsid w:val="00522D6E"/>
    <w:rsid w:val="00522E5C"/>
    <w:rsid w:val="00522E67"/>
    <w:rsid w:val="00522E9F"/>
    <w:rsid w:val="00523158"/>
    <w:rsid w:val="005233FE"/>
    <w:rsid w:val="0052367F"/>
    <w:rsid w:val="005238D0"/>
    <w:rsid w:val="00523A73"/>
    <w:rsid w:val="00523A9B"/>
    <w:rsid w:val="00523ADB"/>
    <w:rsid w:val="00523B09"/>
    <w:rsid w:val="00523C3C"/>
    <w:rsid w:val="00523C5D"/>
    <w:rsid w:val="00523CA0"/>
    <w:rsid w:val="00523DC1"/>
    <w:rsid w:val="00523EB1"/>
    <w:rsid w:val="00523ECB"/>
    <w:rsid w:val="00524089"/>
    <w:rsid w:val="005240E1"/>
    <w:rsid w:val="00524289"/>
    <w:rsid w:val="00524291"/>
    <w:rsid w:val="005242AB"/>
    <w:rsid w:val="005243C2"/>
    <w:rsid w:val="005243C7"/>
    <w:rsid w:val="00524437"/>
    <w:rsid w:val="0052448B"/>
    <w:rsid w:val="0052458C"/>
    <w:rsid w:val="005245EA"/>
    <w:rsid w:val="005246E1"/>
    <w:rsid w:val="00524753"/>
    <w:rsid w:val="0052487B"/>
    <w:rsid w:val="00524938"/>
    <w:rsid w:val="00524A6A"/>
    <w:rsid w:val="00524BA8"/>
    <w:rsid w:val="00524C8A"/>
    <w:rsid w:val="00524D16"/>
    <w:rsid w:val="00524D65"/>
    <w:rsid w:val="00524F42"/>
    <w:rsid w:val="0052510B"/>
    <w:rsid w:val="00525111"/>
    <w:rsid w:val="00525233"/>
    <w:rsid w:val="00525422"/>
    <w:rsid w:val="00525517"/>
    <w:rsid w:val="00525521"/>
    <w:rsid w:val="005256B0"/>
    <w:rsid w:val="00525797"/>
    <w:rsid w:val="005259F4"/>
    <w:rsid w:val="00525A9B"/>
    <w:rsid w:val="00525C9E"/>
    <w:rsid w:val="00525D6C"/>
    <w:rsid w:val="00525EE3"/>
    <w:rsid w:val="0052607F"/>
    <w:rsid w:val="00526274"/>
    <w:rsid w:val="00526495"/>
    <w:rsid w:val="00526528"/>
    <w:rsid w:val="005265AF"/>
    <w:rsid w:val="005265CD"/>
    <w:rsid w:val="0052666F"/>
    <w:rsid w:val="00526688"/>
    <w:rsid w:val="00526790"/>
    <w:rsid w:val="0052679B"/>
    <w:rsid w:val="00526B79"/>
    <w:rsid w:val="00526C4B"/>
    <w:rsid w:val="00526D6A"/>
    <w:rsid w:val="00526E38"/>
    <w:rsid w:val="00526F30"/>
    <w:rsid w:val="005272D8"/>
    <w:rsid w:val="00527365"/>
    <w:rsid w:val="00527462"/>
    <w:rsid w:val="00527475"/>
    <w:rsid w:val="00527650"/>
    <w:rsid w:val="00527704"/>
    <w:rsid w:val="0052794F"/>
    <w:rsid w:val="005279D4"/>
    <w:rsid w:val="00527BA7"/>
    <w:rsid w:val="00527C2A"/>
    <w:rsid w:val="00527D4C"/>
    <w:rsid w:val="00527DE4"/>
    <w:rsid w:val="005300FE"/>
    <w:rsid w:val="00530130"/>
    <w:rsid w:val="0053023C"/>
    <w:rsid w:val="005302FB"/>
    <w:rsid w:val="0053031A"/>
    <w:rsid w:val="005303E0"/>
    <w:rsid w:val="00530608"/>
    <w:rsid w:val="005306E6"/>
    <w:rsid w:val="00530703"/>
    <w:rsid w:val="005307F2"/>
    <w:rsid w:val="00530844"/>
    <w:rsid w:val="00530975"/>
    <w:rsid w:val="00530981"/>
    <w:rsid w:val="005309CF"/>
    <w:rsid w:val="005309DC"/>
    <w:rsid w:val="00530C2F"/>
    <w:rsid w:val="00530C44"/>
    <w:rsid w:val="00530C58"/>
    <w:rsid w:val="00530CE7"/>
    <w:rsid w:val="00530D84"/>
    <w:rsid w:val="00530F00"/>
    <w:rsid w:val="00530FD5"/>
    <w:rsid w:val="00531006"/>
    <w:rsid w:val="0053109C"/>
    <w:rsid w:val="005312D3"/>
    <w:rsid w:val="005312F2"/>
    <w:rsid w:val="005312FE"/>
    <w:rsid w:val="005313C7"/>
    <w:rsid w:val="00531432"/>
    <w:rsid w:val="005315D0"/>
    <w:rsid w:val="0053168F"/>
    <w:rsid w:val="00531690"/>
    <w:rsid w:val="00531727"/>
    <w:rsid w:val="005317D7"/>
    <w:rsid w:val="005319B7"/>
    <w:rsid w:val="00531A45"/>
    <w:rsid w:val="00531ACE"/>
    <w:rsid w:val="00531AD8"/>
    <w:rsid w:val="00531BBD"/>
    <w:rsid w:val="00531BDF"/>
    <w:rsid w:val="00531C0F"/>
    <w:rsid w:val="00531CFA"/>
    <w:rsid w:val="00531DEF"/>
    <w:rsid w:val="00532195"/>
    <w:rsid w:val="005321CD"/>
    <w:rsid w:val="005321FD"/>
    <w:rsid w:val="00532238"/>
    <w:rsid w:val="00532259"/>
    <w:rsid w:val="0053230C"/>
    <w:rsid w:val="00532338"/>
    <w:rsid w:val="00532531"/>
    <w:rsid w:val="005325D1"/>
    <w:rsid w:val="0053260B"/>
    <w:rsid w:val="00532746"/>
    <w:rsid w:val="0053276D"/>
    <w:rsid w:val="00532910"/>
    <w:rsid w:val="00532AED"/>
    <w:rsid w:val="00532B17"/>
    <w:rsid w:val="00532CF7"/>
    <w:rsid w:val="00532D3B"/>
    <w:rsid w:val="00532D5A"/>
    <w:rsid w:val="00532E16"/>
    <w:rsid w:val="0053309F"/>
    <w:rsid w:val="0053310B"/>
    <w:rsid w:val="0053313F"/>
    <w:rsid w:val="005331D0"/>
    <w:rsid w:val="00533505"/>
    <w:rsid w:val="0053392C"/>
    <w:rsid w:val="00533A56"/>
    <w:rsid w:val="00533B22"/>
    <w:rsid w:val="00533CFC"/>
    <w:rsid w:val="00533DC4"/>
    <w:rsid w:val="005341E1"/>
    <w:rsid w:val="00534276"/>
    <w:rsid w:val="0053438B"/>
    <w:rsid w:val="005343BF"/>
    <w:rsid w:val="005344F5"/>
    <w:rsid w:val="00534532"/>
    <w:rsid w:val="0053466D"/>
    <w:rsid w:val="00534740"/>
    <w:rsid w:val="00534882"/>
    <w:rsid w:val="0053496C"/>
    <w:rsid w:val="00534B25"/>
    <w:rsid w:val="00534B76"/>
    <w:rsid w:val="00534BC6"/>
    <w:rsid w:val="00534D8D"/>
    <w:rsid w:val="00534DCB"/>
    <w:rsid w:val="00535005"/>
    <w:rsid w:val="00535033"/>
    <w:rsid w:val="0053519F"/>
    <w:rsid w:val="00535370"/>
    <w:rsid w:val="0053547F"/>
    <w:rsid w:val="00535499"/>
    <w:rsid w:val="00535712"/>
    <w:rsid w:val="00535D64"/>
    <w:rsid w:val="00535D89"/>
    <w:rsid w:val="00535E78"/>
    <w:rsid w:val="00535E97"/>
    <w:rsid w:val="00535EE6"/>
    <w:rsid w:val="00535FCA"/>
    <w:rsid w:val="0053600F"/>
    <w:rsid w:val="00536125"/>
    <w:rsid w:val="0053619A"/>
    <w:rsid w:val="005361B9"/>
    <w:rsid w:val="0053635C"/>
    <w:rsid w:val="00536365"/>
    <w:rsid w:val="0053647E"/>
    <w:rsid w:val="0053654E"/>
    <w:rsid w:val="00536581"/>
    <w:rsid w:val="00536723"/>
    <w:rsid w:val="00536836"/>
    <w:rsid w:val="00536A33"/>
    <w:rsid w:val="00536A80"/>
    <w:rsid w:val="00536B59"/>
    <w:rsid w:val="00536B61"/>
    <w:rsid w:val="00536C21"/>
    <w:rsid w:val="00536CEA"/>
    <w:rsid w:val="00536D17"/>
    <w:rsid w:val="00536DAD"/>
    <w:rsid w:val="00536F63"/>
    <w:rsid w:val="00537051"/>
    <w:rsid w:val="00537119"/>
    <w:rsid w:val="0053713C"/>
    <w:rsid w:val="00537180"/>
    <w:rsid w:val="0053733B"/>
    <w:rsid w:val="005374E5"/>
    <w:rsid w:val="00537627"/>
    <w:rsid w:val="0053762B"/>
    <w:rsid w:val="00537791"/>
    <w:rsid w:val="00537C8B"/>
    <w:rsid w:val="00537CBA"/>
    <w:rsid w:val="00537CDB"/>
    <w:rsid w:val="00537D03"/>
    <w:rsid w:val="00537D15"/>
    <w:rsid w:val="00537E05"/>
    <w:rsid w:val="00537FE0"/>
    <w:rsid w:val="00540046"/>
    <w:rsid w:val="00540130"/>
    <w:rsid w:val="005401AD"/>
    <w:rsid w:val="0054028D"/>
    <w:rsid w:val="005402A9"/>
    <w:rsid w:val="0054032F"/>
    <w:rsid w:val="005403A2"/>
    <w:rsid w:val="0054059B"/>
    <w:rsid w:val="00540653"/>
    <w:rsid w:val="00540885"/>
    <w:rsid w:val="005408AE"/>
    <w:rsid w:val="00540971"/>
    <w:rsid w:val="0054099F"/>
    <w:rsid w:val="00540A28"/>
    <w:rsid w:val="00540ABF"/>
    <w:rsid w:val="00540B58"/>
    <w:rsid w:val="00540B5F"/>
    <w:rsid w:val="00540B8A"/>
    <w:rsid w:val="00540BF6"/>
    <w:rsid w:val="00540C39"/>
    <w:rsid w:val="00540D60"/>
    <w:rsid w:val="00540DDD"/>
    <w:rsid w:val="00540FCD"/>
    <w:rsid w:val="005411A0"/>
    <w:rsid w:val="00541248"/>
    <w:rsid w:val="00541303"/>
    <w:rsid w:val="005413CF"/>
    <w:rsid w:val="00541470"/>
    <w:rsid w:val="00541630"/>
    <w:rsid w:val="0054175E"/>
    <w:rsid w:val="00541A27"/>
    <w:rsid w:val="00541B5B"/>
    <w:rsid w:val="00541BFC"/>
    <w:rsid w:val="00541C22"/>
    <w:rsid w:val="00541CC3"/>
    <w:rsid w:val="00541D24"/>
    <w:rsid w:val="00541D3E"/>
    <w:rsid w:val="00541D90"/>
    <w:rsid w:val="00541EE0"/>
    <w:rsid w:val="00541EEE"/>
    <w:rsid w:val="00541F1D"/>
    <w:rsid w:val="00541F2E"/>
    <w:rsid w:val="00541F84"/>
    <w:rsid w:val="0054200F"/>
    <w:rsid w:val="0054205F"/>
    <w:rsid w:val="005420C4"/>
    <w:rsid w:val="005422B1"/>
    <w:rsid w:val="00542393"/>
    <w:rsid w:val="005426B3"/>
    <w:rsid w:val="005426CA"/>
    <w:rsid w:val="005426E2"/>
    <w:rsid w:val="0054279D"/>
    <w:rsid w:val="00542810"/>
    <w:rsid w:val="00542B99"/>
    <w:rsid w:val="00542C1E"/>
    <w:rsid w:val="00542DEA"/>
    <w:rsid w:val="00542E22"/>
    <w:rsid w:val="005433A6"/>
    <w:rsid w:val="005433B6"/>
    <w:rsid w:val="005433F2"/>
    <w:rsid w:val="005436BA"/>
    <w:rsid w:val="005436CD"/>
    <w:rsid w:val="00543853"/>
    <w:rsid w:val="0054386D"/>
    <w:rsid w:val="00543988"/>
    <w:rsid w:val="005439DD"/>
    <w:rsid w:val="00543C5D"/>
    <w:rsid w:val="00543C8B"/>
    <w:rsid w:val="00543CF7"/>
    <w:rsid w:val="00543FE2"/>
    <w:rsid w:val="00544154"/>
    <w:rsid w:val="005442F0"/>
    <w:rsid w:val="00544639"/>
    <w:rsid w:val="00544665"/>
    <w:rsid w:val="005448F7"/>
    <w:rsid w:val="00544A7D"/>
    <w:rsid w:val="00544AEA"/>
    <w:rsid w:val="00544B96"/>
    <w:rsid w:val="00544C65"/>
    <w:rsid w:val="00544EF3"/>
    <w:rsid w:val="00544F06"/>
    <w:rsid w:val="00545004"/>
    <w:rsid w:val="0054520F"/>
    <w:rsid w:val="0054522E"/>
    <w:rsid w:val="0054528A"/>
    <w:rsid w:val="005452D9"/>
    <w:rsid w:val="00545307"/>
    <w:rsid w:val="0054564B"/>
    <w:rsid w:val="00545813"/>
    <w:rsid w:val="00545839"/>
    <w:rsid w:val="00545946"/>
    <w:rsid w:val="00545A28"/>
    <w:rsid w:val="00545B11"/>
    <w:rsid w:val="00545F57"/>
    <w:rsid w:val="00545F6F"/>
    <w:rsid w:val="0054608C"/>
    <w:rsid w:val="0054626A"/>
    <w:rsid w:val="005462E4"/>
    <w:rsid w:val="00546364"/>
    <w:rsid w:val="005463A1"/>
    <w:rsid w:val="00546426"/>
    <w:rsid w:val="00546439"/>
    <w:rsid w:val="005466EC"/>
    <w:rsid w:val="00546860"/>
    <w:rsid w:val="005468C5"/>
    <w:rsid w:val="0054692A"/>
    <w:rsid w:val="0054696B"/>
    <w:rsid w:val="005469F7"/>
    <w:rsid w:val="00546C86"/>
    <w:rsid w:val="00546FD7"/>
    <w:rsid w:val="00546FE6"/>
    <w:rsid w:val="0054723A"/>
    <w:rsid w:val="0054740F"/>
    <w:rsid w:val="005474A4"/>
    <w:rsid w:val="005474F7"/>
    <w:rsid w:val="005476BD"/>
    <w:rsid w:val="00547792"/>
    <w:rsid w:val="00547A5F"/>
    <w:rsid w:val="00547B25"/>
    <w:rsid w:val="00547C04"/>
    <w:rsid w:val="00547C23"/>
    <w:rsid w:val="00547C79"/>
    <w:rsid w:val="00547D1A"/>
    <w:rsid w:val="00547D30"/>
    <w:rsid w:val="00547D78"/>
    <w:rsid w:val="00547F43"/>
    <w:rsid w:val="00547F48"/>
    <w:rsid w:val="0055007D"/>
    <w:rsid w:val="00550086"/>
    <w:rsid w:val="00550125"/>
    <w:rsid w:val="00550237"/>
    <w:rsid w:val="00550278"/>
    <w:rsid w:val="005503E8"/>
    <w:rsid w:val="0055051C"/>
    <w:rsid w:val="00550573"/>
    <w:rsid w:val="005505CB"/>
    <w:rsid w:val="005505D5"/>
    <w:rsid w:val="005505FB"/>
    <w:rsid w:val="00550697"/>
    <w:rsid w:val="0055083D"/>
    <w:rsid w:val="00550D42"/>
    <w:rsid w:val="00550E05"/>
    <w:rsid w:val="00550E2E"/>
    <w:rsid w:val="0055102B"/>
    <w:rsid w:val="00551328"/>
    <w:rsid w:val="00551356"/>
    <w:rsid w:val="00551376"/>
    <w:rsid w:val="005513E2"/>
    <w:rsid w:val="005514AC"/>
    <w:rsid w:val="005514B9"/>
    <w:rsid w:val="005514E3"/>
    <w:rsid w:val="0055158B"/>
    <w:rsid w:val="0055158E"/>
    <w:rsid w:val="0055161A"/>
    <w:rsid w:val="005516A6"/>
    <w:rsid w:val="005518A3"/>
    <w:rsid w:val="00551957"/>
    <w:rsid w:val="0055199F"/>
    <w:rsid w:val="00551C39"/>
    <w:rsid w:val="00551C88"/>
    <w:rsid w:val="00551DF3"/>
    <w:rsid w:val="00551E91"/>
    <w:rsid w:val="00552127"/>
    <w:rsid w:val="0055217F"/>
    <w:rsid w:val="0055248B"/>
    <w:rsid w:val="00552616"/>
    <w:rsid w:val="00552806"/>
    <w:rsid w:val="00552837"/>
    <w:rsid w:val="00552852"/>
    <w:rsid w:val="005528EA"/>
    <w:rsid w:val="0055293A"/>
    <w:rsid w:val="005529C5"/>
    <w:rsid w:val="00552A02"/>
    <w:rsid w:val="00552A2C"/>
    <w:rsid w:val="00552C97"/>
    <w:rsid w:val="00552EB0"/>
    <w:rsid w:val="00552EF8"/>
    <w:rsid w:val="00552F76"/>
    <w:rsid w:val="00552FE8"/>
    <w:rsid w:val="005530B2"/>
    <w:rsid w:val="005534D2"/>
    <w:rsid w:val="00553685"/>
    <w:rsid w:val="00553740"/>
    <w:rsid w:val="005538F6"/>
    <w:rsid w:val="0055395E"/>
    <w:rsid w:val="00553B31"/>
    <w:rsid w:val="00553B3D"/>
    <w:rsid w:val="00553BEB"/>
    <w:rsid w:val="00553C59"/>
    <w:rsid w:val="00553E16"/>
    <w:rsid w:val="00553EE3"/>
    <w:rsid w:val="00553F12"/>
    <w:rsid w:val="00553FCB"/>
    <w:rsid w:val="005540F0"/>
    <w:rsid w:val="0055418B"/>
    <w:rsid w:val="00554390"/>
    <w:rsid w:val="005543F9"/>
    <w:rsid w:val="0055441F"/>
    <w:rsid w:val="0055467D"/>
    <w:rsid w:val="00554865"/>
    <w:rsid w:val="00554889"/>
    <w:rsid w:val="00554B50"/>
    <w:rsid w:val="00554D18"/>
    <w:rsid w:val="00554DCD"/>
    <w:rsid w:val="00554E06"/>
    <w:rsid w:val="00554E9E"/>
    <w:rsid w:val="00554F81"/>
    <w:rsid w:val="00555043"/>
    <w:rsid w:val="00555329"/>
    <w:rsid w:val="005553C9"/>
    <w:rsid w:val="005553E6"/>
    <w:rsid w:val="005554E4"/>
    <w:rsid w:val="0055562F"/>
    <w:rsid w:val="005558C2"/>
    <w:rsid w:val="0055599F"/>
    <w:rsid w:val="00555A64"/>
    <w:rsid w:val="00555D5B"/>
    <w:rsid w:val="00555D99"/>
    <w:rsid w:val="00555E25"/>
    <w:rsid w:val="00555F4A"/>
    <w:rsid w:val="00555F74"/>
    <w:rsid w:val="005562CC"/>
    <w:rsid w:val="00556339"/>
    <w:rsid w:val="005564E4"/>
    <w:rsid w:val="00556549"/>
    <w:rsid w:val="005565A7"/>
    <w:rsid w:val="00556827"/>
    <w:rsid w:val="005568C6"/>
    <w:rsid w:val="005569FA"/>
    <w:rsid w:val="00556BC8"/>
    <w:rsid w:val="00556FD1"/>
    <w:rsid w:val="00557054"/>
    <w:rsid w:val="005571FE"/>
    <w:rsid w:val="0055727F"/>
    <w:rsid w:val="00557721"/>
    <w:rsid w:val="0055784B"/>
    <w:rsid w:val="005578ED"/>
    <w:rsid w:val="00557996"/>
    <w:rsid w:val="00557A73"/>
    <w:rsid w:val="00557B40"/>
    <w:rsid w:val="00557B80"/>
    <w:rsid w:val="00557BCC"/>
    <w:rsid w:val="00557BCD"/>
    <w:rsid w:val="00557FF1"/>
    <w:rsid w:val="00560075"/>
    <w:rsid w:val="005600EB"/>
    <w:rsid w:val="0056045E"/>
    <w:rsid w:val="00560692"/>
    <w:rsid w:val="005606B1"/>
    <w:rsid w:val="00560889"/>
    <w:rsid w:val="00560B45"/>
    <w:rsid w:val="00560B87"/>
    <w:rsid w:val="00560D87"/>
    <w:rsid w:val="00560E65"/>
    <w:rsid w:val="0056107F"/>
    <w:rsid w:val="00561310"/>
    <w:rsid w:val="005613E0"/>
    <w:rsid w:val="00561A93"/>
    <w:rsid w:val="00561ACC"/>
    <w:rsid w:val="00561C49"/>
    <w:rsid w:val="00561D0D"/>
    <w:rsid w:val="00561D54"/>
    <w:rsid w:val="00561E76"/>
    <w:rsid w:val="005620E5"/>
    <w:rsid w:val="00562124"/>
    <w:rsid w:val="00562235"/>
    <w:rsid w:val="00562268"/>
    <w:rsid w:val="005622FA"/>
    <w:rsid w:val="00562586"/>
    <w:rsid w:val="005625AA"/>
    <w:rsid w:val="005626BF"/>
    <w:rsid w:val="00562839"/>
    <w:rsid w:val="0056286C"/>
    <w:rsid w:val="0056295E"/>
    <w:rsid w:val="00562A05"/>
    <w:rsid w:val="00562AE1"/>
    <w:rsid w:val="00562E42"/>
    <w:rsid w:val="00562EEE"/>
    <w:rsid w:val="00562F3B"/>
    <w:rsid w:val="00562F85"/>
    <w:rsid w:val="0056311D"/>
    <w:rsid w:val="005632F2"/>
    <w:rsid w:val="0056356B"/>
    <w:rsid w:val="00563605"/>
    <w:rsid w:val="005637C0"/>
    <w:rsid w:val="00563807"/>
    <w:rsid w:val="00563808"/>
    <w:rsid w:val="0056395A"/>
    <w:rsid w:val="005639A6"/>
    <w:rsid w:val="005639FD"/>
    <w:rsid w:val="00563B66"/>
    <w:rsid w:val="00563C79"/>
    <w:rsid w:val="00563D0A"/>
    <w:rsid w:val="00563D38"/>
    <w:rsid w:val="00563E3F"/>
    <w:rsid w:val="00563EFF"/>
    <w:rsid w:val="00563F3F"/>
    <w:rsid w:val="005641E0"/>
    <w:rsid w:val="005642C7"/>
    <w:rsid w:val="0056443A"/>
    <w:rsid w:val="00564866"/>
    <w:rsid w:val="00564994"/>
    <w:rsid w:val="00564B9E"/>
    <w:rsid w:val="00564CD8"/>
    <w:rsid w:val="00564E24"/>
    <w:rsid w:val="00564E99"/>
    <w:rsid w:val="00564ECD"/>
    <w:rsid w:val="0056523D"/>
    <w:rsid w:val="00565280"/>
    <w:rsid w:val="00565471"/>
    <w:rsid w:val="00565521"/>
    <w:rsid w:val="00565564"/>
    <w:rsid w:val="0056569D"/>
    <w:rsid w:val="0056576C"/>
    <w:rsid w:val="005657D9"/>
    <w:rsid w:val="005658CA"/>
    <w:rsid w:val="00565ABE"/>
    <w:rsid w:val="00565C54"/>
    <w:rsid w:val="00565C72"/>
    <w:rsid w:val="00565DF2"/>
    <w:rsid w:val="00565E51"/>
    <w:rsid w:val="00566090"/>
    <w:rsid w:val="0056613E"/>
    <w:rsid w:val="00566253"/>
    <w:rsid w:val="00566339"/>
    <w:rsid w:val="00566344"/>
    <w:rsid w:val="005664A6"/>
    <w:rsid w:val="005665FF"/>
    <w:rsid w:val="00566767"/>
    <w:rsid w:val="00566770"/>
    <w:rsid w:val="005667D4"/>
    <w:rsid w:val="005669B4"/>
    <w:rsid w:val="00566F3C"/>
    <w:rsid w:val="00566FB3"/>
    <w:rsid w:val="00566FC2"/>
    <w:rsid w:val="00566FCA"/>
    <w:rsid w:val="00567002"/>
    <w:rsid w:val="0056712C"/>
    <w:rsid w:val="005671A8"/>
    <w:rsid w:val="0056720E"/>
    <w:rsid w:val="00567281"/>
    <w:rsid w:val="0056743C"/>
    <w:rsid w:val="0056748C"/>
    <w:rsid w:val="005676B9"/>
    <w:rsid w:val="00567887"/>
    <w:rsid w:val="005679D4"/>
    <w:rsid w:val="00567B6E"/>
    <w:rsid w:val="00567FDF"/>
    <w:rsid w:val="005700FD"/>
    <w:rsid w:val="0057010D"/>
    <w:rsid w:val="00570268"/>
    <w:rsid w:val="005704BD"/>
    <w:rsid w:val="0057063D"/>
    <w:rsid w:val="005708CF"/>
    <w:rsid w:val="005709E7"/>
    <w:rsid w:val="00570EAF"/>
    <w:rsid w:val="00570EE8"/>
    <w:rsid w:val="00570F4B"/>
    <w:rsid w:val="00570F76"/>
    <w:rsid w:val="00570FF1"/>
    <w:rsid w:val="00571013"/>
    <w:rsid w:val="0057102F"/>
    <w:rsid w:val="0057106B"/>
    <w:rsid w:val="005711C3"/>
    <w:rsid w:val="0057128E"/>
    <w:rsid w:val="0057129F"/>
    <w:rsid w:val="0057136B"/>
    <w:rsid w:val="005713A8"/>
    <w:rsid w:val="0057141A"/>
    <w:rsid w:val="00571489"/>
    <w:rsid w:val="005715B0"/>
    <w:rsid w:val="0057160B"/>
    <w:rsid w:val="00571642"/>
    <w:rsid w:val="0057170D"/>
    <w:rsid w:val="00571778"/>
    <w:rsid w:val="005717CA"/>
    <w:rsid w:val="0057198F"/>
    <w:rsid w:val="005719AA"/>
    <w:rsid w:val="00571C1B"/>
    <w:rsid w:val="00571C3D"/>
    <w:rsid w:val="00571EAB"/>
    <w:rsid w:val="0057220F"/>
    <w:rsid w:val="00572259"/>
    <w:rsid w:val="00572516"/>
    <w:rsid w:val="0057265B"/>
    <w:rsid w:val="00572674"/>
    <w:rsid w:val="005727F8"/>
    <w:rsid w:val="00572829"/>
    <w:rsid w:val="0057284F"/>
    <w:rsid w:val="005728E0"/>
    <w:rsid w:val="00572B81"/>
    <w:rsid w:val="00572BAE"/>
    <w:rsid w:val="00572BF4"/>
    <w:rsid w:val="00572CD6"/>
    <w:rsid w:val="00572D7F"/>
    <w:rsid w:val="00572DA3"/>
    <w:rsid w:val="00572DEA"/>
    <w:rsid w:val="00572F84"/>
    <w:rsid w:val="0057350B"/>
    <w:rsid w:val="005736A9"/>
    <w:rsid w:val="00573705"/>
    <w:rsid w:val="00573834"/>
    <w:rsid w:val="00573838"/>
    <w:rsid w:val="0057383C"/>
    <w:rsid w:val="0057385E"/>
    <w:rsid w:val="0057389C"/>
    <w:rsid w:val="00573917"/>
    <w:rsid w:val="00573AE8"/>
    <w:rsid w:val="00573BC0"/>
    <w:rsid w:val="00573C00"/>
    <w:rsid w:val="00573C06"/>
    <w:rsid w:val="0057403A"/>
    <w:rsid w:val="00574084"/>
    <w:rsid w:val="0057409A"/>
    <w:rsid w:val="005741CE"/>
    <w:rsid w:val="005745AE"/>
    <w:rsid w:val="005745DD"/>
    <w:rsid w:val="00574644"/>
    <w:rsid w:val="00574724"/>
    <w:rsid w:val="00574741"/>
    <w:rsid w:val="00574A2E"/>
    <w:rsid w:val="00574ACA"/>
    <w:rsid w:val="00574B42"/>
    <w:rsid w:val="00574B99"/>
    <w:rsid w:val="00574BA4"/>
    <w:rsid w:val="00574D65"/>
    <w:rsid w:val="00574E1B"/>
    <w:rsid w:val="005750CB"/>
    <w:rsid w:val="00575222"/>
    <w:rsid w:val="0057531A"/>
    <w:rsid w:val="00575525"/>
    <w:rsid w:val="00575658"/>
    <w:rsid w:val="005756E9"/>
    <w:rsid w:val="0057581E"/>
    <w:rsid w:val="005759C9"/>
    <w:rsid w:val="00575ADF"/>
    <w:rsid w:val="00575BE7"/>
    <w:rsid w:val="00575E0D"/>
    <w:rsid w:val="00575F02"/>
    <w:rsid w:val="00575FED"/>
    <w:rsid w:val="005761E5"/>
    <w:rsid w:val="00576231"/>
    <w:rsid w:val="00576340"/>
    <w:rsid w:val="005763C2"/>
    <w:rsid w:val="005764DA"/>
    <w:rsid w:val="00576628"/>
    <w:rsid w:val="00576684"/>
    <w:rsid w:val="005769F7"/>
    <w:rsid w:val="00576A2F"/>
    <w:rsid w:val="00576A79"/>
    <w:rsid w:val="00576B28"/>
    <w:rsid w:val="00576E14"/>
    <w:rsid w:val="00576EE4"/>
    <w:rsid w:val="00577089"/>
    <w:rsid w:val="00577158"/>
    <w:rsid w:val="005771FF"/>
    <w:rsid w:val="005772DE"/>
    <w:rsid w:val="0057739E"/>
    <w:rsid w:val="0057745C"/>
    <w:rsid w:val="00577516"/>
    <w:rsid w:val="00577608"/>
    <w:rsid w:val="005777C8"/>
    <w:rsid w:val="00577891"/>
    <w:rsid w:val="005779BE"/>
    <w:rsid w:val="00577AAF"/>
    <w:rsid w:val="00577F3A"/>
    <w:rsid w:val="00577FD2"/>
    <w:rsid w:val="00580067"/>
    <w:rsid w:val="0058020C"/>
    <w:rsid w:val="005803D9"/>
    <w:rsid w:val="00580619"/>
    <w:rsid w:val="00580752"/>
    <w:rsid w:val="00580754"/>
    <w:rsid w:val="005809DE"/>
    <w:rsid w:val="00580E34"/>
    <w:rsid w:val="00580EDC"/>
    <w:rsid w:val="00580EE5"/>
    <w:rsid w:val="00580F4A"/>
    <w:rsid w:val="00580FC0"/>
    <w:rsid w:val="005810BD"/>
    <w:rsid w:val="0058114F"/>
    <w:rsid w:val="005812B0"/>
    <w:rsid w:val="00581370"/>
    <w:rsid w:val="005813F4"/>
    <w:rsid w:val="005817D8"/>
    <w:rsid w:val="005817FA"/>
    <w:rsid w:val="0058185D"/>
    <w:rsid w:val="005818CE"/>
    <w:rsid w:val="005818E9"/>
    <w:rsid w:val="005819F5"/>
    <w:rsid w:val="005819FA"/>
    <w:rsid w:val="00581AEC"/>
    <w:rsid w:val="00581B10"/>
    <w:rsid w:val="00581B27"/>
    <w:rsid w:val="00581B59"/>
    <w:rsid w:val="00581C15"/>
    <w:rsid w:val="00581C5A"/>
    <w:rsid w:val="00581CA2"/>
    <w:rsid w:val="00581DB3"/>
    <w:rsid w:val="00581DFE"/>
    <w:rsid w:val="00581F69"/>
    <w:rsid w:val="005823C8"/>
    <w:rsid w:val="0058255A"/>
    <w:rsid w:val="005826A7"/>
    <w:rsid w:val="005826E7"/>
    <w:rsid w:val="00582709"/>
    <w:rsid w:val="005827B4"/>
    <w:rsid w:val="00582A3B"/>
    <w:rsid w:val="00582A4C"/>
    <w:rsid w:val="00582A74"/>
    <w:rsid w:val="00582A95"/>
    <w:rsid w:val="00582AC2"/>
    <w:rsid w:val="00582CE6"/>
    <w:rsid w:val="00582DB9"/>
    <w:rsid w:val="00582ED6"/>
    <w:rsid w:val="00583042"/>
    <w:rsid w:val="005830BB"/>
    <w:rsid w:val="0058313B"/>
    <w:rsid w:val="00583355"/>
    <w:rsid w:val="00583446"/>
    <w:rsid w:val="005834E8"/>
    <w:rsid w:val="0058379E"/>
    <w:rsid w:val="005838E7"/>
    <w:rsid w:val="0058391F"/>
    <w:rsid w:val="00583969"/>
    <w:rsid w:val="00583AE8"/>
    <w:rsid w:val="00583AEA"/>
    <w:rsid w:val="00583C6D"/>
    <w:rsid w:val="00583FCB"/>
    <w:rsid w:val="00584121"/>
    <w:rsid w:val="005841B1"/>
    <w:rsid w:val="00584556"/>
    <w:rsid w:val="005846C5"/>
    <w:rsid w:val="0058479A"/>
    <w:rsid w:val="00584966"/>
    <w:rsid w:val="00584AD6"/>
    <w:rsid w:val="00584B37"/>
    <w:rsid w:val="00584BBC"/>
    <w:rsid w:val="00584BE4"/>
    <w:rsid w:val="00584D3E"/>
    <w:rsid w:val="00584D5B"/>
    <w:rsid w:val="00585144"/>
    <w:rsid w:val="005851D5"/>
    <w:rsid w:val="00585524"/>
    <w:rsid w:val="00585587"/>
    <w:rsid w:val="0058595E"/>
    <w:rsid w:val="00585CBB"/>
    <w:rsid w:val="00585DAF"/>
    <w:rsid w:val="00585DE5"/>
    <w:rsid w:val="00585ED8"/>
    <w:rsid w:val="00586109"/>
    <w:rsid w:val="005861AE"/>
    <w:rsid w:val="00586248"/>
    <w:rsid w:val="005862D6"/>
    <w:rsid w:val="005863BD"/>
    <w:rsid w:val="00586535"/>
    <w:rsid w:val="00586744"/>
    <w:rsid w:val="005868CD"/>
    <w:rsid w:val="005869D1"/>
    <w:rsid w:val="00586B47"/>
    <w:rsid w:val="00586B96"/>
    <w:rsid w:val="00586C17"/>
    <w:rsid w:val="00586D2C"/>
    <w:rsid w:val="00586DE2"/>
    <w:rsid w:val="00586EA3"/>
    <w:rsid w:val="00587005"/>
    <w:rsid w:val="005870C7"/>
    <w:rsid w:val="005872FB"/>
    <w:rsid w:val="0058735F"/>
    <w:rsid w:val="00587413"/>
    <w:rsid w:val="005874B2"/>
    <w:rsid w:val="00587A4D"/>
    <w:rsid w:val="00587AA2"/>
    <w:rsid w:val="00587B3D"/>
    <w:rsid w:val="00587BE3"/>
    <w:rsid w:val="00587BEE"/>
    <w:rsid w:val="00587C81"/>
    <w:rsid w:val="00587D3A"/>
    <w:rsid w:val="00587D89"/>
    <w:rsid w:val="00587E08"/>
    <w:rsid w:val="00587EA8"/>
    <w:rsid w:val="00587EE1"/>
    <w:rsid w:val="00590106"/>
    <w:rsid w:val="005902E9"/>
    <w:rsid w:val="005903CE"/>
    <w:rsid w:val="00590415"/>
    <w:rsid w:val="0059058B"/>
    <w:rsid w:val="00590B2D"/>
    <w:rsid w:val="00590CAA"/>
    <w:rsid w:val="00590CF8"/>
    <w:rsid w:val="00590D81"/>
    <w:rsid w:val="00590DC6"/>
    <w:rsid w:val="00590E9D"/>
    <w:rsid w:val="00590EF1"/>
    <w:rsid w:val="00590F41"/>
    <w:rsid w:val="0059109E"/>
    <w:rsid w:val="00591156"/>
    <w:rsid w:val="005915A2"/>
    <w:rsid w:val="0059179E"/>
    <w:rsid w:val="005918F0"/>
    <w:rsid w:val="00591A16"/>
    <w:rsid w:val="00591DA5"/>
    <w:rsid w:val="00592027"/>
    <w:rsid w:val="00592144"/>
    <w:rsid w:val="005923E5"/>
    <w:rsid w:val="00592469"/>
    <w:rsid w:val="005924DB"/>
    <w:rsid w:val="00592653"/>
    <w:rsid w:val="00592920"/>
    <w:rsid w:val="00592A3E"/>
    <w:rsid w:val="00592AA8"/>
    <w:rsid w:val="00592B4D"/>
    <w:rsid w:val="00592B91"/>
    <w:rsid w:val="00592D51"/>
    <w:rsid w:val="00592DFC"/>
    <w:rsid w:val="00592F75"/>
    <w:rsid w:val="00592FB7"/>
    <w:rsid w:val="005931B0"/>
    <w:rsid w:val="005931FF"/>
    <w:rsid w:val="00593246"/>
    <w:rsid w:val="0059328E"/>
    <w:rsid w:val="00593448"/>
    <w:rsid w:val="005937DC"/>
    <w:rsid w:val="005938E2"/>
    <w:rsid w:val="0059392D"/>
    <w:rsid w:val="00593AA5"/>
    <w:rsid w:val="00593B2C"/>
    <w:rsid w:val="00593CF3"/>
    <w:rsid w:val="00593D42"/>
    <w:rsid w:val="00593DF9"/>
    <w:rsid w:val="00593FF2"/>
    <w:rsid w:val="005940B7"/>
    <w:rsid w:val="0059412A"/>
    <w:rsid w:val="0059428C"/>
    <w:rsid w:val="00594338"/>
    <w:rsid w:val="005943D1"/>
    <w:rsid w:val="00594573"/>
    <w:rsid w:val="005945C3"/>
    <w:rsid w:val="0059468D"/>
    <w:rsid w:val="00594973"/>
    <w:rsid w:val="00594AA6"/>
    <w:rsid w:val="00594CBB"/>
    <w:rsid w:val="00594D30"/>
    <w:rsid w:val="00595550"/>
    <w:rsid w:val="0059576D"/>
    <w:rsid w:val="0059586A"/>
    <w:rsid w:val="005959E0"/>
    <w:rsid w:val="00595A86"/>
    <w:rsid w:val="00595CBC"/>
    <w:rsid w:val="00595E63"/>
    <w:rsid w:val="00595F53"/>
    <w:rsid w:val="00595F9B"/>
    <w:rsid w:val="0059600C"/>
    <w:rsid w:val="00596042"/>
    <w:rsid w:val="00596115"/>
    <w:rsid w:val="0059613F"/>
    <w:rsid w:val="0059628B"/>
    <w:rsid w:val="00596475"/>
    <w:rsid w:val="0059697E"/>
    <w:rsid w:val="00596992"/>
    <w:rsid w:val="00596A17"/>
    <w:rsid w:val="00596A77"/>
    <w:rsid w:val="00596AC6"/>
    <w:rsid w:val="00596B67"/>
    <w:rsid w:val="00596B6E"/>
    <w:rsid w:val="00596CC3"/>
    <w:rsid w:val="00596D8D"/>
    <w:rsid w:val="00596D99"/>
    <w:rsid w:val="00596EAE"/>
    <w:rsid w:val="00597065"/>
    <w:rsid w:val="0059708A"/>
    <w:rsid w:val="005971B2"/>
    <w:rsid w:val="005971FB"/>
    <w:rsid w:val="0059728E"/>
    <w:rsid w:val="00597377"/>
    <w:rsid w:val="005974D6"/>
    <w:rsid w:val="00597551"/>
    <w:rsid w:val="0059763D"/>
    <w:rsid w:val="00597735"/>
    <w:rsid w:val="00597B6E"/>
    <w:rsid w:val="00597BCD"/>
    <w:rsid w:val="00597DB9"/>
    <w:rsid w:val="00597FF9"/>
    <w:rsid w:val="005A003E"/>
    <w:rsid w:val="005A00D0"/>
    <w:rsid w:val="005A00E4"/>
    <w:rsid w:val="005A01E2"/>
    <w:rsid w:val="005A0290"/>
    <w:rsid w:val="005A0297"/>
    <w:rsid w:val="005A06BA"/>
    <w:rsid w:val="005A0736"/>
    <w:rsid w:val="005A0772"/>
    <w:rsid w:val="005A0971"/>
    <w:rsid w:val="005A0AA0"/>
    <w:rsid w:val="005A0C2F"/>
    <w:rsid w:val="005A0CBF"/>
    <w:rsid w:val="005A0CC5"/>
    <w:rsid w:val="005A10D3"/>
    <w:rsid w:val="005A12F5"/>
    <w:rsid w:val="005A135F"/>
    <w:rsid w:val="005A1491"/>
    <w:rsid w:val="005A14EB"/>
    <w:rsid w:val="005A16D2"/>
    <w:rsid w:val="005A1716"/>
    <w:rsid w:val="005A175B"/>
    <w:rsid w:val="005A1808"/>
    <w:rsid w:val="005A1942"/>
    <w:rsid w:val="005A1C10"/>
    <w:rsid w:val="005A1D8C"/>
    <w:rsid w:val="005A2099"/>
    <w:rsid w:val="005A2438"/>
    <w:rsid w:val="005A2636"/>
    <w:rsid w:val="005A26E2"/>
    <w:rsid w:val="005A27EB"/>
    <w:rsid w:val="005A27FB"/>
    <w:rsid w:val="005A28BC"/>
    <w:rsid w:val="005A2A62"/>
    <w:rsid w:val="005A2A87"/>
    <w:rsid w:val="005A2A99"/>
    <w:rsid w:val="005A2DF6"/>
    <w:rsid w:val="005A2E92"/>
    <w:rsid w:val="005A2F41"/>
    <w:rsid w:val="005A2FDD"/>
    <w:rsid w:val="005A2FF2"/>
    <w:rsid w:val="005A3274"/>
    <w:rsid w:val="005A33FB"/>
    <w:rsid w:val="005A3404"/>
    <w:rsid w:val="005A3514"/>
    <w:rsid w:val="005A35D7"/>
    <w:rsid w:val="005A35F5"/>
    <w:rsid w:val="005A37DF"/>
    <w:rsid w:val="005A3806"/>
    <w:rsid w:val="005A3A53"/>
    <w:rsid w:val="005A3B79"/>
    <w:rsid w:val="005A3D20"/>
    <w:rsid w:val="005A3E0E"/>
    <w:rsid w:val="005A3E36"/>
    <w:rsid w:val="005A3E6D"/>
    <w:rsid w:val="005A3F5E"/>
    <w:rsid w:val="005A4020"/>
    <w:rsid w:val="005A40CA"/>
    <w:rsid w:val="005A41EF"/>
    <w:rsid w:val="005A43A4"/>
    <w:rsid w:val="005A43C1"/>
    <w:rsid w:val="005A43D0"/>
    <w:rsid w:val="005A43E8"/>
    <w:rsid w:val="005A440C"/>
    <w:rsid w:val="005A45A4"/>
    <w:rsid w:val="005A469E"/>
    <w:rsid w:val="005A46BD"/>
    <w:rsid w:val="005A47BC"/>
    <w:rsid w:val="005A4882"/>
    <w:rsid w:val="005A489E"/>
    <w:rsid w:val="005A48D2"/>
    <w:rsid w:val="005A4A98"/>
    <w:rsid w:val="005A4B46"/>
    <w:rsid w:val="005A4BE0"/>
    <w:rsid w:val="005A4C9D"/>
    <w:rsid w:val="005A4DD9"/>
    <w:rsid w:val="005A4E4D"/>
    <w:rsid w:val="005A4EDA"/>
    <w:rsid w:val="005A5523"/>
    <w:rsid w:val="005A558F"/>
    <w:rsid w:val="005A576F"/>
    <w:rsid w:val="005A5895"/>
    <w:rsid w:val="005A5914"/>
    <w:rsid w:val="005A5A25"/>
    <w:rsid w:val="005A5A3B"/>
    <w:rsid w:val="005A5A43"/>
    <w:rsid w:val="005A5A4B"/>
    <w:rsid w:val="005A5D29"/>
    <w:rsid w:val="005A5D72"/>
    <w:rsid w:val="005A5F66"/>
    <w:rsid w:val="005A6066"/>
    <w:rsid w:val="005A607B"/>
    <w:rsid w:val="005A6211"/>
    <w:rsid w:val="005A63C2"/>
    <w:rsid w:val="005A6422"/>
    <w:rsid w:val="005A64C7"/>
    <w:rsid w:val="005A65DC"/>
    <w:rsid w:val="005A67B7"/>
    <w:rsid w:val="005A6962"/>
    <w:rsid w:val="005A696D"/>
    <w:rsid w:val="005A6B63"/>
    <w:rsid w:val="005A6C44"/>
    <w:rsid w:val="005A6C9A"/>
    <w:rsid w:val="005A6F5F"/>
    <w:rsid w:val="005A6FB2"/>
    <w:rsid w:val="005A7094"/>
    <w:rsid w:val="005A73FC"/>
    <w:rsid w:val="005A741A"/>
    <w:rsid w:val="005A74F1"/>
    <w:rsid w:val="005A757A"/>
    <w:rsid w:val="005A75CF"/>
    <w:rsid w:val="005A767E"/>
    <w:rsid w:val="005A76E6"/>
    <w:rsid w:val="005A7734"/>
    <w:rsid w:val="005A7795"/>
    <w:rsid w:val="005A77A6"/>
    <w:rsid w:val="005A7992"/>
    <w:rsid w:val="005A79F9"/>
    <w:rsid w:val="005A7A05"/>
    <w:rsid w:val="005A7D6D"/>
    <w:rsid w:val="005A7EBC"/>
    <w:rsid w:val="005B0016"/>
    <w:rsid w:val="005B02A4"/>
    <w:rsid w:val="005B0468"/>
    <w:rsid w:val="005B059B"/>
    <w:rsid w:val="005B0767"/>
    <w:rsid w:val="005B07B7"/>
    <w:rsid w:val="005B088B"/>
    <w:rsid w:val="005B0957"/>
    <w:rsid w:val="005B09DC"/>
    <w:rsid w:val="005B0AE5"/>
    <w:rsid w:val="005B0B51"/>
    <w:rsid w:val="005B0B78"/>
    <w:rsid w:val="005B0C58"/>
    <w:rsid w:val="005B0D41"/>
    <w:rsid w:val="005B0D60"/>
    <w:rsid w:val="005B0D71"/>
    <w:rsid w:val="005B0E00"/>
    <w:rsid w:val="005B0EF8"/>
    <w:rsid w:val="005B0F40"/>
    <w:rsid w:val="005B1115"/>
    <w:rsid w:val="005B1245"/>
    <w:rsid w:val="005B12FE"/>
    <w:rsid w:val="005B1568"/>
    <w:rsid w:val="005B1618"/>
    <w:rsid w:val="005B1632"/>
    <w:rsid w:val="005B169A"/>
    <w:rsid w:val="005B1719"/>
    <w:rsid w:val="005B196B"/>
    <w:rsid w:val="005B1A09"/>
    <w:rsid w:val="005B1B0E"/>
    <w:rsid w:val="005B1D04"/>
    <w:rsid w:val="005B1E44"/>
    <w:rsid w:val="005B1EBB"/>
    <w:rsid w:val="005B1EE6"/>
    <w:rsid w:val="005B1FCB"/>
    <w:rsid w:val="005B223B"/>
    <w:rsid w:val="005B22F0"/>
    <w:rsid w:val="005B252B"/>
    <w:rsid w:val="005B2558"/>
    <w:rsid w:val="005B2603"/>
    <w:rsid w:val="005B26C6"/>
    <w:rsid w:val="005B2992"/>
    <w:rsid w:val="005B2A74"/>
    <w:rsid w:val="005B2BEB"/>
    <w:rsid w:val="005B2C07"/>
    <w:rsid w:val="005B2C38"/>
    <w:rsid w:val="005B2CED"/>
    <w:rsid w:val="005B2D45"/>
    <w:rsid w:val="005B2D75"/>
    <w:rsid w:val="005B2DF5"/>
    <w:rsid w:val="005B2E41"/>
    <w:rsid w:val="005B2E5B"/>
    <w:rsid w:val="005B2E69"/>
    <w:rsid w:val="005B2F30"/>
    <w:rsid w:val="005B3010"/>
    <w:rsid w:val="005B30D3"/>
    <w:rsid w:val="005B361A"/>
    <w:rsid w:val="005B3702"/>
    <w:rsid w:val="005B37BA"/>
    <w:rsid w:val="005B38DC"/>
    <w:rsid w:val="005B39D5"/>
    <w:rsid w:val="005B3AC0"/>
    <w:rsid w:val="005B3AE0"/>
    <w:rsid w:val="005B3F98"/>
    <w:rsid w:val="005B3F9B"/>
    <w:rsid w:val="005B406D"/>
    <w:rsid w:val="005B40D4"/>
    <w:rsid w:val="005B412A"/>
    <w:rsid w:val="005B421F"/>
    <w:rsid w:val="005B4275"/>
    <w:rsid w:val="005B439C"/>
    <w:rsid w:val="005B461B"/>
    <w:rsid w:val="005B463A"/>
    <w:rsid w:val="005B4885"/>
    <w:rsid w:val="005B498E"/>
    <w:rsid w:val="005B4A23"/>
    <w:rsid w:val="005B4ADF"/>
    <w:rsid w:val="005B4B33"/>
    <w:rsid w:val="005B4B75"/>
    <w:rsid w:val="005B4C2F"/>
    <w:rsid w:val="005B4F40"/>
    <w:rsid w:val="005B5002"/>
    <w:rsid w:val="005B5074"/>
    <w:rsid w:val="005B50A0"/>
    <w:rsid w:val="005B52B0"/>
    <w:rsid w:val="005B5341"/>
    <w:rsid w:val="005B53E1"/>
    <w:rsid w:val="005B54A4"/>
    <w:rsid w:val="005B54B3"/>
    <w:rsid w:val="005B56A3"/>
    <w:rsid w:val="005B5710"/>
    <w:rsid w:val="005B574C"/>
    <w:rsid w:val="005B5779"/>
    <w:rsid w:val="005B5823"/>
    <w:rsid w:val="005B5850"/>
    <w:rsid w:val="005B5928"/>
    <w:rsid w:val="005B5954"/>
    <w:rsid w:val="005B5A0F"/>
    <w:rsid w:val="005B5A10"/>
    <w:rsid w:val="005B5D92"/>
    <w:rsid w:val="005B5E25"/>
    <w:rsid w:val="005B5E88"/>
    <w:rsid w:val="005B5E9C"/>
    <w:rsid w:val="005B5EDE"/>
    <w:rsid w:val="005B5F14"/>
    <w:rsid w:val="005B60B5"/>
    <w:rsid w:val="005B61DA"/>
    <w:rsid w:val="005B6614"/>
    <w:rsid w:val="005B6879"/>
    <w:rsid w:val="005B689B"/>
    <w:rsid w:val="005B694D"/>
    <w:rsid w:val="005B6BE0"/>
    <w:rsid w:val="005B6BE6"/>
    <w:rsid w:val="005B6C66"/>
    <w:rsid w:val="005B6CFF"/>
    <w:rsid w:val="005B6D2B"/>
    <w:rsid w:val="005B6D2C"/>
    <w:rsid w:val="005B6F00"/>
    <w:rsid w:val="005B6FF7"/>
    <w:rsid w:val="005B7000"/>
    <w:rsid w:val="005B72F3"/>
    <w:rsid w:val="005B742E"/>
    <w:rsid w:val="005B745D"/>
    <w:rsid w:val="005B754B"/>
    <w:rsid w:val="005B765F"/>
    <w:rsid w:val="005B7729"/>
    <w:rsid w:val="005B7741"/>
    <w:rsid w:val="005B79D7"/>
    <w:rsid w:val="005B7A3F"/>
    <w:rsid w:val="005B7B43"/>
    <w:rsid w:val="005B7C3E"/>
    <w:rsid w:val="005B7E33"/>
    <w:rsid w:val="005B7F40"/>
    <w:rsid w:val="005B7F84"/>
    <w:rsid w:val="005C003D"/>
    <w:rsid w:val="005C0102"/>
    <w:rsid w:val="005C037D"/>
    <w:rsid w:val="005C0381"/>
    <w:rsid w:val="005C03AC"/>
    <w:rsid w:val="005C0470"/>
    <w:rsid w:val="005C04D5"/>
    <w:rsid w:val="005C0593"/>
    <w:rsid w:val="005C0606"/>
    <w:rsid w:val="005C0676"/>
    <w:rsid w:val="005C0678"/>
    <w:rsid w:val="005C0703"/>
    <w:rsid w:val="005C0764"/>
    <w:rsid w:val="005C0816"/>
    <w:rsid w:val="005C082C"/>
    <w:rsid w:val="005C09EE"/>
    <w:rsid w:val="005C0B53"/>
    <w:rsid w:val="005C1029"/>
    <w:rsid w:val="005C121E"/>
    <w:rsid w:val="005C1324"/>
    <w:rsid w:val="005C142C"/>
    <w:rsid w:val="005C14FF"/>
    <w:rsid w:val="005C15BD"/>
    <w:rsid w:val="005C19D4"/>
    <w:rsid w:val="005C1E9C"/>
    <w:rsid w:val="005C1F5D"/>
    <w:rsid w:val="005C1FD4"/>
    <w:rsid w:val="005C206F"/>
    <w:rsid w:val="005C20B3"/>
    <w:rsid w:val="005C20B4"/>
    <w:rsid w:val="005C21C4"/>
    <w:rsid w:val="005C2446"/>
    <w:rsid w:val="005C25CF"/>
    <w:rsid w:val="005C290B"/>
    <w:rsid w:val="005C29F3"/>
    <w:rsid w:val="005C2AB3"/>
    <w:rsid w:val="005C2ADA"/>
    <w:rsid w:val="005C2B89"/>
    <w:rsid w:val="005C2BBF"/>
    <w:rsid w:val="005C2BE1"/>
    <w:rsid w:val="005C2CF8"/>
    <w:rsid w:val="005C337D"/>
    <w:rsid w:val="005C345B"/>
    <w:rsid w:val="005C3589"/>
    <w:rsid w:val="005C361C"/>
    <w:rsid w:val="005C3857"/>
    <w:rsid w:val="005C3AC0"/>
    <w:rsid w:val="005C3CFF"/>
    <w:rsid w:val="005C3ED6"/>
    <w:rsid w:val="005C4440"/>
    <w:rsid w:val="005C4611"/>
    <w:rsid w:val="005C4617"/>
    <w:rsid w:val="005C484B"/>
    <w:rsid w:val="005C4919"/>
    <w:rsid w:val="005C49DC"/>
    <w:rsid w:val="005C49E6"/>
    <w:rsid w:val="005C4CE2"/>
    <w:rsid w:val="005C4E2A"/>
    <w:rsid w:val="005C4F83"/>
    <w:rsid w:val="005C4FA7"/>
    <w:rsid w:val="005C501D"/>
    <w:rsid w:val="005C51F9"/>
    <w:rsid w:val="005C524B"/>
    <w:rsid w:val="005C525A"/>
    <w:rsid w:val="005C526C"/>
    <w:rsid w:val="005C5272"/>
    <w:rsid w:val="005C52BA"/>
    <w:rsid w:val="005C5370"/>
    <w:rsid w:val="005C5378"/>
    <w:rsid w:val="005C539D"/>
    <w:rsid w:val="005C53FB"/>
    <w:rsid w:val="005C554C"/>
    <w:rsid w:val="005C5559"/>
    <w:rsid w:val="005C55BB"/>
    <w:rsid w:val="005C5667"/>
    <w:rsid w:val="005C5928"/>
    <w:rsid w:val="005C599D"/>
    <w:rsid w:val="005C5B24"/>
    <w:rsid w:val="005C5BEE"/>
    <w:rsid w:val="005C5C03"/>
    <w:rsid w:val="005C5C20"/>
    <w:rsid w:val="005C5C41"/>
    <w:rsid w:val="005C5DF1"/>
    <w:rsid w:val="005C5E09"/>
    <w:rsid w:val="005C5E3E"/>
    <w:rsid w:val="005C60AC"/>
    <w:rsid w:val="005C619B"/>
    <w:rsid w:val="005C63E3"/>
    <w:rsid w:val="005C656C"/>
    <w:rsid w:val="005C65D4"/>
    <w:rsid w:val="005C667D"/>
    <w:rsid w:val="005C6769"/>
    <w:rsid w:val="005C6924"/>
    <w:rsid w:val="005C6B21"/>
    <w:rsid w:val="005C6B8E"/>
    <w:rsid w:val="005C6C91"/>
    <w:rsid w:val="005C6E7E"/>
    <w:rsid w:val="005C710B"/>
    <w:rsid w:val="005C71C9"/>
    <w:rsid w:val="005C72F2"/>
    <w:rsid w:val="005C734D"/>
    <w:rsid w:val="005C73FB"/>
    <w:rsid w:val="005C74BC"/>
    <w:rsid w:val="005C74FB"/>
    <w:rsid w:val="005C74FE"/>
    <w:rsid w:val="005C7550"/>
    <w:rsid w:val="005C779C"/>
    <w:rsid w:val="005C77EC"/>
    <w:rsid w:val="005C78E1"/>
    <w:rsid w:val="005C792F"/>
    <w:rsid w:val="005C79F2"/>
    <w:rsid w:val="005C7A9E"/>
    <w:rsid w:val="005C7B73"/>
    <w:rsid w:val="005C7B75"/>
    <w:rsid w:val="005C7C16"/>
    <w:rsid w:val="005C7E11"/>
    <w:rsid w:val="005D04D9"/>
    <w:rsid w:val="005D0573"/>
    <w:rsid w:val="005D05E4"/>
    <w:rsid w:val="005D0722"/>
    <w:rsid w:val="005D07A8"/>
    <w:rsid w:val="005D09ED"/>
    <w:rsid w:val="005D0AA7"/>
    <w:rsid w:val="005D0B9B"/>
    <w:rsid w:val="005D0BD7"/>
    <w:rsid w:val="005D0EFE"/>
    <w:rsid w:val="005D1388"/>
    <w:rsid w:val="005D13EB"/>
    <w:rsid w:val="005D1459"/>
    <w:rsid w:val="005D166D"/>
    <w:rsid w:val="005D1691"/>
    <w:rsid w:val="005D17E6"/>
    <w:rsid w:val="005D19D7"/>
    <w:rsid w:val="005D1B08"/>
    <w:rsid w:val="005D1B4E"/>
    <w:rsid w:val="005D1C5E"/>
    <w:rsid w:val="005D1DA9"/>
    <w:rsid w:val="005D1E44"/>
    <w:rsid w:val="005D2042"/>
    <w:rsid w:val="005D2174"/>
    <w:rsid w:val="005D22E4"/>
    <w:rsid w:val="005D22E7"/>
    <w:rsid w:val="005D23CB"/>
    <w:rsid w:val="005D24E4"/>
    <w:rsid w:val="005D2590"/>
    <w:rsid w:val="005D2592"/>
    <w:rsid w:val="005D25AB"/>
    <w:rsid w:val="005D2737"/>
    <w:rsid w:val="005D2809"/>
    <w:rsid w:val="005D2A82"/>
    <w:rsid w:val="005D2BC8"/>
    <w:rsid w:val="005D2DAF"/>
    <w:rsid w:val="005D2DB9"/>
    <w:rsid w:val="005D2E4E"/>
    <w:rsid w:val="005D2E6F"/>
    <w:rsid w:val="005D2F7C"/>
    <w:rsid w:val="005D31E4"/>
    <w:rsid w:val="005D33C7"/>
    <w:rsid w:val="005D33E4"/>
    <w:rsid w:val="005D37B2"/>
    <w:rsid w:val="005D37D6"/>
    <w:rsid w:val="005D383C"/>
    <w:rsid w:val="005D394D"/>
    <w:rsid w:val="005D3B2F"/>
    <w:rsid w:val="005D3D35"/>
    <w:rsid w:val="005D3D95"/>
    <w:rsid w:val="005D41B7"/>
    <w:rsid w:val="005D42DE"/>
    <w:rsid w:val="005D43C1"/>
    <w:rsid w:val="005D43F7"/>
    <w:rsid w:val="005D4404"/>
    <w:rsid w:val="005D464A"/>
    <w:rsid w:val="005D4674"/>
    <w:rsid w:val="005D489F"/>
    <w:rsid w:val="005D48D6"/>
    <w:rsid w:val="005D4A30"/>
    <w:rsid w:val="005D4A33"/>
    <w:rsid w:val="005D4A5F"/>
    <w:rsid w:val="005D4E2F"/>
    <w:rsid w:val="005D501D"/>
    <w:rsid w:val="005D52CC"/>
    <w:rsid w:val="005D53A2"/>
    <w:rsid w:val="005D53BB"/>
    <w:rsid w:val="005D5439"/>
    <w:rsid w:val="005D5772"/>
    <w:rsid w:val="005D58E9"/>
    <w:rsid w:val="005D59E8"/>
    <w:rsid w:val="005D5C67"/>
    <w:rsid w:val="005D5C86"/>
    <w:rsid w:val="005D5CF8"/>
    <w:rsid w:val="005D5E8F"/>
    <w:rsid w:val="005D5EE4"/>
    <w:rsid w:val="005D5F35"/>
    <w:rsid w:val="005D5F88"/>
    <w:rsid w:val="005D5F8D"/>
    <w:rsid w:val="005D60A6"/>
    <w:rsid w:val="005D6121"/>
    <w:rsid w:val="005D6182"/>
    <w:rsid w:val="005D62AE"/>
    <w:rsid w:val="005D65E8"/>
    <w:rsid w:val="005D6679"/>
    <w:rsid w:val="005D6856"/>
    <w:rsid w:val="005D68BB"/>
    <w:rsid w:val="005D69B8"/>
    <w:rsid w:val="005D6A12"/>
    <w:rsid w:val="005D6ADA"/>
    <w:rsid w:val="005D6E57"/>
    <w:rsid w:val="005D70AB"/>
    <w:rsid w:val="005D70FF"/>
    <w:rsid w:val="005D7126"/>
    <w:rsid w:val="005D717D"/>
    <w:rsid w:val="005D71A9"/>
    <w:rsid w:val="005D71AC"/>
    <w:rsid w:val="005D71D1"/>
    <w:rsid w:val="005D71E8"/>
    <w:rsid w:val="005D735B"/>
    <w:rsid w:val="005D7445"/>
    <w:rsid w:val="005D74D6"/>
    <w:rsid w:val="005D76E4"/>
    <w:rsid w:val="005D774B"/>
    <w:rsid w:val="005D782D"/>
    <w:rsid w:val="005D7A63"/>
    <w:rsid w:val="005D7C9A"/>
    <w:rsid w:val="005D7CFF"/>
    <w:rsid w:val="005D7DD1"/>
    <w:rsid w:val="005E0109"/>
    <w:rsid w:val="005E0153"/>
    <w:rsid w:val="005E01E0"/>
    <w:rsid w:val="005E0240"/>
    <w:rsid w:val="005E02AB"/>
    <w:rsid w:val="005E02EF"/>
    <w:rsid w:val="005E04CA"/>
    <w:rsid w:val="005E05B7"/>
    <w:rsid w:val="005E0898"/>
    <w:rsid w:val="005E0B24"/>
    <w:rsid w:val="005E0B32"/>
    <w:rsid w:val="005E0C3E"/>
    <w:rsid w:val="005E0CA8"/>
    <w:rsid w:val="005E0E02"/>
    <w:rsid w:val="005E128F"/>
    <w:rsid w:val="005E139A"/>
    <w:rsid w:val="005E144D"/>
    <w:rsid w:val="005E1451"/>
    <w:rsid w:val="005E1475"/>
    <w:rsid w:val="005E1656"/>
    <w:rsid w:val="005E1835"/>
    <w:rsid w:val="005E18E8"/>
    <w:rsid w:val="005E1ABD"/>
    <w:rsid w:val="005E1BFB"/>
    <w:rsid w:val="005E1DF6"/>
    <w:rsid w:val="005E2215"/>
    <w:rsid w:val="005E2368"/>
    <w:rsid w:val="005E259E"/>
    <w:rsid w:val="005E25D1"/>
    <w:rsid w:val="005E25D7"/>
    <w:rsid w:val="005E2616"/>
    <w:rsid w:val="005E2759"/>
    <w:rsid w:val="005E277E"/>
    <w:rsid w:val="005E2819"/>
    <w:rsid w:val="005E28EE"/>
    <w:rsid w:val="005E2ABA"/>
    <w:rsid w:val="005E2C8D"/>
    <w:rsid w:val="005E2CE1"/>
    <w:rsid w:val="005E2D51"/>
    <w:rsid w:val="005E2DBA"/>
    <w:rsid w:val="005E30AF"/>
    <w:rsid w:val="005E30ED"/>
    <w:rsid w:val="005E31E2"/>
    <w:rsid w:val="005E3416"/>
    <w:rsid w:val="005E3436"/>
    <w:rsid w:val="005E34D6"/>
    <w:rsid w:val="005E3536"/>
    <w:rsid w:val="005E37D9"/>
    <w:rsid w:val="005E3855"/>
    <w:rsid w:val="005E38D3"/>
    <w:rsid w:val="005E398B"/>
    <w:rsid w:val="005E3A15"/>
    <w:rsid w:val="005E3BE7"/>
    <w:rsid w:val="005E3C7E"/>
    <w:rsid w:val="005E3FFD"/>
    <w:rsid w:val="005E4103"/>
    <w:rsid w:val="005E4399"/>
    <w:rsid w:val="005E449E"/>
    <w:rsid w:val="005E460C"/>
    <w:rsid w:val="005E475D"/>
    <w:rsid w:val="005E4873"/>
    <w:rsid w:val="005E4BAD"/>
    <w:rsid w:val="005E4C95"/>
    <w:rsid w:val="005E4D32"/>
    <w:rsid w:val="005E4D3F"/>
    <w:rsid w:val="005E4DE8"/>
    <w:rsid w:val="005E4EB2"/>
    <w:rsid w:val="005E4F85"/>
    <w:rsid w:val="005E505E"/>
    <w:rsid w:val="005E518F"/>
    <w:rsid w:val="005E52B5"/>
    <w:rsid w:val="005E5437"/>
    <w:rsid w:val="005E54AB"/>
    <w:rsid w:val="005E5656"/>
    <w:rsid w:val="005E576E"/>
    <w:rsid w:val="005E58C4"/>
    <w:rsid w:val="005E5917"/>
    <w:rsid w:val="005E5938"/>
    <w:rsid w:val="005E5A4B"/>
    <w:rsid w:val="005E5A78"/>
    <w:rsid w:val="005E5AC9"/>
    <w:rsid w:val="005E5B47"/>
    <w:rsid w:val="005E5B63"/>
    <w:rsid w:val="005E5C46"/>
    <w:rsid w:val="005E5C5E"/>
    <w:rsid w:val="005E5D95"/>
    <w:rsid w:val="005E5E28"/>
    <w:rsid w:val="005E5EBD"/>
    <w:rsid w:val="005E5F9A"/>
    <w:rsid w:val="005E6088"/>
    <w:rsid w:val="005E61EC"/>
    <w:rsid w:val="005E632E"/>
    <w:rsid w:val="005E642C"/>
    <w:rsid w:val="005E6436"/>
    <w:rsid w:val="005E657C"/>
    <w:rsid w:val="005E6669"/>
    <w:rsid w:val="005E6761"/>
    <w:rsid w:val="005E7016"/>
    <w:rsid w:val="005E702F"/>
    <w:rsid w:val="005E7038"/>
    <w:rsid w:val="005E723F"/>
    <w:rsid w:val="005E72C4"/>
    <w:rsid w:val="005E7373"/>
    <w:rsid w:val="005E7572"/>
    <w:rsid w:val="005E7577"/>
    <w:rsid w:val="005E76E0"/>
    <w:rsid w:val="005E778D"/>
    <w:rsid w:val="005E77B3"/>
    <w:rsid w:val="005E792C"/>
    <w:rsid w:val="005E7943"/>
    <w:rsid w:val="005E7AA0"/>
    <w:rsid w:val="005E7BE4"/>
    <w:rsid w:val="005E7C22"/>
    <w:rsid w:val="005E7E79"/>
    <w:rsid w:val="005F00E4"/>
    <w:rsid w:val="005F0408"/>
    <w:rsid w:val="005F0999"/>
    <w:rsid w:val="005F0ABC"/>
    <w:rsid w:val="005F0AD5"/>
    <w:rsid w:val="005F0B07"/>
    <w:rsid w:val="005F0C3E"/>
    <w:rsid w:val="005F0D79"/>
    <w:rsid w:val="005F0D7D"/>
    <w:rsid w:val="005F0F17"/>
    <w:rsid w:val="005F0FE0"/>
    <w:rsid w:val="005F0FEB"/>
    <w:rsid w:val="005F1075"/>
    <w:rsid w:val="005F109D"/>
    <w:rsid w:val="005F1125"/>
    <w:rsid w:val="005F118C"/>
    <w:rsid w:val="005F1599"/>
    <w:rsid w:val="005F189A"/>
    <w:rsid w:val="005F19C2"/>
    <w:rsid w:val="005F1C62"/>
    <w:rsid w:val="005F1C7A"/>
    <w:rsid w:val="005F1DCD"/>
    <w:rsid w:val="005F1DDE"/>
    <w:rsid w:val="005F1F2E"/>
    <w:rsid w:val="005F1F3F"/>
    <w:rsid w:val="005F1F4D"/>
    <w:rsid w:val="005F1FAD"/>
    <w:rsid w:val="005F206A"/>
    <w:rsid w:val="005F20B1"/>
    <w:rsid w:val="005F2292"/>
    <w:rsid w:val="005F24F3"/>
    <w:rsid w:val="005F2B80"/>
    <w:rsid w:val="005F2C4C"/>
    <w:rsid w:val="005F2D87"/>
    <w:rsid w:val="005F2E32"/>
    <w:rsid w:val="005F2EC5"/>
    <w:rsid w:val="005F2EF9"/>
    <w:rsid w:val="005F2F5F"/>
    <w:rsid w:val="005F3171"/>
    <w:rsid w:val="005F32D8"/>
    <w:rsid w:val="005F338B"/>
    <w:rsid w:val="005F34F8"/>
    <w:rsid w:val="005F3639"/>
    <w:rsid w:val="005F3672"/>
    <w:rsid w:val="005F37EE"/>
    <w:rsid w:val="005F37FF"/>
    <w:rsid w:val="005F3825"/>
    <w:rsid w:val="005F3A51"/>
    <w:rsid w:val="005F3A75"/>
    <w:rsid w:val="005F3BEF"/>
    <w:rsid w:val="005F3F43"/>
    <w:rsid w:val="005F3F63"/>
    <w:rsid w:val="005F3F8D"/>
    <w:rsid w:val="005F405E"/>
    <w:rsid w:val="005F476E"/>
    <w:rsid w:val="005F4914"/>
    <w:rsid w:val="005F4B6A"/>
    <w:rsid w:val="005F4C32"/>
    <w:rsid w:val="005F4CDE"/>
    <w:rsid w:val="005F50E7"/>
    <w:rsid w:val="005F528D"/>
    <w:rsid w:val="005F52B8"/>
    <w:rsid w:val="005F52BC"/>
    <w:rsid w:val="005F5311"/>
    <w:rsid w:val="005F541D"/>
    <w:rsid w:val="005F555D"/>
    <w:rsid w:val="005F55A9"/>
    <w:rsid w:val="005F55BB"/>
    <w:rsid w:val="005F56DA"/>
    <w:rsid w:val="005F5739"/>
    <w:rsid w:val="005F5BA2"/>
    <w:rsid w:val="005F615B"/>
    <w:rsid w:val="005F61FB"/>
    <w:rsid w:val="005F622F"/>
    <w:rsid w:val="005F62A8"/>
    <w:rsid w:val="005F63CA"/>
    <w:rsid w:val="005F642E"/>
    <w:rsid w:val="005F6646"/>
    <w:rsid w:val="005F66D5"/>
    <w:rsid w:val="005F6731"/>
    <w:rsid w:val="005F68EA"/>
    <w:rsid w:val="005F695D"/>
    <w:rsid w:val="005F6B49"/>
    <w:rsid w:val="005F6CAF"/>
    <w:rsid w:val="005F6EDE"/>
    <w:rsid w:val="005F6F6E"/>
    <w:rsid w:val="005F70DC"/>
    <w:rsid w:val="005F7100"/>
    <w:rsid w:val="005F74F5"/>
    <w:rsid w:val="005F760C"/>
    <w:rsid w:val="005F7985"/>
    <w:rsid w:val="005F7A89"/>
    <w:rsid w:val="005F7BEE"/>
    <w:rsid w:val="005F7D96"/>
    <w:rsid w:val="005F7E75"/>
    <w:rsid w:val="005F7E89"/>
    <w:rsid w:val="00600063"/>
    <w:rsid w:val="00600073"/>
    <w:rsid w:val="006000EC"/>
    <w:rsid w:val="00600154"/>
    <w:rsid w:val="006001E9"/>
    <w:rsid w:val="006004A6"/>
    <w:rsid w:val="006005C5"/>
    <w:rsid w:val="006008DC"/>
    <w:rsid w:val="00600910"/>
    <w:rsid w:val="00600AE2"/>
    <w:rsid w:val="00600B33"/>
    <w:rsid w:val="00600B45"/>
    <w:rsid w:val="00600D44"/>
    <w:rsid w:val="00600D74"/>
    <w:rsid w:val="00600E9A"/>
    <w:rsid w:val="00600FBF"/>
    <w:rsid w:val="006010CE"/>
    <w:rsid w:val="0060119D"/>
    <w:rsid w:val="006012DB"/>
    <w:rsid w:val="00601316"/>
    <w:rsid w:val="0060153A"/>
    <w:rsid w:val="00601600"/>
    <w:rsid w:val="0060184C"/>
    <w:rsid w:val="00601B0E"/>
    <w:rsid w:val="00601CB9"/>
    <w:rsid w:val="00601CD4"/>
    <w:rsid w:val="00601D66"/>
    <w:rsid w:val="00601DE0"/>
    <w:rsid w:val="00601ECB"/>
    <w:rsid w:val="00601EFE"/>
    <w:rsid w:val="0060223A"/>
    <w:rsid w:val="00602367"/>
    <w:rsid w:val="00602678"/>
    <w:rsid w:val="006027E6"/>
    <w:rsid w:val="00602866"/>
    <w:rsid w:val="00602883"/>
    <w:rsid w:val="0060297D"/>
    <w:rsid w:val="006029EB"/>
    <w:rsid w:val="00602DED"/>
    <w:rsid w:val="00602F49"/>
    <w:rsid w:val="0060305C"/>
    <w:rsid w:val="0060310A"/>
    <w:rsid w:val="0060312D"/>
    <w:rsid w:val="0060359A"/>
    <w:rsid w:val="0060366E"/>
    <w:rsid w:val="00603907"/>
    <w:rsid w:val="00603F3A"/>
    <w:rsid w:val="006040A3"/>
    <w:rsid w:val="006040F0"/>
    <w:rsid w:val="00604117"/>
    <w:rsid w:val="0060415F"/>
    <w:rsid w:val="006042C0"/>
    <w:rsid w:val="00604339"/>
    <w:rsid w:val="00604409"/>
    <w:rsid w:val="00604615"/>
    <w:rsid w:val="0060466D"/>
    <w:rsid w:val="00604843"/>
    <w:rsid w:val="0060495E"/>
    <w:rsid w:val="00604A25"/>
    <w:rsid w:val="00604B0B"/>
    <w:rsid w:val="00604C8B"/>
    <w:rsid w:val="00604D9F"/>
    <w:rsid w:val="0060501C"/>
    <w:rsid w:val="0060501D"/>
    <w:rsid w:val="0060510D"/>
    <w:rsid w:val="00605134"/>
    <w:rsid w:val="00605177"/>
    <w:rsid w:val="006051C2"/>
    <w:rsid w:val="0060522B"/>
    <w:rsid w:val="0060535B"/>
    <w:rsid w:val="0060541D"/>
    <w:rsid w:val="00605462"/>
    <w:rsid w:val="00605531"/>
    <w:rsid w:val="006057AF"/>
    <w:rsid w:val="00605856"/>
    <w:rsid w:val="00605915"/>
    <w:rsid w:val="0060591D"/>
    <w:rsid w:val="00605956"/>
    <w:rsid w:val="006059C2"/>
    <w:rsid w:val="00605BBF"/>
    <w:rsid w:val="00605E8C"/>
    <w:rsid w:val="006060A8"/>
    <w:rsid w:val="00606298"/>
    <w:rsid w:val="006063E9"/>
    <w:rsid w:val="006064FA"/>
    <w:rsid w:val="00606709"/>
    <w:rsid w:val="0060677C"/>
    <w:rsid w:val="00606786"/>
    <w:rsid w:val="0060679C"/>
    <w:rsid w:val="006067C0"/>
    <w:rsid w:val="00606930"/>
    <w:rsid w:val="0060696A"/>
    <w:rsid w:val="00606A14"/>
    <w:rsid w:val="00606A6D"/>
    <w:rsid w:val="00606B3B"/>
    <w:rsid w:val="00606C97"/>
    <w:rsid w:val="00606CD5"/>
    <w:rsid w:val="00606DF2"/>
    <w:rsid w:val="00606E73"/>
    <w:rsid w:val="00606EEE"/>
    <w:rsid w:val="00606F12"/>
    <w:rsid w:val="00606FC7"/>
    <w:rsid w:val="00607105"/>
    <w:rsid w:val="00607165"/>
    <w:rsid w:val="006071ED"/>
    <w:rsid w:val="00607298"/>
    <w:rsid w:val="006072A1"/>
    <w:rsid w:val="0060749F"/>
    <w:rsid w:val="00607550"/>
    <w:rsid w:val="00607B73"/>
    <w:rsid w:val="00607BD2"/>
    <w:rsid w:val="00607CB2"/>
    <w:rsid w:val="00607EBC"/>
    <w:rsid w:val="00607F8A"/>
    <w:rsid w:val="00607FC1"/>
    <w:rsid w:val="00610072"/>
    <w:rsid w:val="00610103"/>
    <w:rsid w:val="006101C8"/>
    <w:rsid w:val="00610246"/>
    <w:rsid w:val="006102E2"/>
    <w:rsid w:val="0061049C"/>
    <w:rsid w:val="006104CC"/>
    <w:rsid w:val="006104DF"/>
    <w:rsid w:val="00610506"/>
    <w:rsid w:val="0061091C"/>
    <w:rsid w:val="0061098E"/>
    <w:rsid w:val="00610A30"/>
    <w:rsid w:val="00610A9B"/>
    <w:rsid w:val="00610B4B"/>
    <w:rsid w:val="00610B6D"/>
    <w:rsid w:val="00610D69"/>
    <w:rsid w:val="00610F67"/>
    <w:rsid w:val="00611005"/>
    <w:rsid w:val="00611098"/>
    <w:rsid w:val="00611131"/>
    <w:rsid w:val="006111A2"/>
    <w:rsid w:val="006113B7"/>
    <w:rsid w:val="006118FD"/>
    <w:rsid w:val="00611AEC"/>
    <w:rsid w:val="00611BD1"/>
    <w:rsid w:val="00611E3C"/>
    <w:rsid w:val="00611F2D"/>
    <w:rsid w:val="006121CF"/>
    <w:rsid w:val="0061226C"/>
    <w:rsid w:val="00612477"/>
    <w:rsid w:val="0061263A"/>
    <w:rsid w:val="00612959"/>
    <w:rsid w:val="00612ABC"/>
    <w:rsid w:val="00612DB2"/>
    <w:rsid w:val="00613033"/>
    <w:rsid w:val="00613134"/>
    <w:rsid w:val="00613292"/>
    <w:rsid w:val="0061330B"/>
    <w:rsid w:val="0061338A"/>
    <w:rsid w:val="006133A9"/>
    <w:rsid w:val="006135DC"/>
    <w:rsid w:val="0061374F"/>
    <w:rsid w:val="00613A28"/>
    <w:rsid w:val="00613AD2"/>
    <w:rsid w:val="00613E47"/>
    <w:rsid w:val="00614000"/>
    <w:rsid w:val="006140B5"/>
    <w:rsid w:val="0061423E"/>
    <w:rsid w:val="0061426B"/>
    <w:rsid w:val="0061434B"/>
    <w:rsid w:val="00614554"/>
    <w:rsid w:val="0061466F"/>
    <w:rsid w:val="00614737"/>
    <w:rsid w:val="006147E4"/>
    <w:rsid w:val="006148A3"/>
    <w:rsid w:val="0061497E"/>
    <w:rsid w:val="00614980"/>
    <w:rsid w:val="006149DD"/>
    <w:rsid w:val="00614AA5"/>
    <w:rsid w:val="00614C11"/>
    <w:rsid w:val="00614CFC"/>
    <w:rsid w:val="00614DAE"/>
    <w:rsid w:val="00614DDB"/>
    <w:rsid w:val="00614E3F"/>
    <w:rsid w:val="00614FC4"/>
    <w:rsid w:val="0061517A"/>
    <w:rsid w:val="006152EF"/>
    <w:rsid w:val="00615554"/>
    <w:rsid w:val="006155B4"/>
    <w:rsid w:val="00615715"/>
    <w:rsid w:val="0061583E"/>
    <w:rsid w:val="006159AE"/>
    <w:rsid w:val="006159C2"/>
    <w:rsid w:val="006159C3"/>
    <w:rsid w:val="00615B29"/>
    <w:rsid w:val="00615E8C"/>
    <w:rsid w:val="00615EED"/>
    <w:rsid w:val="00615F46"/>
    <w:rsid w:val="00616067"/>
    <w:rsid w:val="006162D6"/>
    <w:rsid w:val="006162DD"/>
    <w:rsid w:val="006162F6"/>
    <w:rsid w:val="0061651C"/>
    <w:rsid w:val="00616588"/>
    <w:rsid w:val="006165D2"/>
    <w:rsid w:val="0061682C"/>
    <w:rsid w:val="00616888"/>
    <w:rsid w:val="00616900"/>
    <w:rsid w:val="00616988"/>
    <w:rsid w:val="00616BB2"/>
    <w:rsid w:val="00616C63"/>
    <w:rsid w:val="00616CA6"/>
    <w:rsid w:val="00616CD1"/>
    <w:rsid w:val="00616D1D"/>
    <w:rsid w:val="0061717E"/>
    <w:rsid w:val="00617366"/>
    <w:rsid w:val="00617493"/>
    <w:rsid w:val="006175C9"/>
    <w:rsid w:val="00617770"/>
    <w:rsid w:val="00617780"/>
    <w:rsid w:val="006179D5"/>
    <w:rsid w:val="00617ABB"/>
    <w:rsid w:val="00617AEF"/>
    <w:rsid w:val="00617C7E"/>
    <w:rsid w:val="00617C7F"/>
    <w:rsid w:val="00617CA3"/>
    <w:rsid w:val="00617D98"/>
    <w:rsid w:val="00617DBF"/>
    <w:rsid w:val="00620255"/>
    <w:rsid w:val="0062031F"/>
    <w:rsid w:val="00620327"/>
    <w:rsid w:val="00620396"/>
    <w:rsid w:val="006204CF"/>
    <w:rsid w:val="006205B3"/>
    <w:rsid w:val="0062085C"/>
    <w:rsid w:val="006208AB"/>
    <w:rsid w:val="00620ABE"/>
    <w:rsid w:val="00620BFE"/>
    <w:rsid w:val="00620C0D"/>
    <w:rsid w:val="00620C7C"/>
    <w:rsid w:val="00620D8F"/>
    <w:rsid w:val="00620DC3"/>
    <w:rsid w:val="00621440"/>
    <w:rsid w:val="006214DF"/>
    <w:rsid w:val="00621605"/>
    <w:rsid w:val="006216F2"/>
    <w:rsid w:val="00621734"/>
    <w:rsid w:val="00621773"/>
    <w:rsid w:val="00621774"/>
    <w:rsid w:val="006218D6"/>
    <w:rsid w:val="00621A62"/>
    <w:rsid w:val="00621B56"/>
    <w:rsid w:val="00621D3D"/>
    <w:rsid w:val="00621E90"/>
    <w:rsid w:val="00621E94"/>
    <w:rsid w:val="00621FBA"/>
    <w:rsid w:val="00622056"/>
    <w:rsid w:val="00622153"/>
    <w:rsid w:val="00622171"/>
    <w:rsid w:val="006221EF"/>
    <w:rsid w:val="006223B9"/>
    <w:rsid w:val="006225D6"/>
    <w:rsid w:val="006227E5"/>
    <w:rsid w:val="00622949"/>
    <w:rsid w:val="00622AC7"/>
    <w:rsid w:val="00622B15"/>
    <w:rsid w:val="00622B28"/>
    <w:rsid w:val="00622B63"/>
    <w:rsid w:val="00622BB2"/>
    <w:rsid w:val="00622C20"/>
    <w:rsid w:val="00622C37"/>
    <w:rsid w:val="00622C5D"/>
    <w:rsid w:val="00622CDB"/>
    <w:rsid w:val="00622E05"/>
    <w:rsid w:val="00622F63"/>
    <w:rsid w:val="006230A5"/>
    <w:rsid w:val="006230F6"/>
    <w:rsid w:val="00623232"/>
    <w:rsid w:val="00623236"/>
    <w:rsid w:val="0062331C"/>
    <w:rsid w:val="00623505"/>
    <w:rsid w:val="006235AE"/>
    <w:rsid w:val="006237FE"/>
    <w:rsid w:val="00623842"/>
    <w:rsid w:val="00623871"/>
    <w:rsid w:val="006238EA"/>
    <w:rsid w:val="0062396B"/>
    <w:rsid w:val="00623BBA"/>
    <w:rsid w:val="00623BBB"/>
    <w:rsid w:val="00623BD1"/>
    <w:rsid w:val="00623F55"/>
    <w:rsid w:val="00623FB8"/>
    <w:rsid w:val="00623FCF"/>
    <w:rsid w:val="0062405C"/>
    <w:rsid w:val="00624150"/>
    <w:rsid w:val="00624179"/>
    <w:rsid w:val="00624318"/>
    <w:rsid w:val="006243B8"/>
    <w:rsid w:val="00624415"/>
    <w:rsid w:val="0062458C"/>
    <w:rsid w:val="006247E7"/>
    <w:rsid w:val="0062486B"/>
    <w:rsid w:val="0062489A"/>
    <w:rsid w:val="00624A2D"/>
    <w:rsid w:val="00624A4B"/>
    <w:rsid w:val="00624A79"/>
    <w:rsid w:val="00624C8D"/>
    <w:rsid w:val="00624C9A"/>
    <w:rsid w:val="00624CEC"/>
    <w:rsid w:val="00624D39"/>
    <w:rsid w:val="00624D48"/>
    <w:rsid w:val="00625127"/>
    <w:rsid w:val="00625189"/>
    <w:rsid w:val="0062519D"/>
    <w:rsid w:val="006252E3"/>
    <w:rsid w:val="00625300"/>
    <w:rsid w:val="00625306"/>
    <w:rsid w:val="006254AF"/>
    <w:rsid w:val="0062552F"/>
    <w:rsid w:val="00625612"/>
    <w:rsid w:val="006256E3"/>
    <w:rsid w:val="006257BD"/>
    <w:rsid w:val="00625843"/>
    <w:rsid w:val="00625957"/>
    <w:rsid w:val="00625967"/>
    <w:rsid w:val="00625AA4"/>
    <w:rsid w:val="00625B96"/>
    <w:rsid w:val="00625C28"/>
    <w:rsid w:val="00625C3A"/>
    <w:rsid w:val="00625C72"/>
    <w:rsid w:val="00625D28"/>
    <w:rsid w:val="00625EBF"/>
    <w:rsid w:val="00625F1B"/>
    <w:rsid w:val="006263FB"/>
    <w:rsid w:val="00626782"/>
    <w:rsid w:val="006268A3"/>
    <w:rsid w:val="00626978"/>
    <w:rsid w:val="00626A2A"/>
    <w:rsid w:val="00626C40"/>
    <w:rsid w:val="00626D67"/>
    <w:rsid w:val="00626DAB"/>
    <w:rsid w:val="00626EF8"/>
    <w:rsid w:val="00626F50"/>
    <w:rsid w:val="00626F77"/>
    <w:rsid w:val="00626FB5"/>
    <w:rsid w:val="006271B8"/>
    <w:rsid w:val="0062729B"/>
    <w:rsid w:val="006272DA"/>
    <w:rsid w:val="006274EB"/>
    <w:rsid w:val="00627797"/>
    <w:rsid w:val="00627803"/>
    <w:rsid w:val="00627B63"/>
    <w:rsid w:val="00627C63"/>
    <w:rsid w:val="00627DB2"/>
    <w:rsid w:val="00627FB2"/>
    <w:rsid w:val="00630001"/>
    <w:rsid w:val="00630125"/>
    <w:rsid w:val="006302A1"/>
    <w:rsid w:val="006302EF"/>
    <w:rsid w:val="0063031F"/>
    <w:rsid w:val="0063033C"/>
    <w:rsid w:val="0063033E"/>
    <w:rsid w:val="00630668"/>
    <w:rsid w:val="00630712"/>
    <w:rsid w:val="00630724"/>
    <w:rsid w:val="006308CF"/>
    <w:rsid w:val="00630B09"/>
    <w:rsid w:val="00630D7E"/>
    <w:rsid w:val="00630DF4"/>
    <w:rsid w:val="00630F90"/>
    <w:rsid w:val="00630FBE"/>
    <w:rsid w:val="0063104D"/>
    <w:rsid w:val="0063113E"/>
    <w:rsid w:val="006312E2"/>
    <w:rsid w:val="0063131A"/>
    <w:rsid w:val="006314D6"/>
    <w:rsid w:val="00631728"/>
    <w:rsid w:val="0063194F"/>
    <w:rsid w:val="006319EB"/>
    <w:rsid w:val="00631A08"/>
    <w:rsid w:val="00631ADF"/>
    <w:rsid w:val="00631B60"/>
    <w:rsid w:val="00631C27"/>
    <w:rsid w:val="00631C3C"/>
    <w:rsid w:val="00631EAD"/>
    <w:rsid w:val="00631F1F"/>
    <w:rsid w:val="00632017"/>
    <w:rsid w:val="006320C2"/>
    <w:rsid w:val="0063211B"/>
    <w:rsid w:val="00632165"/>
    <w:rsid w:val="006321C3"/>
    <w:rsid w:val="00632430"/>
    <w:rsid w:val="00632448"/>
    <w:rsid w:val="006324A0"/>
    <w:rsid w:val="006324A4"/>
    <w:rsid w:val="006327E0"/>
    <w:rsid w:val="00632931"/>
    <w:rsid w:val="00632993"/>
    <w:rsid w:val="006329F6"/>
    <w:rsid w:val="00632A06"/>
    <w:rsid w:val="00632AEE"/>
    <w:rsid w:val="00632C54"/>
    <w:rsid w:val="00632D06"/>
    <w:rsid w:val="00632DB2"/>
    <w:rsid w:val="00632F11"/>
    <w:rsid w:val="00632F70"/>
    <w:rsid w:val="00633175"/>
    <w:rsid w:val="006331F3"/>
    <w:rsid w:val="00633394"/>
    <w:rsid w:val="0063349F"/>
    <w:rsid w:val="006336F6"/>
    <w:rsid w:val="00633831"/>
    <w:rsid w:val="006338E1"/>
    <w:rsid w:val="006338FE"/>
    <w:rsid w:val="00633A6D"/>
    <w:rsid w:val="00633B32"/>
    <w:rsid w:val="00633B6F"/>
    <w:rsid w:val="00633DE6"/>
    <w:rsid w:val="00633E82"/>
    <w:rsid w:val="0063412B"/>
    <w:rsid w:val="006341B2"/>
    <w:rsid w:val="006343D3"/>
    <w:rsid w:val="00634601"/>
    <w:rsid w:val="0063467F"/>
    <w:rsid w:val="006348C0"/>
    <w:rsid w:val="00634AAA"/>
    <w:rsid w:val="00634B51"/>
    <w:rsid w:val="00634C4D"/>
    <w:rsid w:val="00634FE2"/>
    <w:rsid w:val="00634FF0"/>
    <w:rsid w:val="00635060"/>
    <w:rsid w:val="0063514C"/>
    <w:rsid w:val="006351C8"/>
    <w:rsid w:val="006352DD"/>
    <w:rsid w:val="006352E6"/>
    <w:rsid w:val="00635325"/>
    <w:rsid w:val="00635338"/>
    <w:rsid w:val="00635366"/>
    <w:rsid w:val="00635377"/>
    <w:rsid w:val="006355AD"/>
    <w:rsid w:val="006355F5"/>
    <w:rsid w:val="00635621"/>
    <w:rsid w:val="006356AD"/>
    <w:rsid w:val="0063570D"/>
    <w:rsid w:val="006358D4"/>
    <w:rsid w:val="0063596D"/>
    <w:rsid w:val="0063596F"/>
    <w:rsid w:val="006359A3"/>
    <w:rsid w:val="00635BC9"/>
    <w:rsid w:val="00635C3C"/>
    <w:rsid w:val="00635C7D"/>
    <w:rsid w:val="00635D3F"/>
    <w:rsid w:val="00635D98"/>
    <w:rsid w:val="00635ED3"/>
    <w:rsid w:val="00635F1C"/>
    <w:rsid w:val="006360CC"/>
    <w:rsid w:val="00636155"/>
    <w:rsid w:val="006361CB"/>
    <w:rsid w:val="00636307"/>
    <w:rsid w:val="00636442"/>
    <w:rsid w:val="006364D2"/>
    <w:rsid w:val="00636544"/>
    <w:rsid w:val="0063672D"/>
    <w:rsid w:val="006367A2"/>
    <w:rsid w:val="0063680F"/>
    <w:rsid w:val="006368D2"/>
    <w:rsid w:val="00636C31"/>
    <w:rsid w:val="00636F0E"/>
    <w:rsid w:val="00636F84"/>
    <w:rsid w:val="0063710B"/>
    <w:rsid w:val="006376C4"/>
    <w:rsid w:val="00637731"/>
    <w:rsid w:val="006377E3"/>
    <w:rsid w:val="0063798A"/>
    <w:rsid w:val="00637BF1"/>
    <w:rsid w:val="00637CDD"/>
    <w:rsid w:val="00637DF6"/>
    <w:rsid w:val="00637ED0"/>
    <w:rsid w:val="00637EF9"/>
    <w:rsid w:val="00637F40"/>
    <w:rsid w:val="0064004A"/>
    <w:rsid w:val="00640181"/>
    <w:rsid w:val="006402D4"/>
    <w:rsid w:val="0064039E"/>
    <w:rsid w:val="0064042A"/>
    <w:rsid w:val="0064059B"/>
    <w:rsid w:val="006405B3"/>
    <w:rsid w:val="006409E6"/>
    <w:rsid w:val="00640A23"/>
    <w:rsid w:val="00640F5F"/>
    <w:rsid w:val="006410F4"/>
    <w:rsid w:val="006410FB"/>
    <w:rsid w:val="0064120B"/>
    <w:rsid w:val="00641381"/>
    <w:rsid w:val="00641467"/>
    <w:rsid w:val="00641744"/>
    <w:rsid w:val="00641818"/>
    <w:rsid w:val="00641863"/>
    <w:rsid w:val="00641A98"/>
    <w:rsid w:val="00641B01"/>
    <w:rsid w:val="00641C59"/>
    <w:rsid w:val="00641F52"/>
    <w:rsid w:val="006420D9"/>
    <w:rsid w:val="00642148"/>
    <w:rsid w:val="00642317"/>
    <w:rsid w:val="00642856"/>
    <w:rsid w:val="006428CA"/>
    <w:rsid w:val="00642A3D"/>
    <w:rsid w:val="00642C08"/>
    <w:rsid w:val="00642D94"/>
    <w:rsid w:val="00642DA8"/>
    <w:rsid w:val="00642F99"/>
    <w:rsid w:val="00642FB5"/>
    <w:rsid w:val="00643189"/>
    <w:rsid w:val="006431EB"/>
    <w:rsid w:val="0064332B"/>
    <w:rsid w:val="006438D8"/>
    <w:rsid w:val="00643960"/>
    <w:rsid w:val="00643A59"/>
    <w:rsid w:val="00643C96"/>
    <w:rsid w:val="00643D85"/>
    <w:rsid w:val="00643DC7"/>
    <w:rsid w:val="00643DF2"/>
    <w:rsid w:val="00643ED8"/>
    <w:rsid w:val="0064403A"/>
    <w:rsid w:val="0064408F"/>
    <w:rsid w:val="00644111"/>
    <w:rsid w:val="006441DC"/>
    <w:rsid w:val="0064421B"/>
    <w:rsid w:val="006443A3"/>
    <w:rsid w:val="00644513"/>
    <w:rsid w:val="00644549"/>
    <w:rsid w:val="00644707"/>
    <w:rsid w:val="0064499C"/>
    <w:rsid w:val="006449D2"/>
    <w:rsid w:val="006449D3"/>
    <w:rsid w:val="00644A35"/>
    <w:rsid w:val="00644A98"/>
    <w:rsid w:val="00644B1F"/>
    <w:rsid w:val="00644C51"/>
    <w:rsid w:val="00644CFB"/>
    <w:rsid w:val="00644E4C"/>
    <w:rsid w:val="006451A7"/>
    <w:rsid w:val="006451E9"/>
    <w:rsid w:val="00645277"/>
    <w:rsid w:val="00645357"/>
    <w:rsid w:val="00645455"/>
    <w:rsid w:val="006454B4"/>
    <w:rsid w:val="0064581C"/>
    <w:rsid w:val="006458E8"/>
    <w:rsid w:val="00645AF8"/>
    <w:rsid w:val="00645B21"/>
    <w:rsid w:val="00645DF5"/>
    <w:rsid w:val="00645EB3"/>
    <w:rsid w:val="00646125"/>
    <w:rsid w:val="006463D8"/>
    <w:rsid w:val="0064648B"/>
    <w:rsid w:val="006467B5"/>
    <w:rsid w:val="006467B6"/>
    <w:rsid w:val="00646B1A"/>
    <w:rsid w:val="00646B99"/>
    <w:rsid w:val="00646C97"/>
    <w:rsid w:val="00646E5C"/>
    <w:rsid w:val="00646F7F"/>
    <w:rsid w:val="0064711F"/>
    <w:rsid w:val="0064731A"/>
    <w:rsid w:val="0064732D"/>
    <w:rsid w:val="00647444"/>
    <w:rsid w:val="006477DB"/>
    <w:rsid w:val="00647860"/>
    <w:rsid w:val="00647A23"/>
    <w:rsid w:val="00647A54"/>
    <w:rsid w:val="00647AE7"/>
    <w:rsid w:val="00647BA2"/>
    <w:rsid w:val="00647E7B"/>
    <w:rsid w:val="00647EF0"/>
    <w:rsid w:val="00647F01"/>
    <w:rsid w:val="00647FBD"/>
    <w:rsid w:val="00650197"/>
    <w:rsid w:val="00650508"/>
    <w:rsid w:val="0065057E"/>
    <w:rsid w:val="006507AC"/>
    <w:rsid w:val="006507F3"/>
    <w:rsid w:val="00650949"/>
    <w:rsid w:val="006509AA"/>
    <w:rsid w:val="00650AD1"/>
    <w:rsid w:val="00650D2F"/>
    <w:rsid w:val="00650E8E"/>
    <w:rsid w:val="00651213"/>
    <w:rsid w:val="006515F1"/>
    <w:rsid w:val="006516E7"/>
    <w:rsid w:val="00651995"/>
    <w:rsid w:val="006519C5"/>
    <w:rsid w:val="006519E4"/>
    <w:rsid w:val="00651AF9"/>
    <w:rsid w:val="00652114"/>
    <w:rsid w:val="006522F1"/>
    <w:rsid w:val="0065232B"/>
    <w:rsid w:val="006523D9"/>
    <w:rsid w:val="006523E6"/>
    <w:rsid w:val="0065244B"/>
    <w:rsid w:val="00652620"/>
    <w:rsid w:val="00652726"/>
    <w:rsid w:val="0065277F"/>
    <w:rsid w:val="006527DD"/>
    <w:rsid w:val="00652A6A"/>
    <w:rsid w:val="00652D24"/>
    <w:rsid w:val="00652EC4"/>
    <w:rsid w:val="00652F9E"/>
    <w:rsid w:val="00652FEE"/>
    <w:rsid w:val="006531DE"/>
    <w:rsid w:val="006532A2"/>
    <w:rsid w:val="006532DE"/>
    <w:rsid w:val="00653303"/>
    <w:rsid w:val="0065342E"/>
    <w:rsid w:val="006534E8"/>
    <w:rsid w:val="006535C0"/>
    <w:rsid w:val="0065362F"/>
    <w:rsid w:val="00653657"/>
    <w:rsid w:val="0065366A"/>
    <w:rsid w:val="00653725"/>
    <w:rsid w:val="00653D2B"/>
    <w:rsid w:val="00653E6D"/>
    <w:rsid w:val="00653E88"/>
    <w:rsid w:val="00654004"/>
    <w:rsid w:val="00654009"/>
    <w:rsid w:val="00654089"/>
    <w:rsid w:val="00654114"/>
    <w:rsid w:val="00654191"/>
    <w:rsid w:val="006541D9"/>
    <w:rsid w:val="0065428F"/>
    <w:rsid w:val="006543AC"/>
    <w:rsid w:val="006543C2"/>
    <w:rsid w:val="00654433"/>
    <w:rsid w:val="00654434"/>
    <w:rsid w:val="00654461"/>
    <w:rsid w:val="006544B4"/>
    <w:rsid w:val="00654692"/>
    <w:rsid w:val="006546FB"/>
    <w:rsid w:val="0065476D"/>
    <w:rsid w:val="00654A8C"/>
    <w:rsid w:val="00654B9B"/>
    <w:rsid w:val="00654DE3"/>
    <w:rsid w:val="00654E62"/>
    <w:rsid w:val="00654F0E"/>
    <w:rsid w:val="00654F2A"/>
    <w:rsid w:val="00654F5D"/>
    <w:rsid w:val="00654F8B"/>
    <w:rsid w:val="00655146"/>
    <w:rsid w:val="006551F1"/>
    <w:rsid w:val="0065538B"/>
    <w:rsid w:val="00655449"/>
    <w:rsid w:val="0065548E"/>
    <w:rsid w:val="006554E1"/>
    <w:rsid w:val="0065558C"/>
    <w:rsid w:val="006555F4"/>
    <w:rsid w:val="006557DB"/>
    <w:rsid w:val="00655864"/>
    <w:rsid w:val="006558DE"/>
    <w:rsid w:val="0065593E"/>
    <w:rsid w:val="006559CB"/>
    <w:rsid w:val="00655A46"/>
    <w:rsid w:val="00655A55"/>
    <w:rsid w:val="00655A78"/>
    <w:rsid w:val="00655BA3"/>
    <w:rsid w:val="00655E7A"/>
    <w:rsid w:val="00656142"/>
    <w:rsid w:val="006561A5"/>
    <w:rsid w:val="006561B4"/>
    <w:rsid w:val="006562F5"/>
    <w:rsid w:val="00656556"/>
    <w:rsid w:val="006565B8"/>
    <w:rsid w:val="0065665C"/>
    <w:rsid w:val="00656732"/>
    <w:rsid w:val="006567D0"/>
    <w:rsid w:val="006568AA"/>
    <w:rsid w:val="0065692D"/>
    <w:rsid w:val="00656946"/>
    <w:rsid w:val="006569C5"/>
    <w:rsid w:val="00656B39"/>
    <w:rsid w:val="00656D5E"/>
    <w:rsid w:val="00657074"/>
    <w:rsid w:val="00657082"/>
    <w:rsid w:val="006570C7"/>
    <w:rsid w:val="00657126"/>
    <w:rsid w:val="0065745B"/>
    <w:rsid w:val="006576A9"/>
    <w:rsid w:val="006578E2"/>
    <w:rsid w:val="0065793D"/>
    <w:rsid w:val="00657986"/>
    <w:rsid w:val="006579CB"/>
    <w:rsid w:val="006579F6"/>
    <w:rsid w:val="00657A92"/>
    <w:rsid w:val="00657B52"/>
    <w:rsid w:val="00657B5F"/>
    <w:rsid w:val="00657DD8"/>
    <w:rsid w:val="00657FC2"/>
    <w:rsid w:val="006600DE"/>
    <w:rsid w:val="00660196"/>
    <w:rsid w:val="006603DB"/>
    <w:rsid w:val="006603E8"/>
    <w:rsid w:val="006606D1"/>
    <w:rsid w:val="006607CB"/>
    <w:rsid w:val="00660E73"/>
    <w:rsid w:val="00660F1D"/>
    <w:rsid w:val="00660F58"/>
    <w:rsid w:val="00661158"/>
    <w:rsid w:val="0066146F"/>
    <w:rsid w:val="00661641"/>
    <w:rsid w:val="0066170D"/>
    <w:rsid w:val="0066193F"/>
    <w:rsid w:val="0066194D"/>
    <w:rsid w:val="00661A23"/>
    <w:rsid w:val="00661BE6"/>
    <w:rsid w:val="00661D68"/>
    <w:rsid w:val="00661D6D"/>
    <w:rsid w:val="00661DBA"/>
    <w:rsid w:val="00662174"/>
    <w:rsid w:val="006621CB"/>
    <w:rsid w:val="006622E6"/>
    <w:rsid w:val="006622FD"/>
    <w:rsid w:val="00662359"/>
    <w:rsid w:val="0066246A"/>
    <w:rsid w:val="00662611"/>
    <w:rsid w:val="00662655"/>
    <w:rsid w:val="006626CC"/>
    <w:rsid w:val="00662843"/>
    <w:rsid w:val="00662928"/>
    <w:rsid w:val="00662931"/>
    <w:rsid w:val="00662D1B"/>
    <w:rsid w:val="0066310E"/>
    <w:rsid w:val="00663150"/>
    <w:rsid w:val="00663230"/>
    <w:rsid w:val="0066329F"/>
    <w:rsid w:val="0066338C"/>
    <w:rsid w:val="00663400"/>
    <w:rsid w:val="006634B0"/>
    <w:rsid w:val="006635F6"/>
    <w:rsid w:val="0066375C"/>
    <w:rsid w:val="00663777"/>
    <w:rsid w:val="00663787"/>
    <w:rsid w:val="006637A0"/>
    <w:rsid w:val="00663909"/>
    <w:rsid w:val="00663A39"/>
    <w:rsid w:val="00663B12"/>
    <w:rsid w:val="00663C7B"/>
    <w:rsid w:val="00663DCB"/>
    <w:rsid w:val="00663F07"/>
    <w:rsid w:val="00663FE7"/>
    <w:rsid w:val="00664316"/>
    <w:rsid w:val="006643B3"/>
    <w:rsid w:val="0066441E"/>
    <w:rsid w:val="006646F3"/>
    <w:rsid w:val="006647E6"/>
    <w:rsid w:val="0066481F"/>
    <w:rsid w:val="006648F4"/>
    <w:rsid w:val="00664C7A"/>
    <w:rsid w:val="00664DB6"/>
    <w:rsid w:val="00664EAD"/>
    <w:rsid w:val="00664F1B"/>
    <w:rsid w:val="006651FC"/>
    <w:rsid w:val="00665258"/>
    <w:rsid w:val="006652A9"/>
    <w:rsid w:val="00665320"/>
    <w:rsid w:val="00665335"/>
    <w:rsid w:val="00665419"/>
    <w:rsid w:val="00665421"/>
    <w:rsid w:val="0066549C"/>
    <w:rsid w:val="0066551B"/>
    <w:rsid w:val="00665827"/>
    <w:rsid w:val="006658F3"/>
    <w:rsid w:val="00665A11"/>
    <w:rsid w:val="00665A99"/>
    <w:rsid w:val="00665C10"/>
    <w:rsid w:val="00665CF0"/>
    <w:rsid w:val="00665CF6"/>
    <w:rsid w:val="00665ECA"/>
    <w:rsid w:val="00665FFC"/>
    <w:rsid w:val="00666022"/>
    <w:rsid w:val="0066613C"/>
    <w:rsid w:val="00666260"/>
    <w:rsid w:val="006665B5"/>
    <w:rsid w:val="00666623"/>
    <w:rsid w:val="00666800"/>
    <w:rsid w:val="0066694E"/>
    <w:rsid w:val="0066698D"/>
    <w:rsid w:val="00666A4D"/>
    <w:rsid w:val="00666BBA"/>
    <w:rsid w:val="00666C0A"/>
    <w:rsid w:val="00666C63"/>
    <w:rsid w:val="00666CEB"/>
    <w:rsid w:val="00666E18"/>
    <w:rsid w:val="00666EEA"/>
    <w:rsid w:val="00666F68"/>
    <w:rsid w:val="00667078"/>
    <w:rsid w:val="00667169"/>
    <w:rsid w:val="006671C4"/>
    <w:rsid w:val="0066720B"/>
    <w:rsid w:val="00667671"/>
    <w:rsid w:val="0066776F"/>
    <w:rsid w:val="006677A9"/>
    <w:rsid w:val="006677B0"/>
    <w:rsid w:val="00667817"/>
    <w:rsid w:val="00667953"/>
    <w:rsid w:val="006679CF"/>
    <w:rsid w:val="006679D9"/>
    <w:rsid w:val="00667C6F"/>
    <w:rsid w:val="00667D51"/>
    <w:rsid w:val="00667F54"/>
    <w:rsid w:val="00670279"/>
    <w:rsid w:val="00670369"/>
    <w:rsid w:val="006704A2"/>
    <w:rsid w:val="006704DF"/>
    <w:rsid w:val="0067053D"/>
    <w:rsid w:val="006708D4"/>
    <w:rsid w:val="00670A07"/>
    <w:rsid w:val="00670D8D"/>
    <w:rsid w:val="00670E85"/>
    <w:rsid w:val="00670EB7"/>
    <w:rsid w:val="00670F97"/>
    <w:rsid w:val="0067118B"/>
    <w:rsid w:val="006712D5"/>
    <w:rsid w:val="0067131F"/>
    <w:rsid w:val="00671437"/>
    <w:rsid w:val="00671493"/>
    <w:rsid w:val="006714F1"/>
    <w:rsid w:val="00671536"/>
    <w:rsid w:val="006715E3"/>
    <w:rsid w:val="006717B4"/>
    <w:rsid w:val="006717BD"/>
    <w:rsid w:val="00671818"/>
    <w:rsid w:val="00671905"/>
    <w:rsid w:val="00671A52"/>
    <w:rsid w:val="00671C32"/>
    <w:rsid w:val="00671ECC"/>
    <w:rsid w:val="00671F3D"/>
    <w:rsid w:val="00671F6C"/>
    <w:rsid w:val="00671FA8"/>
    <w:rsid w:val="00672028"/>
    <w:rsid w:val="0067204C"/>
    <w:rsid w:val="006720CA"/>
    <w:rsid w:val="00672388"/>
    <w:rsid w:val="00672448"/>
    <w:rsid w:val="006724D0"/>
    <w:rsid w:val="0067256B"/>
    <w:rsid w:val="0067263A"/>
    <w:rsid w:val="0067269A"/>
    <w:rsid w:val="006727C3"/>
    <w:rsid w:val="00672ADF"/>
    <w:rsid w:val="00672C41"/>
    <w:rsid w:val="00672D23"/>
    <w:rsid w:val="00672DB6"/>
    <w:rsid w:val="00672DC0"/>
    <w:rsid w:val="00672FA5"/>
    <w:rsid w:val="006730B4"/>
    <w:rsid w:val="00673137"/>
    <w:rsid w:val="00673219"/>
    <w:rsid w:val="006732B5"/>
    <w:rsid w:val="006733FE"/>
    <w:rsid w:val="00673438"/>
    <w:rsid w:val="00673641"/>
    <w:rsid w:val="006736EC"/>
    <w:rsid w:val="00673804"/>
    <w:rsid w:val="00673821"/>
    <w:rsid w:val="00673A78"/>
    <w:rsid w:val="00673AB5"/>
    <w:rsid w:val="00673CE7"/>
    <w:rsid w:val="00673CFC"/>
    <w:rsid w:val="00673DB3"/>
    <w:rsid w:val="00673E64"/>
    <w:rsid w:val="00673F19"/>
    <w:rsid w:val="00674158"/>
    <w:rsid w:val="00674276"/>
    <w:rsid w:val="006742C6"/>
    <w:rsid w:val="0067433F"/>
    <w:rsid w:val="006744A2"/>
    <w:rsid w:val="006744DA"/>
    <w:rsid w:val="00674574"/>
    <w:rsid w:val="00674B9C"/>
    <w:rsid w:val="00674BB5"/>
    <w:rsid w:val="00674BD1"/>
    <w:rsid w:val="00675118"/>
    <w:rsid w:val="006753A8"/>
    <w:rsid w:val="006753E4"/>
    <w:rsid w:val="006755BE"/>
    <w:rsid w:val="006756CE"/>
    <w:rsid w:val="00675A95"/>
    <w:rsid w:val="00675BAD"/>
    <w:rsid w:val="00675BD5"/>
    <w:rsid w:val="00675CF1"/>
    <w:rsid w:val="00675EDA"/>
    <w:rsid w:val="00676048"/>
    <w:rsid w:val="00676180"/>
    <w:rsid w:val="0067621B"/>
    <w:rsid w:val="0067628C"/>
    <w:rsid w:val="006762A0"/>
    <w:rsid w:val="00676310"/>
    <w:rsid w:val="00676767"/>
    <w:rsid w:val="0067687B"/>
    <w:rsid w:val="00676DB5"/>
    <w:rsid w:val="00676F49"/>
    <w:rsid w:val="00677120"/>
    <w:rsid w:val="00677216"/>
    <w:rsid w:val="00677325"/>
    <w:rsid w:val="00677335"/>
    <w:rsid w:val="006774DD"/>
    <w:rsid w:val="00677833"/>
    <w:rsid w:val="006778AA"/>
    <w:rsid w:val="00677AC3"/>
    <w:rsid w:val="00677B48"/>
    <w:rsid w:val="00677D27"/>
    <w:rsid w:val="00677DCB"/>
    <w:rsid w:val="00677DF8"/>
    <w:rsid w:val="00677EBB"/>
    <w:rsid w:val="00677FED"/>
    <w:rsid w:val="006801B2"/>
    <w:rsid w:val="00680204"/>
    <w:rsid w:val="00680221"/>
    <w:rsid w:val="006802E4"/>
    <w:rsid w:val="006802FE"/>
    <w:rsid w:val="00680739"/>
    <w:rsid w:val="00680768"/>
    <w:rsid w:val="0068088C"/>
    <w:rsid w:val="00680894"/>
    <w:rsid w:val="006809FF"/>
    <w:rsid w:val="00680B3C"/>
    <w:rsid w:val="00680C80"/>
    <w:rsid w:val="00680D24"/>
    <w:rsid w:val="00680DCA"/>
    <w:rsid w:val="00680E7E"/>
    <w:rsid w:val="00680F40"/>
    <w:rsid w:val="00681074"/>
    <w:rsid w:val="006810F9"/>
    <w:rsid w:val="006811E1"/>
    <w:rsid w:val="00681312"/>
    <w:rsid w:val="006814F7"/>
    <w:rsid w:val="00681560"/>
    <w:rsid w:val="0068172C"/>
    <w:rsid w:val="0068185E"/>
    <w:rsid w:val="00681B58"/>
    <w:rsid w:val="00681BBC"/>
    <w:rsid w:val="00681BD7"/>
    <w:rsid w:val="00681DB1"/>
    <w:rsid w:val="00681DC2"/>
    <w:rsid w:val="00681ED2"/>
    <w:rsid w:val="00681F08"/>
    <w:rsid w:val="00682078"/>
    <w:rsid w:val="00682233"/>
    <w:rsid w:val="006822D4"/>
    <w:rsid w:val="00682484"/>
    <w:rsid w:val="006825F7"/>
    <w:rsid w:val="0068271C"/>
    <w:rsid w:val="0068272C"/>
    <w:rsid w:val="0068281C"/>
    <w:rsid w:val="0068298C"/>
    <w:rsid w:val="006829E3"/>
    <w:rsid w:val="00682BCC"/>
    <w:rsid w:val="00682C6E"/>
    <w:rsid w:val="00682D05"/>
    <w:rsid w:val="00682D16"/>
    <w:rsid w:val="00682D7B"/>
    <w:rsid w:val="00682FCE"/>
    <w:rsid w:val="006831E9"/>
    <w:rsid w:val="0068321C"/>
    <w:rsid w:val="0068328E"/>
    <w:rsid w:val="006833FA"/>
    <w:rsid w:val="0068366B"/>
    <w:rsid w:val="00683696"/>
    <w:rsid w:val="00683827"/>
    <w:rsid w:val="0068393F"/>
    <w:rsid w:val="00683C2B"/>
    <w:rsid w:val="00683D81"/>
    <w:rsid w:val="00683FBC"/>
    <w:rsid w:val="00684020"/>
    <w:rsid w:val="006840B6"/>
    <w:rsid w:val="0068422F"/>
    <w:rsid w:val="0068428B"/>
    <w:rsid w:val="0068432D"/>
    <w:rsid w:val="00684889"/>
    <w:rsid w:val="00684AFB"/>
    <w:rsid w:val="00684C0A"/>
    <w:rsid w:val="00684C82"/>
    <w:rsid w:val="00684CAF"/>
    <w:rsid w:val="00684D76"/>
    <w:rsid w:val="00684E02"/>
    <w:rsid w:val="00684E1E"/>
    <w:rsid w:val="00684E2B"/>
    <w:rsid w:val="006850F0"/>
    <w:rsid w:val="0068513E"/>
    <w:rsid w:val="0068540A"/>
    <w:rsid w:val="00685557"/>
    <w:rsid w:val="006856F8"/>
    <w:rsid w:val="006858F0"/>
    <w:rsid w:val="006859BF"/>
    <w:rsid w:val="00685AB4"/>
    <w:rsid w:val="00685DE6"/>
    <w:rsid w:val="00685EA8"/>
    <w:rsid w:val="00685FC6"/>
    <w:rsid w:val="00685FF7"/>
    <w:rsid w:val="006860EE"/>
    <w:rsid w:val="0068613E"/>
    <w:rsid w:val="00686280"/>
    <w:rsid w:val="0068643C"/>
    <w:rsid w:val="006864F0"/>
    <w:rsid w:val="006865D3"/>
    <w:rsid w:val="006865DB"/>
    <w:rsid w:val="0068666B"/>
    <w:rsid w:val="006866A5"/>
    <w:rsid w:val="00686849"/>
    <w:rsid w:val="00686946"/>
    <w:rsid w:val="00686989"/>
    <w:rsid w:val="006869CA"/>
    <w:rsid w:val="00686B76"/>
    <w:rsid w:val="00686F10"/>
    <w:rsid w:val="00686F2D"/>
    <w:rsid w:val="00687006"/>
    <w:rsid w:val="006870F4"/>
    <w:rsid w:val="006875EE"/>
    <w:rsid w:val="0068762E"/>
    <w:rsid w:val="006877FF"/>
    <w:rsid w:val="006879E8"/>
    <w:rsid w:val="00687AF0"/>
    <w:rsid w:val="00687BAA"/>
    <w:rsid w:val="00687CEA"/>
    <w:rsid w:val="00687F8B"/>
    <w:rsid w:val="006901CC"/>
    <w:rsid w:val="0069023E"/>
    <w:rsid w:val="00690318"/>
    <w:rsid w:val="00690384"/>
    <w:rsid w:val="0069044B"/>
    <w:rsid w:val="00690C97"/>
    <w:rsid w:val="00690DFA"/>
    <w:rsid w:val="00690E6D"/>
    <w:rsid w:val="00690E85"/>
    <w:rsid w:val="00691000"/>
    <w:rsid w:val="006911A3"/>
    <w:rsid w:val="006911E4"/>
    <w:rsid w:val="006913BF"/>
    <w:rsid w:val="00691466"/>
    <w:rsid w:val="006914FF"/>
    <w:rsid w:val="006918A0"/>
    <w:rsid w:val="006919F5"/>
    <w:rsid w:val="00691B54"/>
    <w:rsid w:val="00691B76"/>
    <w:rsid w:val="00691C32"/>
    <w:rsid w:val="00691E44"/>
    <w:rsid w:val="00691EEB"/>
    <w:rsid w:val="00691F34"/>
    <w:rsid w:val="00691F3D"/>
    <w:rsid w:val="00691FA0"/>
    <w:rsid w:val="00692038"/>
    <w:rsid w:val="00692061"/>
    <w:rsid w:val="00692105"/>
    <w:rsid w:val="00692430"/>
    <w:rsid w:val="00692433"/>
    <w:rsid w:val="00692459"/>
    <w:rsid w:val="00692590"/>
    <w:rsid w:val="006925C2"/>
    <w:rsid w:val="006926BF"/>
    <w:rsid w:val="00692706"/>
    <w:rsid w:val="00692B66"/>
    <w:rsid w:val="00692B67"/>
    <w:rsid w:val="00692BED"/>
    <w:rsid w:val="00692C1D"/>
    <w:rsid w:val="00692C85"/>
    <w:rsid w:val="00692DDE"/>
    <w:rsid w:val="00692E20"/>
    <w:rsid w:val="00692FB5"/>
    <w:rsid w:val="0069304F"/>
    <w:rsid w:val="0069319A"/>
    <w:rsid w:val="006931DD"/>
    <w:rsid w:val="00693324"/>
    <w:rsid w:val="00693724"/>
    <w:rsid w:val="00693731"/>
    <w:rsid w:val="00693747"/>
    <w:rsid w:val="006937DE"/>
    <w:rsid w:val="0069388E"/>
    <w:rsid w:val="006938B9"/>
    <w:rsid w:val="006939C7"/>
    <w:rsid w:val="00693BEC"/>
    <w:rsid w:val="00693C39"/>
    <w:rsid w:val="00693CE8"/>
    <w:rsid w:val="00693D34"/>
    <w:rsid w:val="00693DE4"/>
    <w:rsid w:val="00693E41"/>
    <w:rsid w:val="00693F20"/>
    <w:rsid w:val="00693F3A"/>
    <w:rsid w:val="00694544"/>
    <w:rsid w:val="00694546"/>
    <w:rsid w:val="00694718"/>
    <w:rsid w:val="006947E7"/>
    <w:rsid w:val="0069480E"/>
    <w:rsid w:val="00694949"/>
    <w:rsid w:val="00694A28"/>
    <w:rsid w:val="00694A69"/>
    <w:rsid w:val="00694B86"/>
    <w:rsid w:val="00694F52"/>
    <w:rsid w:val="0069510B"/>
    <w:rsid w:val="00695387"/>
    <w:rsid w:val="00695427"/>
    <w:rsid w:val="0069552E"/>
    <w:rsid w:val="0069574D"/>
    <w:rsid w:val="006959D4"/>
    <w:rsid w:val="00695A77"/>
    <w:rsid w:val="00695B22"/>
    <w:rsid w:val="00695C3F"/>
    <w:rsid w:val="00695C97"/>
    <w:rsid w:val="00695FA9"/>
    <w:rsid w:val="0069605D"/>
    <w:rsid w:val="00696165"/>
    <w:rsid w:val="00696233"/>
    <w:rsid w:val="0069636E"/>
    <w:rsid w:val="006964D4"/>
    <w:rsid w:val="00696593"/>
    <w:rsid w:val="0069662A"/>
    <w:rsid w:val="006967D9"/>
    <w:rsid w:val="006967FC"/>
    <w:rsid w:val="00696C2C"/>
    <w:rsid w:val="00696CBC"/>
    <w:rsid w:val="00696D20"/>
    <w:rsid w:val="00697056"/>
    <w:rsid w:val="006970BD"/>
    <w:rsid w:val="006972C9"/>
    <w:rsid w:val="006974B3"/>
    <w:rsid w:val="0069766A"/>
    <w:rsid w:val="006976BE"/>
    <w:rsid w:val="006976F8"/>
    <w:rsid w:val="00697865"/>
    <w:rsid w:val="00697937"/>
    <w:rsid w:val="0069794B"/>
    <w:rsid w:val="006979E0"/>
    <w:rsid w:val="00697A12"/>
    <w:rsid w:val="00697E11"/>
    <w:rsid w:val="006A0110"/>
    <w:rsid w:val="006A01D1"/>
    <w:rsid w:val="006A01E0"/>
    <w:rsid w:val="006A01F5"/>
    <w:rsid w:val="006A0211"/>
    <w:rsid w:val="006A02AB"/>
    <w:rsid w:val="006A0407"/>
    <w:rsid w:val="006A0411"/>
    <w:rsid w:val="006A0414"/>
    <w:rsid w:val="006A0417"/>
    <w:rsid w:val="006A0759"/>
    <w:rsid w:val="006A07B2"/>
    <w:rsid w:val="006A093A"/>
    <w:rsid w:val="006A0996"/>
    <w:rsid w:val="006A09F2"/>
    <w:rsid w:val="006A0B07"/>
    <w:rsid w:val="006A0BF5"/>
    <w:rsid w:val="006A0C1C"/>
    <w:rsid w:val="006A0CAA"/>
    <w:rsid w:val="006A0EC0"/>
    <w:rsid w:val="006A0F19"/>
    <w:rsid w:val="006A1085"/>
    <w:rsid w:val="006A109B"/>
    <w:rsid w:val="006A11AD"/>
    <w:rsid w:val="006A11C6"/>
    <w:rsid w:val="006A13C8"/>
    <w:rsid w:val="006A13E4"/>
    <w:rsid w:val="006A13EA"/>
    <w:rsid w:val="006A157F"/>
    <w:rsid w:val="006A15B2"/>
    <w:rsid w:val="006A15F9"/>
    <w:rsid w:val="006A181B"/>
    <w:rsid w:val="006A1894"/>
    <w:rsid w:val="006A1C7C"/>
    <w:rsid w:val="006A1D7C"/>
    <w:rsid w:val="006A1DF3"/>
    <w:rsid w:val="006A1F5E"/>
    <w:rsid w:val="006A1FBE"/>
    <w:rsid w:val="006A1FE9"/>
    <w:rsid w:val="006A2290"/>
    <w:rsid w:val="006A230A"/>
    <w:rsid w:val="006A2754"/>
    <w:rsid w:val="006A290E"/>
    <w:rsid w:val="006A29D8"/>
    <w:rsid w:val="006A2BD3"/>
    <w:rsid w:val="006A2C4D"/>
    <w:rsid w:val="006A2DE0"/>
    <w:rsid w:val="006A2DF4"/>
    <w:rsid w:val="006A2E08"/>
    <w:rsid w:val="006A2E88"/>
    <w:rsid w:val="006A2F5C"/>
    <w:rsid w:val="006A2F96"/>
    <w:rsid w:val="006A317C"/>
    <w:rsid w:val="006A31F5"/>
    <w:rsid w:val="006A323F"/>
    <w:rsid w:val="006A33B5"/>
    <w:rsid w:val="006A3485"/>
    <w:rsid w:val="006A3532"/>
    <w:rsid w:val="006A3816"/>
    <w:rsid w:val="006A38C9"/>
    <w:rsid w:val="006A3932"/>
    <w:rsid w:val="006A3A48"/>
    <w:rsid w:val="006A3D03"/>
    <w:rsid w:val="006A3EB9"/>
    <w:rsid w:val="006A4173"/>
    <w:rsid w:val="006A425A"/>
    <w:rsid w:val="006A42A8"/>
    <w:rsid w:val="006A4331"/>
    <w:rsid w:val="006A4426"/>
    <w:rsid w:val="006A46A2"/>
    <w:rsid w:val="006A47FA"/>
    <w:rsid w:val="006A4962"/>
    <w:rsid w:val="006A496E"/>
    <w:rsid w:val="006A49BA"/>
    <w:rsid w:val="006A4A3A"/>
    <w:rsid w:val="006A4DB3"/>
    <w:rsid w:val="006A50BC"/>
    <w:rsid w:val="006A5218"/>
    <w:rsid w:val="006A52B0"/>
    <w:rsid w:val="006A538A"/>
    <w:rsid w:val="006A53BC"/>
    <w:rsid w:val="006A53CA"/>
    <w:rsid w:val="006A5436"/>
    <w:rsid w:val="006A55C0"/>
    <w:rsid w:val="006A55CA"/>
    <w:rsid w:val="006A55DC"/>
    <w:rsid w:val="006A55F3"/>
    <w:rsid w:val="006A55F5"/>
    <w:rsid w:val="006A5909"/>
    <w:rsid w:val="006A591C"/>
    <w:rsid w:val="006A5930"/>
    <w:rsid w:val="006A59F7"/>
    <w:rsid w:val="006A5EBD"/>
    <w:rsid w:val="006A5ED9"/>
    <w:rsid w:val="006A5F61"/>
    <w:rsid w:val="006A6213"/>
    <w:rsid w:val="006A64FE"/>
    <w:rsid w:val="006A6606"/>
    <w:rsid w:val="006A688F"/>
    <w:rsid w:val="006A69EE"/>
    <w:rsid w:val="006A6C10"/>
    <w:rsid w:val="006A6C82"/>
    <w:rsid w:val="006A6CC7"/>
    <w:rsid w:val="006A6DAF"/>
    <w:rsid w:val="006A7291"/>
    <w:rsid w:val="006A729A"/>
    <w:rsid w:val="006A72AE"/>
    <w:rsid w:val="006A7362"/>
    <w:rsid w:val="006A73C5"/>
    <w:rsid w:val="006A7455"/>
    <w:rsid w:val="006A75DD"/>
    <w:rsid w:val="006A75E9"/>
    <w:rsid w:val="006A7724"/>
    <w:rsid w:val="006A77CD"/>
    <w:rsid w:val="006A77D0"/>
    <w:rsid w:val="006A794B"/>
    <w:rsid w:val="006A79A1"/>
    <w:rsid w:val="006A79FA"/>
    <w:rsid w:val="006A7A3E"/>
    <w:rsid w:val="006A7B4F"/>
    <w:rsid w:val="006A7E39"/>
    <w:rsid w:val="006A7EB3"/>
    <w:rsid w:val="006B0167"/>
    <w:rsid w:val="006B02E8"/>
    <w:rsid w:val="006B039E"/>
    <w:rsid w:val="006B03FC"/>
    <w:rsid w:val="006B04F7"/>
    <w:rsid w:val="006B052D"/>
    <w:rsid w:val="006B0715"/>
    <w:rsid w:val="006B07FD"/>
    <w:rsid w:val="006B080D"/>
    <w:rsid w:val="006B0855"/>
    <w:rsid w:val="006B0878"/>
    <w:rsid w:val="006B09CE"/>
    <w:rsid w:val="006B0BA2"/>
    <w:rsid w:val="006B0DCE"/>
    <w:rsid w:val="006B1038"/>
    <w:rsid w:val="006B1071"/>
    <w:rsid w:val="006B114B"/>
    <w:rsid w:val="006B11B6"/>
    <w:rsid w:val="006B1258"/>
    <w:rsid w:val="006B12E3"/>
    <w:rsid w:val="006B136A"/>
    <w:rsid w:val="006B1494"/>
    <w:rsid w:val="006B149A"/>
    <w:rsid w:val="006B15FD"/>
    <w:rsid w:val="006B1656"/>
    <w:rsid w:val="006B1681"/>
    <w:rsid w:val="006B198D"/>
    <w:rsid w:val="006B19DA"/>
    <w:rsid w:val="006B1B22"/>
    <w:rsid w:val="006B1B5B"/>
    <w:rsid w:val="006B1B68"/>
    <w:rsid w:val="006B2025"/>
    <w:rsid w:val="006B2075"/>
    <w:rsid w:val="006B2150"/>
    <w:rsid w:val="006B21D4"/>
    <w:rsid w:val="006B21FF"/>
    <w:rsid w:val="006B2276"/>
    <w:rsid w:val="006B2405"/>
    <w:rsid w:val="006B2495"/>
    <w:rsid w:val="006B25C0"/>
    <w:rsid w:val="006B26E6"/>
    <w:rsid w:val="006B2811"/>
    <w:rsid w:val="006B2834"/>
    <w:rsid w:val="006B2C88"/>
    <w:rsid w:val="006B2CBA"/>
    <w:rsid w:val="006B2CE1"/>
    <w:rsid w:val="006B2FB2"/>
    <w:rsid w:val="006B2FCF"/>
    <w:rsid w:val="006B3029"/>
    <w:rsid w:val="006B3241"/>
    <w:rsid w:val="006B3418"/>
    <w:rsid w:val="006B3528"/>
    <w:rsid w:val="006B36B6"/>
    <w:rsid w:val="006B36BA"/>
    <w:rsid w:val="006B372F"/>
    <w:rsid w:val="006B383B"/>
    <w:rsid w:val="006B38D5"/>
    <w:rsid w:val="006B3937"/>
    <w:rsid w:val="006B39B2"/>
    <w:rsid w:val="006B3DC0"/>
    <w:rsid w:val="006B3EDB"/>
    <w:rsid w:val="006B3EF4"/>
    <w:rsid w:val="006B3F63"/>
    <w:rsid w:val="006B40A6"/>
    <w:rsid w:val="006B4174"/>
    <w:rsid w:val="006B4414"/>
    <w:rsid w:val="006B45C9"/>
    <w:rsid w:val="006B4698"/>
    <w:rsid w:val="006B47A8"/>
    <w:rsid w:val="006B482C"/>
    <w:rsid w:val="006B4CDC"/>
    <w:rsid w:val="006B4DDB"/>
    <w:rsid w:val="006B4DF3"/>
    <w:rsid w:val="006B4E8C"/>
    <w:rsid w:val="006B5626"/>
    <w:rsid w:val="006B5646"/>
    <w:rsid w:val="006B5785"/>
    <w:rsid w:val="006B58AB"/>
    <w:rsid w:val="006B5914"/>
    <w:rsid w:val="006B5B3C"/>
    <w:rsid w:val="006B5B4F"/>
    <w:rsid w:val="006B5C84"/>
    <w:rsid w:val="006B5CD2"/>
    <w:rsid w:val="006B5F56"/>
    <w:rsid w:val="006B5FF0"/>
    <w:rsid w:val="006B604C"/>
    <w:rsid w:val="006B607B"/>
    <w:rsid w:val="006B60C1"/>
    <w:rsid w:val="006B611E"/>
    <w:rsid w:val="006B6144"/>
    <w:rsid w:val="006B61E8"/>
    <w:rsid w:val="006B624D"/>
    <w:rsid w:val="006B6445"/>
    <w:rsid w:val="006B6465"/>
    <w:rsid w:val="006B647D"/>
    <w:rsid w:val="006B6626"/>
    <w:rsid w:val="006B693E"/>
    <w:rsid w:val="006B6AB2"/>
    <w:rsid w:val="006B6CF3"/>
    <w:rsid w:val="006B6D27"/>
    <w:rsid w:val="006B6D5E"/>
    <w:rsid w:val="006B6EB2"/>
    <w:rsid w:val="006B6F41"/>
    <w:rsid w:val="006B6F98"/>
    <w:rsid w:val="006B7008"/>
    <w:rsid w:val="006B7043"/>
    <w:rsid w:val="006B7054"/>
    <w:rsid w:val="006B72F9"/>
    <w:rsid w:val="006B7303"/>
    <w:rsid w:val="006B73EA"/>
    <w:rsid w:val="006B7447"/>
    <w:rsid w:val="006B7510"/>
    <w:rsid w:val="006B76FA"/>
    <w:rsid w:val="006B7782"/>
    <w:rsid w:val="006B79B5"/>
    <w:rsid w:val="006B7A14"/>
    <w:rsid w:val="006B7A84"/>
    <w:rsid w:val="006B7EBA"/>
    <w:rsid w:val="006C003F"/>
    <w:rsid w:val="006C0203"/>
    <w:rsid w:val="006C0400"/>
    <w:rsid w:val="006C045C"/>
    <w:rsid w:val="006C04FB"/>
    <w:rsid w:val="006C057A"/>
    <w:rsid w:val="006C078F"/>
    <w:rsid w:val="006C0957"/>
    <w:rsid w:val="006C0A52"/>
    <w:rsid w:val="006C0B13"/>
    <w:rsid w:val="006C0B96"/>
    <w:rsid w:val="006C0CE0"/>
    <w:rsid w:val="006C0D3B"/>
    <w:rsid w:val="006C0EC7"/>
    <w:rsid w:val="006C0F52"/>
    <w:rsid w:val="006C109A"/>
    <w:rsid w:val="006C10B7"/>
    <w:rsid w:val="006C1107"/>
    <w:rsid w:val="006C1181"/>
    <w:rsid w:val="006C12D7"/>
    <w:rsid w:val="006C1494"/>
    <w:rsid w:val="006C1698"/>
    <w:rsid w:val="006C1762"/>
    <w:rsid w:val="006C1821"/>
    <w:rsid w:val="006C18F1"/>
    <w:rsid w:val="006C19AD"/>
    <w:rsid w:val="006C1A61"/>
    <w:rsid w:val="006C1CEA"/>
    <w:rsid w:val="006C1CEE"/>
    <w:rsid w:val="006C1FAE"/>
    <w:rsid w:val="006C2035"/>
    <w:rsid w:val="006C2077"/>
    <w:rsid w:val="006C2289"/>
    <w:rsid w:val="006C2332"/>
    <w:rsid w:val="006C2365"/>
    <w:rsid w:val="006C24AF"/>
    <w:rsid w:val="006C24CE"/>
    <w:rsid w:val="006C254C"/>
    <w:rsid w:val="006C2667"/>
    <w:rsid w:val="006C266B"/>
    <w:rsid w:val="006C28BD"/>
    <w:rsid w:val="006C2AB9"/>
    <w:rsid w:val="006C2CBA"/>
    <w:rsid w:val="006C2DFC"/>
    <w:rsid w:val="006C2EE9"/>
    <w:rsid w:val="006C300E"/>
    <w:rsid w:val="006C3056"/>
    <w:rsid w:val="006C31EF"/>
    <w:rsid w:val="006C35C3"/>
    <w:rsid w:val="006C3643"/>
    <w:rsid w:val="006C3A46"/>
    <w:rsid w:val="006C3BFB"/>
    <w:rsid w:val="006C3E1D"/>
    <w:rsid w:val="006C3E1F"/>
    <w:rsid w:val="006C40C4"/>
    <w:rsid w:val="006C4119"/>
    <w:rsid w:val="006C418B"/>
    <w:rsid w:val="006C41F1"/>
    <w:rsid w:val="006C4216"/>
    <w:rsid w:val="006C4360"/>
    <w:rsid w:val="006C4477"/>
    <w:rsid w:val="006C45C1"/>
    <w:rsid w:val="006C4625"/>
    <w:rsid w:val="006C4656"/>
    <w:rsid w:val="006C46E6"/>
    <w:rsid w:val="006C47DA"/>
    <w:rsid w:val="006C47E0"/>
    <w:rsid w:val="006C4809"/>
    <w:rsid w:val="006C4822"/>
    <w:rsid w:val="006C48BD"/>
    <w:rsid w:val="006C4967"/>
    <w:rsid w:val="006C4A4E"/>
    <w:rsid w:val="006C4A90"/>
    <w:rsid w:val="006C4AAA"/>
    <w:rsid w:val="006C4C93"/>
    <w:rsid w:val="006C506F"/>
    <w:rsid w:val="006C5112"/>
    <w:rsid w:val="006C5149"/>
    <w:rsid w:val="006C514C"/>
    <w:rsid w:val="006C525B"/>
    <w:rsid w:val="006C540A"/>
    <w:rsid w:val="006C574A"/>
    <w:rsid w:val="006C5892"/>
    <w:rsid w:val="006C592E"/>
    <w:rsid w:val="006C5CFC"/>
    <w:rsid w:val="006C6037"/>
    <w:rsid w:val="006C60CF"/>
    <w:rsid w:val="006C63A3"/>
    <w:rsid w:val="006C63CB"/>
    <w:rsid w:val="006C6631"/>
    <w:rsid w:val="006C6709"/>
    <w:rsid w:val="006C67E3"/>
    <w:rsid w:val="006C683D"/>
    <w:rsid w:val="006C68A6"/>
    <w:rsid w:val="006C6A5F"/>
    <w:rsid w:val="006C6B4A"/>
    <w:rsid w:val="006C6D76"/>
    <w:rsid w:val="006C6DFB"/>
    <w:rsid w:val="006C7040"/>
    <w:rsid w:val="006C70B4"/>
    <w:rsid w:val="006C70E3"/>
    <w:rsid w:val="006C72C2"/>
    <w:rsid w:val="006C7472"/>
    <w:rsid w:val="006C7606"/>
    <w:rsid w:val="006C7659"/>
    <w:rsid w:val="006C76D6"/>
    <w:rsid w:val="006C76DA"/>
    <w:rsid w:val="006C79B9"/>
    <w:rsid w:val="006C7A42"/>
    <w:rsid w:val="006C7A47"/>
    <w:rsid w:val="006C7B6C"/>
    <w:rsid w:val="006C7C93"/>
    <w:rsid w:val="006C7E7B"/>
    <w:rsid w:val="006C7EA5"/>
    <w:rsid w:val="006C7EF1"/>
    <w:rsid w:val="006D0050"/>
    <w:rsid w:val="006D0057"/>
    <w:rsid w:val="006D00C7"/>
    <w:rsid w:val="006D0102"/>
    <w:rsid w:val="006D0221"/>
    <w:rsid w:val="006D02F3"/>
    <w:rsid w:val="006D02F6"/>
    <w:rsid w:val="006D0312"/>
    <w:rsid w:val="006D03FD"/>
    <w:rsid w:val="006D0440"/>
    <w:rsid w:val="006D0450"/>
    <w:rsid w:val="006D081E"/>
    <w:rsid w:val="006D0885"/>
    <w:rsid w:val="006D0940"/>
    <w:rsid w:val="006D0AA9"/>
    <w:rsid w:val="006D0BFA"/>
    <w:rsid w:val="006D10E4"/>
    <w:rsid w:val="006D10F3"/>
    <w:rsid w:val="006D12A2"/>
    <w:rsid w:val="006D12DA"/>
    <w:rsid w:val="006D13C8"/>
    <w:rsid w:val="006D148F"/>
    <w:rsid w:val="006D149D"/>
    <w:rsid w:val="006D179E"/>
    <w:rsid w:val="006D186D"/>
    <w:rsid w:val="006D1C34"/>
    <w:rsid w:val="006D1C39"/>
    <w:rsid w:val="006D20F4"/>
    <w:rsid w:val="006D2109"/>
    <w:rsid w:val="006D2166"/>
    <w:rsid w:val="006D2231"/>
    <w:rsid w:val="006D2266"/>
    <w:rsid w:val="006D234C"/>
    <w:rsid w:val="006D23B5"/>
    <w:rsid w:val="006D2410"/>
    <w:rsid w:val="006D24B8"/>
    <w:rsid w:val="006D253A"/>
    <w:rsid w:val="006D2574"/>
    <w:rsid w:val="006D2672"/>
    <w:rsid w:val="006D28A3"/>
    <w:rsid w:val="006D2A08"/>
    <w:rsid w:val="006D2EAD"/>
    <w:rsid w:val="006D2FAE"/>
    <w:rsid w:val="006D2FBF"/>
    <w:rsid w:val="006D2FE8"/>
    <w:rsid w:val="006D3046"/>
    <w:rsid w:val="006D30D5"/>
    <w:rsid w:val="006D328B"/>
    <w:rsid w:val="006D328C"/>
    <w:rsid w:val="006D334C"/>
    <w:rsid w:val="006D3459"/>
    <w:rsid w:val="006D34C2"/>
    <w:rsid w:val="006D3516"/>
    <w:rsid w:val="006D3628"/>
    <w:rsid w:val="006D37E8"/>
    <w:rsid w:val="006D3878"/>
    <w:rsid w:val="006D38F8"/>
    <w:rsid w:val="006D3982"/>
    <w:rsid w:val="006D3B0A"/>
    <w:rsid w:val="006D3D71"/>
    <w:rsid w:val="006D3E4E"/>
    <w:rsid w:val="006D3E79"/>
    <w:rsid w:val="006D3E96"/>
    <w:rsid w:val="006D3FA8"/>
    <w:rsid w:val="006D403D"/>
    <w:rsid w:val="006D4053"/>
    <w:rsid w:val="006D40A5"/>
    <w:rsid w:val="006D41C2"/>
    <w:rsid w:val="006D424C"/>
    <w:rsid w:val="006D42A2"/>
    <w:rsid w:val="006D43E0"/>
    <w:rsid w:val="006D459B"/>
    <w:rsid w:val="006D4617"/>
    <w:rsid w:val="006D4645"/>
    <w:rsid w:val="006D464D"/>
    <w:rsid w:val="006D490D"/>
    <w:rsid w:val="006D4A4D"/>
    <w:rsid w:val="006D4B15"/>
    <w:rsid w:val="006D4DE8"/>
    <w:rsid w:val="006D4EB1"/>
    <w:rsid w:val="006D4EC2"/>
    <w:rsid w:val="006D4F2E"/>
    <w:rsid w:val="006D50D0"/>
    <w:rsid w:val="006D52B7"/>
    <w:rsid w:val="006D5BDD"/>
    <w:rsid w:val="006D6425"/>
    <w:rsid w:val="006D6492"/>
    <w:rsid w:val="006D64AF"/>
    <w:rsid w:val="006D67A5"/>
    <w:rsid w:val="006D685E"/>
    <w:rsid w:val="006D68A5"/>
    <w:rsid w:val="006D68B7"/>
    <w:rsid w:val="006D6911"/>
    <w:rsid w:val="006D6A41"/>
    <w:rsid w:val="006D6BE6"/>
    <w:rsid w:val="006D6C0F"/>
    <w:rsid w:val="006D6DBB"/>
    <w:rsid w:val="006D6DCC"/>
    <w:rsid w:val="006D6DEE"/>
    <w:rsid w:val="006D6DFE"/>
    <w:rsid w:val="006D6EE6"/>
    <w:rsid w:val="006D6F54"/>
    <w:rsid w:val="006D6FEF"/>
    <w:rsid w:val="006D7334"/>
    <w:rsid w:val="006D736E"/>
    <w:rsid w:val="006D73C2"/>
    <w:rsid w:val="006D7657"/>
    <w:rsid w:val="006D7685"/>
    <w:rsid w:val="006D7753"/>
    <w:rsid w:val="006D78A5"/>
    <w:rsid w:val="006D7A8C"/>
    <w:rsid w:val="006D7AE9"/>
    <w:rsid w:val="006D7F32"/>
    <w:rsid w:val="006E00C5"/>
    <w:rsid w:val="006E00DA"/>
    <w:rsid w:val="006E0328"/>
    <w:rsid w:val="006E0350"/>
    <w:rsid w:val="006E0461"/>
    <w:rsid w:val="006E05BC"/>
    <w:rsid w:val="006E07A0"/>
    <w:rsid w:val="006E07EA"/>
    <w:rsid w:val="006E085D"/>
    <w:rsid w:val="006E0BEE"/>
    <w:rsid w:val="006E0E9C"/>
    <w:rsid w:val="006E103A"/>
    <w:rsid w:val="006E1057"/>
    <w:rsid w:val="006E1243"/>
    <w:rsid w:val="006E1465"/>
    <w:rsid w:val="006E1742"/>
    <w:rsid w:val="006E1774"/>
    <w:rsid w:val="006E18D9"/>
    <w:rsid w:val="006E18DF"/>
    <w:rsid w:val="006E1A38"/>
    <w:rsid w:val="006E1AED"/>
    <w:rsid w:val="006E1BA0"/>
    <w:rsid w:val="006E1C7C"/>
    <w:rsid w:val="006E1D21"/>
    <w:rsid w:val="006E1D7C"/>
    <w:rsid w:val="006E1D9E"/>
    <w:rsid w:val="006E1E54"/>
    <w:rsid w:val="006E1EE2"/>
    <w:rsid w:val="006E216D"/>
    <w:rsid w:val="006E217A"/>
    <w:rsid w:val="006E223E"/>
    <w:rsid w:val="006E2259"/>
    <w:rsid w:val="006E22B3"/>
    <w:rsid w:val="006E22B8"/>
    <w:rsid w:val="006E23C7"/>
    <w:rsid w:val="006E240A"/>
    <w:rsid w:val="006E257B"/>
    <w:rsid w:val="006E25AE"/>
    <w:rsid w:val="006E2658"/>
    <w:rsid w:val="006E26A1"/>
    <w:rsid w:val="006E2813"/>
    <w:rsid w:val="006E28C7"/>
    <w:rsid w:val="006E29BB"/>
    <w:rsid w:val="006E2AB1"/>
    <w:rsid w:val="006E2AEA"/>
    <w:rsid w:val="006E2BAE"/>
    <w:rsid w:val="006E2D0F"/>
    <w:rsid w:val="006E300A"/>
    <w:rsid w:val="006E300F"/>
    <w:rsid w:val="006E30EF"/>
    <w:rsid w:val="006E326B"/>
    <w:rsid w:val="006E33AD"/>
    <w:rsid w:val="006E34E4"/>
    <w:rsid w:val="006E3631"/>
    <w:rsid w:val="006E393C"/>
    <w:rsid w:val="006E3A4E"/>
    <w:rsid w:val="006E3AD0"/>
    <w:rsid w:val="006E3B5C"/>
    <w:rsid w:val="006E3B99"/>
    <w:rsid w:val="006E3B9F"/>
    <w:rsid w:val="006E3D37"/>
    <w:rsid w:val="006E3DCA"/>
    <w:rsid w:val="006E408E"/>
    <w:rsid w:val="006E4310"/>
    <w:rsid w:val="006E44AE"/>
    <w:rsid w:val="006E4534"/>
    <w:rsid w:val="006E45F1"/>
    <w:rsid w:val="006E4629"/>
    <w:rsid w:val="006E4655"/>
    <w:rsid w:val="006E4674"/>
    <w:rsid w:val="006E4752"/>
    <w:rsid w:val="006E47A7"/>
    <w:rsid w:val="006E4853"/>
    <w:rsid w:val="006E4965"/>
    <w:rsid w:val="006E4A48"/>
    <w:rsid w:val="006E4BBA"/>
    <w:rsid w:val="006E4CE6"/>
    <w:rsid w:val="006E4F33"/>
    <w:rsid w:val="006E5095"/>
    <w:rsid w:val="006E5393"/>
    <w:rsid w:val="006E546E"/>
    <w:rsid w:val="006E5606"/>
    <w:rsid w:val="006E569E"/>
    <w:rsid w:val="006E57B6"/>
    <w:rsid w:val="006E5803"/>
    <w:rsid w:val="006E580F"/>
    <w:rsid w:val="006E58B7"/>
    <w:rsid w:val="006E58D2"/>
    <w:rsid w:val="006E5919"/>
    <w:rsid w:val="006E5949"/>
    <w:rsid w:val="006E5E21"/>
    <w:rsid w:val="006E5E8E"/>
    <w:rsid w:val="006E6066"/>
    <w:rsid w:val="006E626F"/>
    <w:rsid w:val="006E6404"/>
    <w:rsid w:val="006E650B"/>
    <w:rsid w:val="006E65D4"/>
    <w:rsid w:val="006E677A"/>
    <w:rsid w:val="006E68A5"/>
    <w:rsid w:val="006E6B30"/>
    <w:rsid w:val="006E6B58"/>
    <w:rsid w:val="006E6E38"/>
    <w:rsid w:val="006E6F96"/>
    <w:rsid w:val="006E6FEA"/>
    <w:rsid w:val="006E7018"/>
    <w:rsid w:val="006E731E"/>
    <w:rsid w:val="006E73A8"/>
    <w:rsid w:val="006E76D2"/>
    <w:rsid w:val="006E790F"/>
    <w:rsid w:val="006E7B71"/>
    <w:rsid w:val="006E7C91"/>
    <w:rsid w:val="006E7CDB"/>
    <w:rsid w:val="006E7D0A"/>
    <w:rsid w:val="006E7D93"/>
    <w:rsid w:val="006E7DCA"/>
    <w:rsid w:val="006E7E47"/>
    <w:rsid w:val="006E7E81"/>
    <w:rsid w:val="006E7E94"/>
    <w:rsid w:val="006E7EB1"/>
    <w:rsid w:val="006E7F46"/>
    <w:rsid w:val="006E7FAD"/>
    <w:rsid w:val="006F040C"/>
    <w:rsid w:val="006F04C4"/>
    <w:rsid w:val="006F04E2"/>
    <w:rsid w:val="006F07A5"/>
    <w:rsid w:val="006F07B5"/>
    <w:rsid w:val="006F07C0"/>
    <w:rsid w:val="006F08A5"/>
    <w:rsid w:val="006F0C6D"/>
    <w:rsid w:val="006F0D40"/>
    <w:rsid w:val="006F0DBA"/>
    <w:rsid w:val="006F0E0E"/>
    <w:rsid w:val="006F0F39"/>
    <w:rsid w:val="006F1047"/>
    <w:rsid w:val="006F115B"/>
    <w:rsid w:val="006F1192"/>
    <w:rsid w:val="006F120B"/>
    <w:rsid w:val="006F1233"/>
    <w:rsid w:val="006F1313"/>
    <w:rsid w:val="006F131E"/>
    <w:rsid w:val="006F145F"/>
    <w:rsid w:val="006F14B6"/>
    <w:rsid w:val="006F1536"/>
    <w:rsid w:val="006F15CB"/>
    <w:rsid w:val="006F15DC"/>
    <w:rsid w:val="006F1601"/>
    <w:rsid w:val="006F17CD"/>
    <w:rsid w:val="006F1B0D"/>
    <w:rsid w:val="006F1B2C"/>
    <w:rsid w:val="006F1BC0"/>
    <w:rsid w:val="006F1C22"/>
    <w:rsid w:val="006F1F52"/>
    <w:rsid w:val="006F207E"/>
    <w:rsid w:val="006F21B2"/>
    <w:rsid w:val="006F2574"/>
    <w:rsid w:val="006F25E2"/>
    <w:rsid w:val="006F27D8"/>
    <w:rsid w:val="006F27E7"/>
    <w:rsid w:val="006F27EC"/>
    <w:rsid w:val="006F27F8"/>
    <w:rsid w:val="006F282D"/>
    <w:rsid w:val="006F28B8"/>
    <w:rsid w:val="006F28CB"/>
    <w:rsid w:val="006F29EB"/>
    <w:rsid w:val="006F2C45"/>
    <w:rsid w:val="006F2C73"/>
    <w:rsid w:val="006F2DBD"/>
    <w:rsid w:val="006F2F13"/>
    <w:rsid w:val="006F2F86"/>
    <w:rsid w:val="006F2FD7"/>
    <w:rsid w:val="006F3183"/>
    <w:rsid w:val="006F32AD"/>
    <w:rsid w:val="006F33A5"/>
    <w:rsid w:val="006F3435"/>
    <w:rsid w:val="006F34FD"/>
    <w:rsid w:val="006F352E"/>
    <w:rsid w:val="006F3533"/>
    <w:rsid w:val="006F357E"/>
    <w:rsid w:val="006F35B9"/>
    <w:rsid w:val="006F35FE"/>
    <w:rsid w:val="006F368F"/>
    <w:rsid w:val="006F39A1"/>
    <w:rsid w:val="006F3A24"/>
    <w:rsid w:val="006F3A61"/>
    <w:rsid w:val="006F3C10"/>
    <w:rsid w:val="006F3D76"/>
    <w:rsid w:val="006F3E19"/>
    <w:rsid w:val="006F3F72"/>
    <w:rsid w:val="006F4024"/>
    <w:rsid w:val="006F4109"/>
    <w:rsid w:val="006F41A1"/>
    <w:rsid w:val="006F41CC"/>
    <w:rsid w:val="006F4349"/>
    <w:rsid w:val="006F43A7"/>
    <w:rsid w:val="006F4537"/>
    <w:rsid w:val="006F45BB"/>
    <w:rsid w:val="006F482E"/>
    <w:rsid w:val="006F48AF"/>
    <w:rsid w:val="006F496A"/>
    <w:rsid w:val="006F4D43"/>
    <w:rsid w:val="006F4E3A"/>
    <w:rsid w:val="006F4F01"/>
    <w:rsid w:val="006F4F7C"/>
    <w:rsid w:val="006F5059"/>
    <w:rsid w:val="006F5198"/>
    <w:rsid w:val="006F51C2"/>
    <w:rsid w:val="006F529D"/>
    <w:rsid w:val="006F5432"/>
    <w:rsid w:val="006F54AA"/>
    <w:rsid w:val="006F54AE"/>
    <w:rsid w:val="006F5503"/>
    <w:rsid w:val="006F557E"/>
    <w:rsid w:val="006F5581"/>
    <w:rsid w:val="006F55FE"/>
    <w:rsid w:val="006F580A"/>
    <w:rsid w:val="006F5C8E"/>
    <w:rsid w:val="006F5D62"/>
    <w:rsid w:val="006F5DFB"/>
    <w:rsid w:val="006F5FEE"/>
    <w:rsid w:val="006F6106"/>
    <w:rsid w:val="006F61A8"/>
    <w:rsid w:val="006F6474"/>
    <w:rsid w:val="006F64A5"/>
    <w:rsid w:val="006F64D7"/>
    <w:rsid w:val="006F65D2"/>
    <w:rsid w:val="006F6603"/>
    <w:rsid w:val="006F6708"/>
    <w:rsid w:val="006F6875"/>
    <w:rsid w:val="006F68CF"/>
    <w:rsid w:val="006F6920"/>
    <w:rsid w:val="006F6A27"/>
    <w:rsid w:val="006F6A64"/>
    <w:rsid w:val="006F6A95"/>
    <w:rsid w:val="006F6BC9"/>
    <w:rsid w:val="006F6C03"/>
    <w:rsid w:val="006F6D0A"/>
    <w:rsid w:val="006F6D8B"/>
    <w:rsid w:val="006F6FF9"/>
    <w:rsid w:val="006F722B"/>
    <w:rsid w:val="006F7276"/>
    <w:rsid w:val="006F72D4"/>
    <w:rsid w:val="006F75CF"/>
    <w:rsid w:val="006F75F8"/>
    <w:rsid w:val="006F77A3"/>
    <w:rsid w:val="006F77E3"/>
    <w:rsid w:val="006F7881"/>
    <w:rsid w:val="006F7CB9"/>
    <w:rsid w:val="006F7D24"/>
    <w:rsid w:val="006F7D91"/>
    <w:rsid w:val="006F7DD1"/>
    <w:rsid w:val="006F7E02"/>
    <w:rsid w:val="006F7F15"/>
    <w:rsid w:val="006F7F53"/>
    <w:rsid w:val="00700231"/>
    <w:rsid w:val="0070030F"/>
    <w:rsid w:val="00700364"/>
    <w:rsid w:val="00700470"/>
    <w:rsid w:val="007005CA"/>
    <w:rsid w:val="007007B7"/>
    <w:rsid w:val="007007F7"/>
    <w:rsid w:val="00700890"/>
    <w:rsid w:val="00700938"/>
    <w:rsid w:val="007009E1"/>
    <w:rsid w:val="00700B5F"/>
    <w:rsid w:val="00700C76"/>
    <w:rsid w:val="00700DD8"/>
    <w:rsid w:val="00700E88"/>
    <w:rsid w:val="00700F77"/>
    <w:rsid w:val="00700FE8"/>
    <w:rsid w:val="007010E8"/>
    <w:rsid w:val="0070117F"/>
    <w:rsid w:val="00701234"/>
    <w:rsid w:val="00701239"/>
    <w:rsid w:val="00701544"/>
    <w:rsid w:val="0070170F"/>
    <w:rsid w:val="00701763"/>
    <w:rsid w:val="0070176B"/>
    <w:rsid w:val="00701835"/>
    <w:rsid w:val="00701B7B"/>
    <w:rsid w:val="00701DE7"/>
    <w:rsid w:val="00701E59"/>
    <w:rsid w:val="00702133"/>
    <w:rsid w:val="00702274"/>
    <w:rsid w:val="00702304"/>
    <w:rsid w:val="007023B5"/>
    <w:rsid w:val="007024B3"/>
    <w:rsid w:val="007025A0"/>
    <w:rsid w:val="00702769"/>
    <w:rsid w:val="00702782"/>
    <w:rsid w:val="0070280C"/>
    <w:rsid w:val="007028FC"/>
    <w:rsid w:val="00702926"/>
    <w:rsid w:val="0070299D"/>
    <w:rsid w:val="007029B9"/>
    <w:rsid w:val="00702C3D"/>
    <w:rsid w:val="00702E38"/>
    <w:rsid w:val="00703064"/>
    <w:rsid w:val="007030E9"/>
    <w:rsid w:val="007034F6"/>
    <w:rsid w:val="007035EA"/>
    <w:rsid w:val="007035FA"/>
    <w:rsid w:val="0070363F"/>
    <w:rsid w:val="007036C3"/>
    <w:rsid w:val="00703A1C"/>
    <w:rsid w:val="00703A38"/>
    <w:rsid w:val="00703D36"/>
    <w:rsid w:val="00703E7F"/>
    <w:rsid w:val="00704052"/>
    <w:rsid w:val="00704356"/>
    <w:rsid w:val="007043A1"/>
    <w:rsid w:val="0070440B"/>
    <w:rsid w:val="00704628"/>
    <w:rsid w:val="00704647"/>
    <w:rsid w:val="00704B98"/>
    <w:rsid w:val="00704C22"/>
    <w:rsid w:val="00704C6A"/>
    <w:rsid w:val="00704CBF"/>
    <w:rsid w:val="00704CD7"/>
    <w:rsid w:val="007050A4"/>
    <w:rsid w:val="007050B0"/>
    <w:rsid w:val="007053F1"/>
    <w:rsid w:val="00705402"/>
    <w:rsid w:val="00705614"/>
    <w:rsid w:val="00705A67"/>
    <w:rsid w:val="00705A6B"/>
    <w:rsid w:val="00705B7C"/>
    <w:rsid w:val="00705BE0"/>
    <w:rsid w:val="00706042"/>
    <w:rsid w:val="0070604E"/>
    <w:rsid w:val="0070605A"/>
    <w:rsid w:val="0070613C"/>
    <w:rsid w:val="007062F8"/>
    <w:rsid w:val="00706460"/>
    <w:rsid w:val="00706484"/>
    <w:rsid w:val="007064E6"/>
    <w:rsid w:val="007064EA"/>
    <w:rsid w:val="00706637"/>
    <w:rsid w:val="00706865"/>
    <w:rsid w:val="0070688D"/>
    <w:rsid w:val="00706944"/>
    <w:rsid w:val="00706985"/>
    <w:rsid w:val="00706ACF"/>
    <w:rsid w:val="00706AFB"/>
    <w:rsid w:val="00706D1F"/>
    <w:rsid w:val="00706FFB"/>
    <w:rsid w:val="007070EC"/>
    <w:rsid w:val="007071FD"/>
    <w:rsid w:val="0070724C"/>
    <w:rsid w:val="00707280"/>
    <w:rsid w:val="0070729E"/>
    <w:rsid w:val="007073A0"/>
    <w:rsid w:val="00707750"/>
    <w:rsid w:val="0070775F"/>
    <w:rsid w:val="007079B2"/>
    <w:rsid w:val="00707C3D"/>
    <w:rsid w:val="00707CB7"/>
    <w:rsid w:val="00707E42"/>
    <w:rsid w:val="00707EF7"/>
    <w:rsid w:val="00707F79"/>
    <w:rsid w:val="00710008"/>
    <w:rsid w:val="00710084"/>
    <w:rsid w:val="007101EA"/>
    <w:rsid w:val="007104ED"/>
    <w:rsid w:val="00710574"/>
    <w:rsid w:val="0071061B"/>
    <w:rsid w:val="00710672"/>
    <w:rsid w:val="00710678"/>
    <w:rsid w:val="007106C3"/>
    <w:rsid w:val="00710727"/>
    <w:rsid w:val="00710768"/>
    <w:rsid w:val="00710792"/>
    <w:rsid w:val="007108BA"/>
    <w:rsid w:val="00710A06"/>
    <w:rsid w:val="00710A59"/>
    <w:rsid w:val="00710A64"/>
    <w:rsid w:val="00710ABF"/>
    <w:rsid w:val="00710B1C"/>
    <w:rsid w:val="00710B2A"/>
    <w:rsid w:val="00710B5F"/>
    <w:rsid w:val="00710D13"/>
    <w:rsid w:val="0071114C"/>
    <w:rsid w:val="00711383"/>
    <w:rsid w:val="007113A0"/>
    <w:rsid w:val="00711431"/>
    <w:rsid w:val="00711519"/>
    <w:rsid w:val="0071152B"/>
    <w:rsid w:val="007115F6"/>
    <w:rsid w:val="0071165F"/>
    <w:rsid w:val="0071173B"/>
    <w:rsid w:val="007118BC"/>
    <w:rsid w:val="007118E6"/>
    <w:rsid w:val="007118FA"/>
    <w:rsid w:val="00711997"/>
    <w:rsid w:val="00711BCB"/>
    <w:rsid w:val="00711BE3"/>
    <w:rsid w:val="00711C4E"/>
    <w:rsid w:val="00711CF9"/>
    <w:rsid w:val="00711DA1"/>
    <w:rsid w:val="00711E4E"/>
    <w:rsid w:val="00711F60"/>
    <w:rsid w:val="007120AA"/>
    <w:rsid w:val="007120C0"/>
    <w:rsid w:val="00712118"/>
    <w:rsid w:val="0071219D"/>
    <w:rsid w:val="00712371"/>
    <w:rsid w:val="00712387"/>
    <w:rsid w:val="007123CA"/>
    <w:rsid w:val="007125D4"/>
    <w:rsid w:val="007126C7"/>
    <w:rsid w:val="007127F4"/>
    <w:rsid w:val="007128C9"/>
    <w:rsid w:val="00712A0D"/>
    <w:rsid w:val="00712CBA"/>
    <w:rsid w:val="00712D5B"/>
    <w:rsid w:val="00712D72"/>
    <w:rsid w:val="00712E22"/>
    <w:rsid w:val="00712ECF"/>
    <w:rsid w:val="00712F05"/>
    <w:rsid w:val="007130B9"/>
    <w:rsid w:val="0071314D"/>
    <w:rsid w:val="0071314F"/>
    <w:rsid w:val="0071327E"/>
    <w:rsid w:val="00713351"/>
    <w:rsid w:val="007133F3"/>
    <w:rsid w:val="007134E6"/>
    <w:rsid w:val="00713670"/>
    <w:rsid w:val="0071368F"/>
    <w:rsid w:val="007137CD"/>
    <w:rsid w:val="007137F0"/>
    <w:rsid w:val="007137FF"/>
    <w:rsid w:val="0071388C"/>
    <w:rsid w:val="00713935"/>
    <w:rsid w:val="007139B2"/>
    <w:rsid w:val="00713DF0"/>
    <w:rsid w:val="00713E7F"/>
    <w:rsid w:val="00713ED6"/>
    <w:rsid w:val="0071406B"/>
    <w:rsid w:val="00714369"/>
    <w:rsid w:val="007143B5"/>
    <w:rsid w:val="00714449"/>
    <w:rsid w:val="0071446F"/>
    <w:rsid w:val="00714573"/>
    <w:rsid w:val="007145EA"/>
    <w:rsid w:val="00714986"/>
    <w:rsid w:val="00714AD6"/>
    <w:rsid w:val="00714B80"/>
    <w:rsid w:val="00714C32"/>
    <w:rsid w:val="00714C43"/>
    <w:rsid w:val="00714D92"/>
    <w:rsid w:val="00714EC6"/>
    <w:rsid w:val="00714F41"/>
    <w:rsid w:val="00714FA6"/>
    <w:rsid w:val="00714FDD"/>
    <w:rsid w:val="00715019"/>
    <w:rsid w:val="007151F2"/>
    <w:rsid w:val="0071558B"/>
    <w:rsid w:val="0071568B"/>
    <w:rsid w:val="007156B3"/>
    <w:rsid w:val="007157F2"/>
    <w:rsid w:val="0071582C"/>
    <w:rsid w:val="007159F9"/>
    <w:rsid w:val="00715B0C"/>
    <w:rsid w:val="00715B57"/>
    <w:rsid w:val="00715B65"/>
    <w:rsid w:val="00715CDC"/>
    <w:rsid w:val="00715E6D"/>
    <w:rsid w:val="007161D2"/>
    <w:rsid w:val="007161F0"/>
    <w:rsid w:val="007163F8"/>
    <w:rsid w:val="0071641B"/>
    <w:rsid w:val="007165BC"/>
    <w:rsid w:val="007166B6"/>
    <w:rsid w:val="00716AE1"/>
    <w:rsid w:val="00716C82"/>
    <w:rsid w:val="00716C8A"/>
    <w:rsid w:val="00716F0E"/>
    <w:rsid w:val="00716F71"/>
    <w:rsid w:val="00716FD2"/>
    <w:rsid w:val="007173DD"/>
    <w:rsid w:val="007173EB"/>
    <w:rsid w:val="007173F4"/>
    <w:rsid w:val="0071743F"/>
    <w:rsid w:val="007174BC"/>
    <w:rsid w:val="00717519"/>
    <w:rsid w:val="00717653"/>
    <w:rsid w:val="00717662"/>
    <w:rsid w:val="007176CA"/>
    <w:rsid w:val="007178AD"/>
    <w:rsid w:val="00717956"/>
    <w:rsid w:val="007179AD"/>
    <w:rsid w:val="00717B4B"/>
    <w:rsid w:val="00717DAC"/>
    <w:rsid w:val="00717FFB"/>
    <w:rsid w:val="007200C7"/>
    <w:rsid w:val="007200D9"/>
    <w:rsid w:val="00720232"/>
    <w:rsid w:val="00720651"/>
    <w:rsid w:val="0072068C"/>
    <w:rsid w:val="00720792"/>
    <w:rsid w:val="0072089A"/>
    <w:rsid w:val="00720AB8"/>
    <w:rsid w:val="00720B35"/>
    <w:rsid w:val="00720E4C"/>
    <w:rsid w:val="00720F3F"/>
    <w:rsid w:val="00720FEF"/>
    <w:rsid w:val="0072116D"/>
    <w:rsid w:val="007211AE"/>
    <w:rsid w:val="00721358"/>
    <w:rsid w:val="007213F4"/>
    <w:rsid w:val="007214C0"/>
    <w:rsid w:val="007214FE"/>
    <w:rsid w:val="00721514"/>
    <w:rsid w:val="007215EE"/>
    <w:rsid w:val="0072166F"/>
    <w:rsid w:val="0072175D"/>
    <w:rsid w:val="00721892"/>
    <w:rsid w:val="00721A3E"/>
    <w:rsid w:val="00721A43"/>
    <w:rsid w:val="00721D32"/>
    <w:rsid w:val="00721F39"/>
    <w:rsid w:val="0072207A"/>
    <w:rsid w:val="0072209C"/>
    <w:rsid w:val="00722275"/>
    <w:rsid w:val="00722293"/>
    <w:rsid w:val="007223CD"/>
    <w:rsid w:val="007224A7"/>
    <w:rsid w:val="00722560"/>
    <w:rsid w:val="00722625"/>
    <w:rsid w:val="007226C6"/>
    <w:rsid w:val="0072273D"/>
    <w:rsid w:val="007229CE"/>
    <w:rsid w:val="00722C70"/>
    <w:rsid w:val="00722CDD"/>
    <w:rsid w:val="00722EB9"/>
    <w:rsid w:val="00722F19"/>
    <w:rsid w:val="00722F2B"/>
    <w:rsid w:val="00723214"/>
    <w:rsid w:val="0072326F"/>
    <w:rsid w:val="0072329D"/>
    <w:rsid w:val="00723332"/>
    <w:rsid w:val="0072339D"/>
    <w:rsid w:val="0072347A"/>
    <w:rsid w:val="00723493"/>
    <w:rsid w:val="00723529"/>
    <w:rsid w:val="0072366F"/>
    <w:rsid w:val="007236B2"/>
    <w:rsid w:val="00723839"/>
    <w:rsid w:val="007238AB"/>
    <w:rsid w:val="00723951"/>
    <w:rsid w:val="00723A1D"/>
    <w:rsid w:val="00723B9A"/>
    <w:rsid w:val="00723F36"/>
    <w:rsid w:val="00724059"/>
    <w:rsid w:val="00724061"/>
    <w:rsid w:val="0072419F"/>
    <w:rsid w:val="0072434A"/>
    <w:rsid w:val="0072449F"/>
    <w:rsid w:val="00724645"/>
    <w:rsid w:val="007248E5"/>
    <w:rsid w:val="00724909"/>
    <w:rsid w:val="00724976"/>
    <w:rsid w:val="00724C35"/>
    <w:rsid w:val="00724CD8"/>
    <w:rsid w:val="00724E65"/>
    <w:rsid w:val="00724F7B"/>
    <w:rsid w:val="0072505E"/>
    <w:rsid w:val="0072512C"/>
    <w:rsid w:val="00725617"/>
    <w:rsid w:val="00725676"/>
    <w:rsid w:val="00725722"/>
    <w:rsid w:val="00725744"/>
    <w:rsid w:val="00725884"/>
    <w:rsid w:val="00725A92"/>
    <w:rsid w:val="00725D3A"/>
    <w:rsid w:val="00725D7C"/>
    <w:rsid w:val="00725D8A"/>
    <w:rsid w:val="00725ED4"/>
    <w:rsid w:val="0072608A"/>
    <w:rsid w:val="00726364"/>
    <w:rsid w:val="0072651C"/>
    <w:rsid w:val="007266F1"/>
    <w:rsid w:val="00726741"/>
    <w:rsid w:val="007267BC"/>
    <w:rsid w:val="00726C11"/>
    <w:rsid w:val="00726E3A"/>
    <w:rsid w:val="00726E9F"/>
    <w:rsid w:val="00726ED2"/>
    <w:rsid w:val="00726F18"/>
    <w:rsid w:val="007270C9"/>
    <w:rsid w:val="007272F8"/>
    <w:rsid w:val="00727469"/>
    <w:rsid w:val="0072748C"/>
    <w:rsid w:val="0072784B"/>
    <w:rsid w:val="0072790C"/>
    <w:rsid w:val="00727915"/>
    <w:rsid w:val="00727972"/>
    <w:rsid w:val="00727ADD"/>
    <w:rsid w:val="00727B1E"/>
    <w:rsid w:val="00727BF2"/>
    <w:rsid w:val="00727D95"/>
    <w:rsid w:val="00727F51"/>
    <w:rsid w:val="00727FE5"/>
    <w:rsid w:val="00730192"/>
    <w:rsid w:val="007301B0"/>
    <w:rsid w:val="0073033A"/>
    <w:rsid w:val="0073060D"/>
    <w:rsid w:val="00730857"/>
    <w:rsid w:val="00730906"/>
    <w:rsid w:val="007309D3"/>
    <w:rsid w:val="00730AB5"/>
    <w:rsid w:val="00730B2C"/>
    <w:rsid w:val="00730FB5"/>
    <w:rsid w:val="0073109D"/>
    <w:rsid w:val="00731171"/>
    <w:rsid w:val="007311DC"/>
    <w:rsid w:val="007313F7"/>
    <w:rsid w:val="00731438"/>
    <w:rsid w:val="007316AD"/>
    <w:rsid w:val="007318F4"/>
    <w:rsid w:val="00731903"/>
    <w:rsid w:val="00731BBD"/>
    <w:rsid w:val="00731CCC"/>
    <w:rsid w:val="00732074"/>
    <w:rsid w:val="007320A4"/>
    <w:rsid w:val="007320CB"/>
    <w:rsid w:val="00732202"/>
    <w:rsid w:val="00732249"/>
    <w:rsid w:val="007323EA"/>
    <w:rsid w:val="007323F3"/>
    <w:rsid w:val="00732566"/>
    <w:rsid w:val="0073261B"/>
    <w:rsid w:val="007326B3"/>
    <w:rsid w:val="00732A60"/>
    <w:rsid w:val="00732C12"/>
    <w:rsid w:val="00732D9A"/>
    <w:rsid w:val="00732EEF"/>
    <w:rsid w:val="00732FD8"/>
    <w:rsid w:val="00733121"/>
    <w:rsid w:val="007331CA"/>
    <w:rsid w:val="007331EF"/>
    <w:rsid w:val="007332F4"/>
    <w:rsid w:val="0073331C"/>
    <w:rsid w:val="0073350B"/>
    <w:rsid w:val="007337AB"/>
    <w:rsid w:val="00733830"/>
    <w:rsid w:val="00733B11"/>
    <w:rsid w:val="00733C98"/>
    <w:rsid w:val="00733CD0"/>
    <w:rsid w:val="00733DC6"/>
    <w:rsid w:val="00733DFB"/>
    <w:rsid w:val="00733F6C"/>
    <w:rsid w:val="007340C1"/>
    <w:rsid w:val="00734123"/>
    <w:rsid w:val="007341CB"/>
    <w:rsid w:val="007342FF"/>
    <w:rsid w:val="00734332"/>
    <w:rsid w:val="007343A1"/>
    <w:rsid w:val="0073440A"/>
    <w:rsid w:val="00734A0A"/>
    <w:rsid w:val="00734AFE"/>
    <w:rsid w:val="00734D55"/>
    <w:rsid w:val="00734DE1"/>
    <w:rsid w:val="00734F70"/>
    <w:rsid w:val="00735333"/>
    <w:rsid w:val="00735341"/>
    <w:rsid w:val="0073548E"/>
    <w:rsid w:val="0073573A"/>
    <w:rsid w:val="00735858"/>
    <w:rsid w:val="00735ACF"/>
    <w:rsid w:val="00735E07"/>
    <w:rsid w:val="00735E74"/>
    <w:rsid w:val="00735F2E"/>
    <w:rsid w:val="00735F9F"/>
    <w:rsid w:val="00736013"/>
    <w:rsid w:val="0073606F"/>
    <w:rsid w:val="007360ED"/>
    <w:rsid w:val="0073610D"/>
    <w:rsid w:val="0073637D"/>
    <w:rsid w:val="007363E4"/>
    <w:rsid w:val="0073656A"/>
    <w:rsid w:val="007366B5"/>
    <w:rsid w:val="007367A2"/>
    <w:rsid w:val="00736857"/>
    <w:rsid w:val="00736A05"/>
    <w:rsid w:val="00736EE7"/>
    <w:rsid w:val="0073718C"/>
    <w:rsid w:val="0073775C"/>
    <w:rsid w:val="007377F9"/>
    <w:rsid w:val="00737BC2"/>
    <w:rsid w:val="00737C66"/>
    <w:rsid w:val="00737D75"/>
    <w:rsid w:val="00737DA8"/>
    <w:rsid w:val="00740141"/>
    <w:rsid w:val="00740147"/>
    <w:rsid w:val="0074018F"/>
    <w:rsid w:val="00740195"/>
    <w:rsid w:val="007403FA"/>
    <w:rsid w:val="00740490"/>
    <w:rsid w:val="007404F9"/>
    <w:rsid w:val="00740695"/>
    <w:rsid w:val="007406F1"/>
    <w:rsid w:val="007408DF"/>
    <w:rsid w:val="007409CC"/>
    <w:rsid w:val="007409EB"/>
    <w:rsid w:val="00740AAE"/>
    <w:rsid w:val="00740BFF"/>
    <w:rsid w:val="00740D15"/>
    <w:rsid w:val="00740E7D"/>
    <w:rsid w:val="00740EE9"/>
    <w:rsid w:val="00740F01"/>
    <w:rsid w:val="00740FE2"/>
    <w:rsid w:val="0074113C"/>
    <w:rsid w:val="007414DA"/>
    <w:rsid w:val="0074152C"/>
    <w:rsid w:val="0074154B"/>
    <w:rsid w:val="00741616"/>
    <w:rsid w:val="007417C5"/>
    <w:rsid w:val="00741836"/>
    <w:rsid w:val="007418A4"/>
    <w:rsid w:val="007419BB"/>
    <w:rsid w:val="00741BA2"/>
    <w:rsid w:val="00741EE8"/>
    <w:rsid w:val="00741F1D"/>
    <w:rsid w:val="00742055"/>
    <w:rsid w:val="0074215E"/>
    <w:rsid w:val="007422AD"/>
    <w:rsid w:val="00742325"/>
    <w:rsid w:val="007423CC"/>
    <w:rsid w:val="007424EE"/>
    <w:rsid w:val="00742641"/>
    <w:rsid w:val="00742682"/>
    <w:rsid w:val="007427EA"/>
    <w:rsid w:val="00742B64"/>
    <w:rsid w:val="00742B93"/>
    <w:rsid w:val="00742E66"/>
    <w:rsid w:val="00742E6F"/>
    <w:rsid w:val="00743067"/>
    <w:rsid w:val="007430F2"/>
    <w:rsid w:val="00743170"/>
    <w:rsid w:val="00743173"/>
    <w:rsid w:val="0074320E"/>
    <w:rsid w:val="0074331B"/>
    <w:rsid w:val="00743407"/>
    <w:rsid w:val="00743463"/>
    <w:rsid w:val="0074351A"/>
    <w:rsid w:val="00743566"/>
    <w:rsid w:val="007436EF"/>
    <w:rsid w:val="00743717"/>
    <w:rsid w:val="00743752"/>
    <w:rsid w:val="00743781"/>
    <w:rsid w:val="007439EF"/>
    <w:rsid w:val="00743AA5"/>
    <w:rsid w:val="00743C02"/>
    <w:rsid w:val="00743CFC"/>
    <w:rsid w:val="00743D5D"/>
    <w:rsid w:val="00744170"/>
    <w:rsid w:val="0074421A"/>
    <w:rsid w:val="00744244"/>
    <w:rsid w:val="007442B2"/>
    <w:rsid w:val="007446DA"/>
    <w:rsid w:val="00744720"/>
    <w:rsid w:val="0074486D"/>
    <w:rsid w:val="007448B1"/>
    <w:rsid w:val="0074497F"/>
    <w:rsid w:val="00744985"/>
    <w:rsid w:val="00744ABE"/>
    <w:rsid w:val="00744AF1"/>
    <w:rsid w:val="00744C78"/>
    <w:rsid w:val="00744E20"/>
    <w:rsid w:val="00744E56"/>
    <w:rsid w:val="0074527D"/>
    <w:rsid w:val="007456D9"/>
    <w:rsid w:val="00745879"/>
    <w:rsid w:val="00745A83"/>
    <w:rsid w:val="00745A9C"/>
    <w:rsid w:val="00745ADA"/>
    <w:rsid w:val="00745CE8"/>
    <w:rsid w:val="00745D92"/>
    <w:rsid w:val="00746186"/>
    <w:rsid w:val="007462C9"/>
    <w:rsid w:val="007462CD"/>
    <w:rsid w:val="00746491"/>
    <w:rsid w:val="00746620"/>
    <w:rsid w:val="0074663F"/>
    <w:rsid w:val="0074664A"/>
    <w:rsid w:val="007466F9"/>
    <w:rsid w:val="00746745"/>
    <w:rsid w:val="00746833"/>
    <w:rsid w:val="007469BA"/>
    <w:rsid w:val="00746BA8"/>
    <w:rsid w:val="00746BF0"/>
    <w:rsid w:val="00746C4C"/>
    <w:rsid w:val="00746E94"/>
    <w:rsid w:val="00746ED6"/>
    <w:rsid w:val="00746F4A"/>
    <w:rsid w:val="0074702F"/>
    <w:rsid w:val="0074723A"/>
    <w:rsid w:val="00747255"/>
    <w:rsid w:val="0074732C"/>
    <w:rsid w:val="00747375"/>
    <w:rsid w:val="00747985"/>
    <w:rsid w:val="00747CB7"/>
    <w:rsid w:val="00747CD0"/>
    <w:rsid w:val="00747E15"/>
    <w:rsid w:val="0075010C"/>
    <w:rsid w:val="0075019D"/>
    <w:rsid w:val="007501F9"/>
    <w:rsid w:val="007503A4"/>
    <w:rsid w:val="007503C4"/>
    <w:rsid w:val="00750610"/>
    <w:rsid w:val="007508DE"/>
    <w:rsid w:val="007509D1"/>
    <w:rsid w:val="00750C7E"/>
    <w:rsid w:val="00750E40"/>
    <w:rsid w:val="00751017"/>
    <w:rsid w:val="007510E7"/>
    <w:rsid w:val="007510ED"/>
    <w:rsid w:val="00751158"/>
    <w:rsid w:val="00751191"/>
    <w:rsid w:val="007511BE"/>
    <w:rsid w:val="00751377"/>
    <w:rsid w:val="00751474"/>
    <w:rsid w:val="00751781"/>
    <w:rsid w:val="007517A6"/>
    <w:rsid w:val="00751879"/>
    <w:rsid w:val="00751998"/>
    <w:rsid w:val="00751BE8"/>
    <w:rsid w:val="00751CC9"/>
    <w:rsid w:val="00751D65"/>
    <w:rsid w:val="00751EAE"/>
    <w:rsid w:val="00751F8E"/>
    <w:rsid w:val="0075210E"/>
    <w:rsid w:val="007521A6"/>
    <w:rsid w:val="007521B0"/>
    <w:rsid w:val="00752260"/>
    <w:rsid w:val="00752371"/>
    <w:rsid w:val="007523ED"/>
    <w:rsid w:val="00752400"/>
    <w:rsid w:val="00752726"/>
    <w:rsid w:val="00752785"/>
    <w:rsid w:val="0075284B"/>
    <w:rsid w:val="00752882"/>
    <w:rsid w:val="0075297C"/>
    <w:rsid w:val="00752995"/>
    <w:rsid w:val="00752C77"/>
    <w:rsid w:val="00752DEC"/>
    <w:rsid w:val="00752E98"/>
    <w:rsid w:val="00752EB5"/>
    <w:rsid w:val="007530CE"/>
    <w:rsid w:val="007531A0"/>
    <w:rsid w:val="0075322C"/>
    <w:rsid w:val="00753262"/>
    <w:rsid w:val="00753360"/>
    <w:rsid w:val="007535A5"/>
    <w:rsid w:val="0075374C"/>
    <w:rsid w:val="0075390F"/>
    <w:rsid w:val="00753985"/>
    <w:rsid w:val="00753AB3"/>
    <w:rsid w:val="00753AF8"/>
    <w:rsid w:val="00753B39"/>
    <w:rsid w:val="00753B93"/>
    <w:rsid w:val="00753BA7"/>
    <w:rsid w:val="00753C7B"/>
    <w:rsid w:val="00753D8C"/>
    <w:rsid w:val="00753DA7"/>
    <w:rsid w:val="00753E6A"/>
    <w:rsid w:val="00753E7A"/>
    <w:rsid w:val="00753EAA"/>
    <w:rsid w:val="00753F5E"/>
    <w:rsid w:val="00753F8D"/>
    <w:rsid w:val="00754015"/>
    <w:rsid w:val="007541A9"/>
    <w:rsid w:val="00754218"/>
    <w:rsid w:val="0075433D"/>
    <w:rsid w:val="007543A8"/>
    <w:rsid w:val="00754838"/>
    <w:rsid w:val="007548D2"/>
    <w:rsid w:val="00754B2A"/>
    <w:rsid w:val="00754B5A"/>
    <w:rsid w:val="00754C49"/>
    <w:rsid w:val="00754C68"/>
    <w:rsid w:val="00754CF2"/>
    <w:rsid w:val="00754E27"/>
    <w:rsid w:val="00754E3B"/>
    <w:rsid w:val="00754FA5"/>
    <w:rsid w:val="00755189"/>
    <w:rsid w:val="007552A1"/>
    <w:rsid w:val="007553DA"/>
    <w:rsid w:val="0075541A"/>
    <w:rsid w:val="007554CF"/>
    <w:rsid w:val="00755510"/>
    <w:rsid w:val="0075555A"/>
    <w:rsid w:val="0075556C"/>
    <w:rsid w:val="00755706"/>
    <w:rsid w:val="00755747"/>
    <w:rsid w:val="0075577C"/>
    <w:rsid w:val="007558C3"/>
    <w:rsid w:val="00755BFA"/>
    <w:rsid w:val="00755CA4"/>
    <w:rsid w:val="00755D7C"/>
    <w:rsid w:val="00755F34"/>
    <w:rsid w:val="00755F65"/>
    <w:rsid w:val="00755F95"/>
    <w:rsid w:val="00756098"/>
    <w:rsid w:val="00756161"/>
    <w:rsid w:val="00756254"/>
    <w:rsid w:val="0075629E"/>
    <w:rsid w:val="007562F3"/>
    <w:rsid w:val="00756734"/>
    <w:rsid w:val="00756743"/>
    <w:rsid w:val="00756876"/>
    <w:rsid w:val="00756951"/>
    <w:rsid w:val="00756C37"/>
    <w:rsid w:val="00756FD5"/>
    <w:rsid w:val="007571CC"/>
    <w:rsid w:val="007575B4"/>
    <w:rsid w:val="007576DF"/>
    <w:rsid w:val="0075799B"/>
    <w:rsid w:val="007579BB"/>
    <w:rsid w:val="00757A25"/>
    <w:rsid w:val="00757AF4"/>
    <w:rsid w:val="00757AF7"/>
    <w:rsid w:val="00757B14"/>
    <w:rsid w:val="00757C5C"/>
    <w:rsid w:val="00757C66"/>
    <w:rsid w:val="00757CC1"/>
    <w:rsid w:val="00757DA3"/>
    <w:rsid w:val="00757F78"/>
    <w:rsid w:val="00757F97"/>
    <w:rsid w:val="0076001D"/>
    <w:rsid w:val="00760100"/>
    <w:rsid w:val="0076028D"/>
    <w:rsid w:val="007602DF"/>
    <w:rsid w:val="007603FE"/>
    <w:rsid w:val="0076057F"/>
    <w:rsid w:val="0076065D"/>
    <w:rsid w:val="0076071F"/>
    <w:rsid w:val="0076072A"/>
    <w:rsid w:val="0076072D"/>
    <w:rsid w:val="00760810"/>
    <w:rsid w:val="007608E8"/>
    <w:rsid w:val="00760A6F"/>
    <w:rsid w:val="00760C71"/>
    <w:rsid w:val="00760D44"/>
    <w:rsid w:val="00760D86"/>
    <w:rsid w:val="00760E2E"/>
    <w:rsid w:val="00760F25"/>
    <w:rsid w:val="00760F7C"/>
    <w:rsid w:val="00760FBD"/>
    <w:rsid w:val="00761003"/>
    <w:rsid w:val="0076109C"/>
    <w:rsid w:val="00761410"/>
    <w:rsid w:val="007616BC"/>
    <w:rsid w:val="0076196C"/>
    <w:rsid w:val="00761B04"/>
    <w:rsid w:val="00761DB0"/>
    <w:rsid w:val="00761E0A"/>
    <w:rsid w:val="00761EFA"/>
    <w:rsid w:val="00761F82"/>
    <w:rsid w:val="007621AF"/>
    <w:rsid w:val="0076226D"/>
    <w:rsid w:val="00762563"/>
    <w:rsid w:val="00762650"/>
    <w:rsid w:val="0076282F"/>
    <w:rsid w:val="007628CA"/>
    <w:rsid w:val="00762AE6"/>
    <w:rsid w:val="00762D13"/>
    <w:rsid w:val="00762EB5"/>
    <w:rsid w:val="00762F51"/>
    <w:rsid w:val="00763091"/>
    <w:rsid w:val="007630A4"/>
    <w:rsid w:val="0076321B"/>
    <w:rsid w:val="00763257"/>
    <w:rsid w:val="007634DB"/>
    <w:rsid w:val="0076352A"/>
    <w:rsid w:val="007635DF"/>
    <w:rsid w:val="007637F2"/>
    <w:rsid w:val="00763809"/>
    <w:rsid w:val="007638B4"/>
    <w:rsid w:val="007639BB"/>
    <w:rsid w:val="00763AA6"/>
    <w:rsid w:val="00763B00"/>
    <w:rsid w:val="00763D65"/>
    <w:rsid w:val="00763DF8"/>
    <w:rsid w:val="00763E05"/>
    <w:rsid w:val="00763F89"/>
    <w:rsid w:val="00763FB1"/>
    <w:rsid w:val="00764039"/>
    <w:rsid w:val="007640F1"/>
    <w:rsid w:val="00764199"/>
    <w:rsid w:val="007641D8"/>
    <w:rsid w:val="00764384"/>
    <w:rsid w:val="007645DC"/>
    <w:rsid w:val="007646F1"/>
    <w:rsid w:val="0076470F"/>
    <w:rsid w:val="0076485F"/>
    <w:rsid w:val="00764901"/>
    <w:rsid w:val="007649DD"/>
    <w:rsid w:val="00764A96"/>
    <w:rsid w:val="00764AF2"/>
    <w:rsid w:val="00764EF5"/>
    <w:rsid w:val="00765051"/>
    <w:rsid w:val="0076528E"/>
    <w:rsid w:val="00765295"/>
    <w:rsid w:val="007652AC"/>
    <w:rsid w:val="007652BE"/>
    <w:rsid w:val="007653BE"/>
    <w:rsid w:val="007654F7"/>
    <w:rsid w:val="00765503"/>
    <w:rsid w:val="00765568"/>
    <w:rsid w:val="0076556A"/>
    <w:rsid w:val="007655CD"/>
    <w:rsid w:val="00765664"/>
    <w:rsid w:val="00765753"/>
    <w:rsid w:val="00765838"/>
    <w:rsid w:val="00765A55"/>
    <w:rsid w:val="00765A60"/>
    <w:rsid w:val="00765C17"/>
    <w:rsid w:val="00765D63"/>
    <w:rsid w:val="0076602F"/>
    <w:rsid w:val="007662F8"/>
    <w:rsid w:val="0076643C"/>
    <w:rsid w:val="0076646F"/>
    <w:rsid w:val="0076656F"/>
    <w:rsid w:val="007666BD"/>
    <w:rsid w:val="00766756"/>
    <w:rsid w:val="0076689B"/>
    <w:rsid w:val="00766BAC"/>
    <w:rsid w:val="00766BC6"/>
    <w:rsid w:val="00766BE5"/>
    <w:rsid w:val="00766C20"/>
    <w:rsid w:val="00766CF4"/>
    <w:rsid w:val="00766D2D"/>
    <w:rsid w:val="00766D82"/>
    <w:rsid w:val="00766E9A"/>
    <w:rsid w:val="00766EFE"/>
    <w:rsid w:val="0076711D"/>
    <w:rsid w:val="00767189"/>
    <w:rsid w:val="00767326"/>
    <w:rsid w:val="0076742B"/>
    <w:rsid w:val="00767463"/>
    <w:rsid w:val="007674B0"/>
    <w:rsid w:val="0076752F"/>
    <w:rsid w:val="00767911"/>
    <w:rsid w:val="00767A25"/>
    <w:rsid w:val="00767B5C"/>
    <w:rsid w:val="00767B8E"/>
    <w:rsid w:val="00767DE2"/>
    <w:rsid w:val="00767F97"/>
    <w:rsid w:val="00767FD0"/>
    <w:rsid w:val="00770301"/>
    <w:rsid w:val="007703C7"/>
    <w:rsid w:val="00770645"/>
    <w:rsid w:val="00770673"/>
    <w:rsid w:val="00770801"/>
    <w:rsid w:val="007709B1"/>
    <w:rsid w:val="00770A73"/>
    <w:rsid w:val="00770B15"/>
    <w:rsid w:val="00770C0C"/>
    <w:rsid w:val="00771187"/>
    <w:rsid w:val="00771413"/>
    <w:rsid w:val="00771A4E"/>
    <w:rsid w:val="00771B46"/>
    <w:rsid w:val="00771D10"/>
    <w:rsid w:val="00771DC8"/>
    <w:rsid w:val="00771EFB"/>
    <w:rsid w:val="00771F2D"/>
    <w:rsid w:val="00771FD2"/>
    <w:rsid w:val="00771FFB"/>
    <w:rsid w:val="0077215E"/>
    <w:rsid w:val="007721FF"/>
    <w:rsid w:val="007722FE"/>
    <w:rsid w:val="0077233D"/>
    <w:rsid w:val="007723F1"/>
    <w:rsid w:val="007724A9"/>
    <w:rsid w:val="00772502"/>
    <w:rsid w:val="00772623"/>
    <w:rsid w:val="00772769"/>
    <w:rsid w:val="0077286C"/>
    <w:rsid w:val="00772B02"/>
    <w:rsid w:val="00772E96"/>
    <w:rsid w:val="00772FCD"/>
    <w:rsid w:val="0077305F"/>
    <w:rsid w:val="00773144"/>
    <w:rsid w:val="007731DA"/>
    <w:rsid w:val="007732D9"/>
    <w:rsid w:val="007734C0"/>
    <w:rsid w:val="00773699"/>
    <w:rsid w:val="00773707"/>
    <w:rsid w:val="007737D1"/>
    <w:rsid w:val="00773939"/>
    <w:rsid w:val="00773AEF"/>
    <w:rsid w:val="00773C5C"/>
    <w:rsid w:val="00773D47"/>
    <w:rsid w:val="00774048"/>
    <w:rsid w:val="00774051"/>
    <w:rsid w:val="00774156"/>
    <w:rsid w:val="007741C1"/>
    <w:rsid w:val="007742EB"/>
    <w:rsid w:val="00774473"/>
    <w:rsid w:val="00774487"/>
    <w:rsid w:val="007745CE"/>
    <w:rsid w:val="0077489E"/>
    <w:rsid w:val="00774C00"/>
    <w:rsid w:val="0077503D"/>
    <w:rsid w:val="00775335"/>
    <w:rsid w:val="0077544E"/>
    <w:rsid w:val="007754C9"/>
    <w:rsid w:val="00775772"/>
    <w:rsid w:val="00775839"/>
    <w:rsid w:val="00775946"/>
    <w:rsid w:val="007759B8"/>
    <w:rsid w:val="00775B61"/>
    <w:rsid w:val="00775C53"/>
    <w:rsid w:val="00775E72"/>
    <w:rsid w:val="00775ECA"/>
    <w:rsid w:val="00775ED1"/>
    <w:rsid w:val="00775F13"/>
    <w:rsid w:val="00776038"/>
    <w:rsid w:val="007760E0"/>
    <w:rsid w:val="0077624E"/>
    <w:rsid w:val="007762C9"/>
    <w:rsid w:val="00776624"/>
    <w:rsid w:val="007766E9"/>
    <w:rsid w:val="0077672C"/>
    <w:rsid w:val="007767A7"/>
    <w:rsid w:val="00776852"/>
    <w:rsid w:val="00776929"/>
    <w:rsid w:val="007769FF"/>
    <w:rsid w:val="00776A29"/>
    <w:rsid w:val="00776A35"/>
    <w:rsid w:val="00776A91"/>
    <w:rsid w:val="00776ADE"/>
    <w:rsid w:val="00776B10"/>
    <w:rsid w:val="00776B3F"/>
    <w:rsid w:val="00776E16"/>
    <w:rsid w:val="00776F08"/>
    <w:rsid w:val="00776F99"/>
    <w:rsid w:val="0077715C"/>
    <w:rsid w:val="007771D3"/>
    <w:rsid w:val="007771F0"/>
    <w:rsid w:val="00777267"/>
    <w:rsid w:val="00777366"/>
    <w:rsid w:val="007773FB"/>
    <w:rsid w:val="007774E0"/>
    <w:rsid w:val="007775D5"/>
    <w:rsid w:val="007775E2"/>
    <w:rsid w:val="00777978"/>
    <w:rsid w:val="00777AF0"/>
    <w:rsid w:val="00777B09"/>
    <w:rsid w:val="00777B11"/>
    <w:rsid w:val="00777E8B"/>
    <w:rsid w:val="00777FC8"/>
    <w:rsid w:val="0078007E"/>
    <w:rsid w:val="007800CC"/>
    <w:rsid w:val="007801E4"/>
    <w:rsid w:val="0078032A"/>
    <w:rsid w:val="0078037A"/>
    <w:rsid w:val="007803C9"/>
    <w:rsid w:val="007806EF"/>
    <w:rsid w:val="00780810"/>
    <w:rsid w:val="0078082F"/>
    <w:rsid w:val="00780A6D"/>
    <w:rsid w:val="00780CEF"/>
    <w:rsid w:val="00780DF3"/>
    <w:rsid w:val="00780E2C"/>
    <w:rsid w:val="0078111A"/>
    <w:rsid w:val="00781122"/>
    <w:rsid w:val="007811DC"/>
    <w:rsid w:val="007812C7"/>
    <w:rsid w:val="007814B9"/>
    <w:rsid w:val="0078151C"/>
    <w:rsid w:val="007816A6"/>
    <w:rsid w:val="007816FB"/>
    <w:rsid w:val="00781753"/>
    <w:rsid w:val="007817C3"/>
    <w:rsid w:val="0078184C"/>
    <w:rsid w:val="00781B6A"/>
    <w:rsid w:val="00781BD0"/>
    <w:rsid w:val="00781C28"/>
    <w:rsid w:val="00781E49"/>
    <w:rsid w:val="00781F43"/>
    <w:rsid w:val="00781F46"/>
    <w:rsid w:val="00781FE7"/>
    <w:rsid w:val="007821F0"/>
    <w:rsid w:val="00782298"/>
    <w:rsid w:val="0078235D"/>
    <w:rsid w:val="007823AC"/>
    <w:rsid w:val="00782656"/>
    <w:rsid w:val="007826EF"/>
    <w:rsid w:val="00782747"/>
    <w:rsid w:val="007827B4"/>
    <w:rsid w:val="0078289C"/>
    <w:rsid w:val="00782916"/>
    <w:rsid w:val="00782928"/>
    <w:rsid w:val="00782999"/>
    <w:rsid w:val="00782B6B"/>
    <w:rsid w:val="00782BA0"/>
    <w:rsid w:val="00782BDB"/>
    <w:rsid w:val="00782D23"/>
    <w:rsid w:val="00782E1C"/>
    <w:rsid w:val="00782EB2"/>
    <w:rsid w:val="007830E0"/>
    <w:rsid w:val="0078315C"/>
    <w:rsid w:val="0078317E"/>
    <w:rsid w:val="0078318A"/>
    <w:rsid w:val="007832DA"/>
    <w:rsid w:val="00783541"/>
    <w:rsid w:val="007835E3"/>
    <w:rsid w:val="00783754"/>
    <w:rsid w:val="007837DB"/>
    <w:rsid w:val="007837E3"/>
    <w:rsid w:val="00783931"/>
    <w:rsid w:val="0078394B"/>
    <w:rsid w:val="00783971"/>
    <w:rsid w:val="00783990"/>
    <w:rsid w:val="00783BB6"/>
    <w:rsid w:val="00783BB9"/>
    <w:rsid w:val="00783BE1"/>
    <w:rsid w:val="00783C2E"/>
    <w:rsid w:val="00784323"/>
    <w:rsid w:val="007843F8"/>
    <w:rsid w:val="0078443A"/>
    <w:rsid w:val="0078468F"/>
    <w:rsid w:val="00784808"/>
    <w:rsid w:val="0078489A"/>
    <w:rsid w:val="0078498F"/>
    <w:rsid w:val="007849EA"/>
    <w:rsid w:val="00784A56"/>
    <w:rsid w:val="00784E54"/>
    <w:rsid w:val="00784E55"/>
    <w:rsid w:val="00785042"/>
    <w:rsid w:val="00785407"/>
    <w:rsid w:val="007854E5"/>
    <w:rsid w:val="007858B4"/>
    <w:rsid w:val="00785978"/>
    <w:rsid w:val="00785A60"/>
    <w:rsid w:val="00785D52"/>
    <w:rsid w:val="00785DA9"/>
    <w:rsid w:val="00785EAC"/>
    <w:rsid w:val="00785F59"/>
    <w:rsid w:val="00786146"/>
    <w:rsid w:val="00786168"/>
    <w:rsid w:val="007862AC"/>
    <w:rsid w:val="007862F9"/>
    <w:rsid w:val="00786316"/>
    <w:rsid w:val="007863A7"/>
    <w:rsid w:val="00786978"/>
    <w:rsid w:val="00786A60"/>
    <w:rsid w:val="00786B20"/>
    <w:rsid w:val="00786BF5"/>
    <w:rsid w:val="00786C76"/>
    <w:rsid w:val="00786E54"/>
    <w:rsid w:val="00786F6E"/>
    <w:rsid w:val="0078718B"/>
    <w:rsid w:val="00787208"/>
    <w:rsid w:val="0078760B"/>
    <w:rsid w:val="00787946"/>
    <w:rsid w:val="00787A94"/>
    <w:rsid w:val="00787BAA"/>
    <w:rsid w:val="00787CB2"/>
    <w:rsid w:val="00787DEE"/>
    <w:rsid w:val="00787F58"/>
    <w:rsid w:val="007900AB"/>
    <w:rsid w:val="007900C2"/>
    <w:rsid w:val="007900E2"/>
    <w:rsid w:val="007901FE"/>
    <w:rsid w:val="0079032D"/>
    <w:rsid w:val="00790351"/>
    <w:rsid w:val="00790596"/>
    <w:rsid w:val="00790826"/>
    <w:rsid w:val="00790AFC"/>
    <w:rsid w:val="00790BF8"/>
    <w:rsid w:val="00790D19"/>
    <w:rsid w:val="00790DB5"/>
    <w:rsid w:val="00790DD0"/>
    <w:rsid w:val="00790DD8"/>
    <w:rsid w:val="00790EFB"/>
    <w:rsid w:val="0079101F"/>
    <w:rsid w:val="00791079"/>
    <w:rsid w:val="00791126"/>
    <w:rsid w:val="00791138"/>
    <w:rsid w:val="007911B5"/>
    <w:rsid w:val="007911B6"/>
    <w:rsid w:val="007911EB"/>
    <w:rsid w:val="00791275"/>
    <w:rsid w:val="0079138F"/>
    <w:rsid w:val="007913DD"/>
    <w:rsid w:val="0079147D"/>
    <w:rsid w:val="007915B4"/>
    <w:rsid w:val="0079176D"/>
    <w:rsid w:val="007917F7"/>
    <w:rsid w:val="00791911"/>
    <w:rsid w:val="00791912"/>
    <w:rsid w:val="0079192B"/>
    <w:rsid w:val="0079192F"/>
    <w:rsid w:val="007919D0"/>
    <w:rsid w:val="00791A2E"/>
    <w:rsid w:val="00791EC1"/>
    <w:rsid w:val="00791EEB"/>
    <w:rsid w:val="00792147"/>
    <w:rsid w:val="00792171"/>
    <w:rsid w:val="00792246"/>
    <w:rsid w:val="0079247B"/>
    <w:rsid w:val="00792498"/>
    <w:rsid w:val="007924CD"/>
    <w:rsid w:val="0079258F"/>
    <w:rsid w:val="0079280E"/>
    <w:rsid w:val="0079297E"/>
    <w:rsid w:val="007929F5"/>
    <w:rsid w:val="00792AAD"/>
    <w:rsid w:val="00792AB8"/>
    <w:rsid w:val="00792B24"/>
    <w:rsid w:val="00792E0F"/>
    <w:rsid w:val="00792E79"/>
    <w:rsid w:val="00792F02"/>
    <w:rsid w:val="00792F0C"/>
    <w:rsid w:val="00792F4F"/>
    <w:rsid w:val="00793009"/>
    <w:rsid w:val="00793435"/>
    <w:rsid w:val="00793545"/>
    <w:rsid w:val="007935F4"/>
    <w:rsid w:val="00793715"/>
    <w:rsid w:val="00793977"/>
    <w:rsid w:val="00793A05"/>
    <w:rsid w:val="00793A26"/>
    <w:rsid w:val="00793AF9"/>
    <w:rsid w:val="00793C29"/>
    <w:rsid w:val="00793C6D"/>
    <w:rsid w:val="00793E34"/>
    <w:rsid w:val="0079408D"/>
    <w:rsid w:val="007940B3"/>
    <w:rsid w:val="00794131"/>
    <w:rsid w:val="0079441F"/>
    <w:rsid w:val="007944C5"/>
    <w:rsid w:val="00794685"/>
    <w:rsid w:val="007946BA"/>
    <w:rsid w:val="0079478E"/>
    <w:rsid w:val="00794A27"/>
    <w:rsid w:val="00794A9B"/>
    <w:rsid w:val="00794E48"/>
    <w:rsid w:val="00794F2E"/>
    <w:rsid w:val="00794F71"/>
    <w:rsid w:val="00795288"/>
    <w:rsid w:val="007952B1"/>
    <w:rsid w:val="0079533A"/>
    <w:rsid w:val="007953A5"/>
    <w:rsid w:val="00795665"/>
    <w:rsid w:val="00795838"/>
    <w:rsid w:val="0079584A"/>
    <w:rsid w:val="0079590E"/>
    <w:rsid w:val="0079593B"/>
    <w:rsid w:val="00795A2B"/>
    <w:rsid w:val="00795A82"/>
    <w:rsid w:val="00795C25"/>
    <w:rsid w:val="00795FA0"/>
    <w:rsid w:val="007960A8"/>
    <w:rsid w:val="0079622B"/>
    <w:rsid w:val="007962F6"/>
    <w:rsid w:val="0079633A"/>
    <w:rsid w:val="00796499"/>
    <w:rsid w:val="00796503"/>
    <w:rsid w:val="00796544"/>
    <w:rsid w:val="007966AE"/>
    <w:rsid w:val="007967D3"/>
    <w:rsid w:val="00796934"/>
    <w:rsid w:val="0079697F"/>
    <w:rsid w:val="00796B1D"/>
    <w:rsid w:val="00796CE7"/>
    <w:rsid w:val="00796F8B"/>
    <w:rsid w:val="007971FD"/>
    <w:rsid w:val="00797218"/>
    <w:rsid w:val="0079724D"/>
    <w:rsid w:val="00797443"/>
    <w:rsid w:val="0079748B"/>
    <w:rsid w:val="007974F6"/>
    <w:rsid w:val="00797599"/>
    <w:rsid w:val="0079765B"/>
    <w:rsid w:val="0079775B"/>
    <w:rsid w:val="007977EB"/>
    <w:rsid w:val="0079783F"/>
    <w:rsid w:val="007978B7"/>
    <w:rsid w:val="00797B99"/>
    <w:rsid w:val="00797DD4"/>
    <w:rsid w:val="007A00CE"/>
    <w:rsid w:val="007A012F"/>
    <w:rsid w:val="007A02FE"/>
    <w:rsid w:val="007A0384"/>
    <w:rsid w:val="007A03DF"/>
    <w:rsid w:val="007A04DE"/>
    <w:rsid w:val="007A06C9"/>
    <w:rsid w:val="007A0738"/>
    <w:rsid w:val="007A08AE"/>
    <w:rsid w:val="007A0997"/>
    <w:rsid w:val="007A0C02"/>
    <w:rsid w:val="007A0FC6"/>
    <w:rsid w:val="007A1093"/>
    <w:rsid w:val="007A1280"/>
    <w:rsid w:val="007A137B"/>
    <w:rsid w:val="007A137F"/>
    <w:rsid w:val="007A141E"/>
    <w:rsid w:val="007A151E"/>
    <w:rsid w:val="007A15C6"/>
    <w:rsid w:val="007A1911"/>
    <w:rsid w:val="007A198D"/>
    <w:rsid w:val="007A1B02"/>
    <w:rsid w:val="007A1BD9"/>
    <w:rsid w:val="007A1E33"/>
    <w:rsid w:val="007A1EE5"/>
    <w:rsid w:val="007A204D"/>
    <w:rsid w:val="007A206F"/>
    <w:rsid w:val="007A23E7"/>
    <w:rsid w:val="007A23F7"/>
    <w:rsid w:val="007A265D"/>
    <w:rsid w:val="007A2B14"/>
    <w:rsid w:val="007A2F47"/>
    <w:rsid w:val="007A3377"/>
    <w:rsid w:val="007A3479"/>
    <w:rsid w:val="007A350B"/>
    <w:rsid w:val="007A3777"/>
    <w:rsid w:val="007A3818"/>
    <w:rsid w:val="007A3881"/>
    <w:rsid w:val="007A3971"/>
    <w:rsid w:val="007A3A52"/>
    <w:rsid w:val="007A3A79"/>
    <w:rsid w:val="007A3AB6"/>
    <w:rsid w:val="007A3C8D"/>
    <w:rsid w:val="007A3DBB"/>
    <w:rsid w:val="007A414B"/>
    <w:rsid w:val="007A428D"/>
    <w:rsid w:val="007A42B5"/>
    <w:rsid w:val="007A42F9"/>
    <w:rsid w:val="007A43CC"/>
    <w:rsid w:val="007A447A"/>
    <w:rsid w:val="007A44CB"/>
    <w:rsid w:val="007A4666"/>
    <w:rsid w:val="007A4745"/>
    <w:rsid w:val="007A493F"/>
    <w:rsid w:val="007A4940"/>
    <w:rsid w:val="007A4AB4"/>
    <w:rsid w:val="007A4AFE"/>
    <w:rsid w:val="007A4B9B"/>
    <w:rsid w:val="007A4C74"/>
    <w:rsid w:val="007A4C80"/>
    <w:rsid w:val="007A4F52"/>
    <w:rsid w:val="007A508B"/>
    <w:rsid w:val="007A509A"/>
    <w:rsid w:val="007A510C"/>
    <w:rsid w:val="007A51D1"/>
    <w:rsid w:val="007A527F"/>
    <w:rsid w:val="007A5340"/>
    <w:rsid w:val="007A561A"/>
    <w:rsid w:val="007A5850"/>
    <w:rsid w:val="007A58E2"/>
    <w:rsid w:val="007A59D4"/>
    <w:rsid w:val="007A5CF4"/>
    <w:rsid w:val="007A5DBF"/>
    <w:rsid w:val="007A5DCE"/>
    <w:rsid w:val="007A5DDB"/>
    <w:rsid w:val="007A5E43"/>
    <w:rsid w:val="007A5E6B"/>
    <w:rsid w:val="007A5EBA"/>
    <w:rsid w:val="007A5EC9"/>
    <w:rsid w:val="007A5F4E"/>
    <w:rsid w:val="007A5FB1"/>
    <w:rsid w:val="007A61F2"/>
    <w:rsid w:val="007A6361"/>
    <w:rsid w:val="007A6812"/>
    <w:rsid w:val="007A6A15"/>
    <w:rsid w:val="007A6A56"/>
    <w:rsid w:val="007A6F1D"/>
    <w:rsid w:val="007A6FEB"/>
    <w:rsid w:val="007A7156"/>
    <w:rsid w:val="007A7196"/>
    <w:rsid w:val="007A7273"/>
    <w:rsid w:val="007A7301"/>
    <w:rsid w:val="007A7732"/>
    <w:rsid w:val="007A779E"/>
    <w:rsid w:val="007A781C"/>
    <w:rsid w:val="007A785D"/>
    <w:rsid w:val="007A78DD"/>
    <w:rsid w:val="007A7A8C"/>
    <w:rsid w:val="007A7B01"/>
    <w:rsid w:val="007A7B28"/>
    <w:rsid w:val="007A7BF3"/>
    <w:rsid w:val="007A7E34"/>
    <w:rsid w:val="007A7F73"/>
    <w:rsid w:val="007A7FA0"/>
    <w:rsid w:val="007B016D"/>
    <w:rsid w:val="007B01DF"/>
    <w:rsid w:val="007B021D"/>
    <w:rsid w:val="007B0275"/>
    <w:rsid w:val="007B0325"/>
    <w:rsid w:val="007B0448"/>
    <w:rsid w:val="007B0528"/>
    <w:rsid w:val="007B08D6"/>
    <w:rsid w:val="007B0A24"/>
    <w:rsid w:val="007B0AD7"/>
    <w:rsid w:val="007B0BBF"/>
    <w:rsid w:val="007B0C24"/>
    <w:rsid w:val="007B0DE9"/>
    <w:rsid w:val="007B0E18"/>
    <w:rsid w:val="007B0F07"/>
    <w:rsid w:val="007B0F1C"/>
    <w:rsid w:val="007B0FF4"/>
    <w:rsid w:val="007B10E7"/>
    <w:rsid w:val="007B1180"/>
    <w:rsid w:val="007B118C"/>
    <w:rsid w:val="007B1272"/>
    <w:rsid w:val="007B1418"/>
    <w:rsid w:val="007B1445"/>
    <w:rsid w:val="007B160A"/>
    <w:rsid w:val="007B1A56"/>
    <w:rsid w:val="007B1C7F"/>
    <w:rsid w:val="007B1CA5"/>
    <w:rsid w:val="007B1D37"/>
    <w:rsid w:val="007B1DBB"/>
    <w:rsid w:val="007B1E73"/>
    <w:rsid w:val="007B1F48"/>
    <w:rsid w:val="007B208B"/>
    <w:rsid w:val="007B21AF"/>
    <w:rsid w:val="007B21C0"/>
    <w:rsid w:val="007B223D"/>
    <w:rsid w:val="007B23AD"/>
    <w:rsid w:val="007B251E"/>
    <w:rsid w:val="007B258D"/>
    <w:rsid w:val="007B2895"/>
    <w:rsid w:val="007B2D76"/>
    <w:rsid w:val="007B2D95"/>
    <w:rsid w:val="007B2F0C"/>
    <w:rsid w:val="007B2F7B"/>
    <w:rsid w:val="007B3265"/>
    <w:rsid w:val="007B333D"/>
    <w:rsid w:val="007B3399"/>
    <w:rsid w:val="007B346A"/>
    <w:rsid w:val="007B3483"/>
    <w:rsid w:val="007B37BC"/>
    <w:rsid w:val="007B38DE"/>
    <w:rsid w:val="007B38ED"/>
    <w:rsid w:val="007B3A74"/>
    <w:rsid w:val="007B3BDE"/>
    <w:rsid w:val="007B3CA8"/>
    <w:rsid w:val="007B3E29"/>
    <w:rsid w:val="007B3F75"/>
    <w:rsid w:val="007B40D0"/>
    <w:rsid w:val="007B427B"/>
    <w:rsid w:val="007B42D6"/>
    <w:rsid w:val="007B43AC"/>
    <w:rsid w:val="007B43B1"/>
    <w:rsid w:val="007B4419"/>
    <w:rsid w:val="007B462F"/>
    <w:rsid w:val="007B473C"/>
    <w:rsid w:val="007B486B"/>
    <w:rsid w:val="007B49ED"/>
    <w:rsid w:val="007B4CBF"/>
    <w:rsid w:val="007B4E70"/>
    <w:rsid w:val="007B4EB4"/>
    <w:rsid w:val="007B4F0B"/>
    <w:rsid w:val="007B4F50"/>
    <w:rsid w:val="007B51C4"/>
    <w:rsid w:val="007B594A"/>
    <w:rsid w:val="007B5A6E"/>
    <w:rsid w:val="007B5B5D"/>
    <w:rsid w:val="007B5BE8"/>
    <w:rsid w:val="007B5DA8"/>
    <w:rsid w:val="007B5E16"/>
    <w:rsid w:val="007B5E59"/>
    <w:rsid w:val="007B5F66"/>
    <w:rsid w:val="007B5F67"/>
    <w:rsid w:val="007B6011"/>
    <w:rsid w:val="007B6034"/>
    <w:rsid w:val="007B6045"/>
    <w:rsid w:val="007B64D0"/>
    <w:rsid w:val="007B6688"/>
    <w:rsid w:val="007B682C"/>
    <w:rsid w:val="007B6CE4"/>
    <w:rsid w:val="007B6D2A"/>
    <w:rsid w:val="007B6ECE"/>
    <w:rsid w:val="007B6FC6"/>
    <w:rsid w:val="007B705D"/>
    <w:rsid w:val="007B7169"/>
    <w:rsid w:val="007B71D0"/>
    <w:rsid w:val="007B7201"/>
    <w:rsid w:val="007B74BE"/>
    <w:rsid w:val="007B7509"/>
    <w:rsid w:val="007B7552"/>
    <w:rsid w:val="007B7645"/>
    <w:rsid w:val="007B765C"/>
    <w:rsid w:val="007B768F"/>
    <w:rsid w:val="007B788C"/>
    <w:rsid w:val="007B7A21"/>
    <w:rsid w:val="007B7A64"/>
    <w:rsid w:val="007B7BFA"/>
    <w:rsid w:val="007B7C54"/>
    <w:rsid w:val="007B7CB4"/>
    <w:rsid w:val="007B7DBF"/>
    <w:rsid w:val="007B7DC0"/>
    <w:rsid w:val="007C030B"/>
    <w:rsid w:val="007C03D2"/>
    <w:rsid w:val="007C0423"/>
    <w:rsid w:val="007C0569"/>
    <w:rsid w:val="007C06CD"/>
    <w:rsid w:val="007C06DD"/>
    <w:rsid w:val="007C091B"/>
    <w:rsid w:val="007C0A27"/>
    <w:rsid w:val="007C0BBF"/>
    <w:rsid w:val="007C0D63"/>
    <w:rsid w:val="007C102F"/>
    <w:rsid w:val="007C1110"/>
    <w:rsid w:val="007C119F"/>
    <w:rsid w:val="007C12F1"/>
    <w:rsid w:val="007C15F2"/>
    <w:rsid w:val="007C166B"/>
    <w:rsid w:val="007C1932"/>
    <w:rsid w:val="007C194E"/>
    <w:rsid w:val="007C1B69"/>
    <w:rsid w:val="007C1DCC"/>
    <w:rsid w:val="007C232E"/>
    <w:rsid w:val="007C242A"/>
    <w:rsid w:val="007C24A2"/>
    <w:rsid w:val="007C24DD"/>
    <w:rsid w:val="007C27E7"/>
    <w:rsid w:val="007C2A42"/>
    <w:rsid w:val="007C2A6A"/>
    <w:rsid w:val="007C2A6B"/>
    <w:rsid w:val="007C2AA1"/>
    <w:rsid w:val="007C2C4A"/>
    <w:rsid w:val="007C2CA9"/>
    <w:rsid w:val="007C2CD6"/>
    <w:rsid w:val="007C2D86"/>
    <w:rsid w:val="007C2DF9"/>
    <w:rsid w:val="007C2E95"/>
    <w:rsid w:val="007C3161"/>
    <w:rsid w:val="007C325E"/>
    <w:rsid w:val="007C331C"/>
    <w:rsid w:val="007C33A3"/>
    <w:rsid w:val="007C3598"/>
    <w:rsid w:val="007C36CF"/>
    <w:rsid w:val="007C3911"/>
    <w:rsid w:val="007C3962"/>
    <w:rsid w:val="007C3AF5"/>
    <w:rsid w:val="007C3E2B"/>
    <w:rsid w:val="007C3F49"/>
    <w:rsid w:val="007C4081"/>
    <w:rsid w:val="007C41C9"/>
    <w:rsid w:val="007C41CA"/>
    <w:rsid w:val="007C433C"/>
    <w:rsid w:val="007C435A"/>
    <w:rsid w:val="007C444E"/>
    <w:rsid w:val="007C45C0"/>
    <w:rsid w:val="007C47F5"/>
    <w:rsid w:val="007C4838"/>
    <w:rsid w:val="007C48E5"/>
    <w:rsid w:val="007C4997"/>
    <w:rsid w:val="007C49B2"/>
    <w:rsid w:val="007C49CC"/>
    <w:rsid w:val="007C4A16"/>
    <w:rsid w:val="007C4B62"/>
    <w:rsid w:val="007C4CAB"/>
    <w:rsid w:val="007C4CCE"/>
    <w:rsid w:val="007C4DBF"/>
    <w:rsid w:val="007C4EFC"/>
    <w:rsid w:val="007C511F"/>
    <w:rsid w:val="007C51CE"/>
    <w:rsid w:val="007C5256"/>
    <w:rsid w:val="007C5262"/>
    <w:rsid w:val="007C5264"/>
    <w:rsid w:val="007C52FF"/>
    <w:rsid w:val="007C532E"/>
    <w:rsid w:val="007C5361"/>
    <w:rsid w:val="007C5497"/>
    <w:rsid w:val="007C5589"/>
    <w:rsid w:val="007C58B7"/>
    <w:rsid w:val="007C5908"/>
    <w:rsid w:val="007C5D0E"/>
    <w:rsid w:val="007C5DC5"/>
    <w:rsid w:val="007C5E15"/>
    <w:rsid w:val="007C5EB1"/>
    <w:rsid w:val="007C60FB"/>
    <w:rsid w:val="007C6162"/>
    <w:rsid w:val="007C6238"/>
    <w:rsid w:val="007C6334"/>
    <w:rsid w:val="007C6469"/>
    <w:rsid w:val="007C6589"/>
    <w:rsid w:val="007C6880"/>
    <w:rsid w:val="007C69DA"/>
    <w:rsid w:val="007C6A5C"/>
    <w:rsid w:val="007C6B68"/>
    <w:rsid w:val="007C6B98"/>
    <w:rsid w:val="007C6CC3"/>
    <w:rsid w:val="007C6D14"/>
    <w:rsid w:val="007C6F70"/>
    <w:rsid w:val="007C6F71"/>
    <w:rsid w:val="007C7118"/>
    <w:rsid w:val="007C7136"/>
    <w:rsid w:val="007C718B"/>
    <w:rsid w:val="007C71CB"/>
    <w:rsid w:val="007C7241"/>
    <w:rsid w:val="007C7471"/>
    <w:rsid w:val="007C7480"/>
    <w:rsid w:val="007C75ED"/>
    <w:rsid w:val="007C761A"/>
    <w:rsid w:val="007C76B7"/>
    <w:rsid w:val="007C7747"/>
    <w:rsid w:val="007C7891"/>
    <w:rsid w:val="007C7965"/>
    <w:rsid w:val="007C7A2B"/>
    <w:rsid w:val="007C7BE8"/>
    <w:rsid w:val="007D0018"/>
    <w:rsid w:val="007D0295"/>
    <w:rsid w:val="007D0395"/>
    <w:rsid w:val="007D0450"/>
    <w:rsid w:val="007D05C6"/>
    <w:rsid w:val="007D06BF"/>
    <w:rsid w:val="007D06DF"/>
    <w:rsid w:val="007D0720"/>
    <w:rsid w:val="007D0847"/>
    <w:rsid w:val="007D08E4"/>
    <w:rsid w:val="007D092F"/>
    <w:rsid w:val="007D0953"/>
    <w:rsid w:val="007D0A0C"/>
    <w:rsid w:val="007D0C0A"/>
    <w:rsid w:val="007D0CF9"/>
    <w:rsid w:val="007D0F4B"/>
    <w:rsid w:val="007D1218"/>
    <w:rsid w:val="007D128A"/>
    <w:rsid w:val="007D141F"/>
    <w:rsid w:val="007D1551"/>
    <w:rsid w:val="007D158F"/>
    <w:rsid w:val="007D159C"/>
    <w:rsid w:val="007D18C5"/>
    <w:rsid w:val="007D193A"/>
    <w:rsid w:val="007D1B9E"/>
    <w:rsid w:val="007D1D1B"/>
    <w:rsid w:val="007D1E3A"/>
    <w:rsid w:val="007D21AE"/>
    <w:rsid w:val="007D2245"/>
    <w:rsid w:val="007D248D"/>
    <w:rsid w:val="007D25F3"/>
    <w:rsid w:val="007D26B8"/>
    <w:rsid w:val="007D2A3E"/>
    <w:rsid w:val="007D2AC3"/>
    <w:rsid w:val="007D2BB7"/>
    <w:rsid w:val="007D2C7B"/>
    <w:rsid w:val="007D2CF4"/>
    <w:rsid w:val="007D2D24"/>
    <w:rsid w:val="007D2E27"/>
    <w:rsid w:val="007D304A"/>
    <w:rsid w:val="007D30D0"/>
    <w:rsid w:val="007D31D2"/>
    <w:rsid w:val="007D342B"/>
    <w:rsid w:val="007D3430"/>
    <w:rsid w:val="007D3438"/>
    <w:rsid w:val="007D34B8"/>
    <w:rsid w:val="007D34CA"/>
    <w:rsid w:val="007D352A"/>
    <w:rsid w:val="007D3662"/>
    <w:rsid w:val="007D3691"/>
    <w:rsid w:val="007D36F1"/>
    <w:rsid w:val="007D37D7"/>
    <w:rsid w:val="007D384B"/>
    <w:rsid w:val="007D38D5"/>
    <w:rsid w:val="007D3B69"/>
    <w:rsid w:val="007D3BAF"/>
    <w:rsid w:val="007D3BE7"/>
    <w:rsid w:val="007D3D39"/>
    <w:rsid w:val="007D3DE9"/>
    <w:rsid w:val="007D3FFE"/>
    <w:rsid w:val="007D414F"/>
    <w:rsid w:val="007D41A3"/>
    <w:rsid w:val="007D4209"/>
    <w:rsid w:val="007D43BD"/>
    <w:rsid w:val="007D445A"/>
    <w:rsid w:val="007D4478"/>
    <w:rsid w:val="007D44D2"/>
    <w:rsid w:val="007D46C2"/>
    <w:rsid w:val="007D4734"/>
    <w:rsid w:val="007D4775"/>
    <w:rsid w:val="007D4916"/>
    <w:rsid w:val="007D49F9"/>
    <w:rsid w:val="007D4ACD"/>
    <w:rsid w:val="007D4BDB"/>
    <w:rsid w:val="007D4D3B"/>
    <w:rsid w:val="007D4D84"/>
    <w:rsid w:val="007D4E98"/>
    <w:rsid w:val="007D4ED3"/>
    <w:rsid w:val="007D4ED9"/>
    <w:rsid w:val="007D4F96"/>
    <w:rsid w:val="007D5147"/>
    <w:rsid w:val="007D516E"/>
    <w:rsid w:val="007D51CF"/>
    <w:rsid w:val="007D564D"/>
    <w:rsid w:val="007D598D"/>
    <w:rsid w:val="007D5AEF"/>
    <w:rsid w:val="007D5BE3"/>
    <w:rsid w:val="007D5C9B"/>
    <w:rsid w:val="007D5D48"/>
    <w:rsid w:val="007D5E2A"/>
    <w:rsid w:val="007D5F02"/>
    <w:rsid w:val="007D615C"/>
    <w:rsid w:val="007D61C2"/>
    <w:rsid w:val="007D6265"/>
    <w:rsid w:val="007D645E"/>
    <w:rsid w:val="007D664F"/>
    <w:rsid w:val="007D6690"/>
    <w:rsid w:val="007D66B5"/>
    <w:rsid w:val="007D6700"/>
    <w:rsid w:val="007D6721"/>
    <w:rsid w:val="007D6725"/>
    <w:rsid w:val="007D67AA"/>
    <w:rsid w:val="007D6843"/>
    <w:rsid w:val="007D689E"/>
    <w:rsid w:val="007D69A1"/>
    <w:rsid w:val="007D6D2B"/>
    <w:rsid w:val="007D6DE2"/>
    <w:rsid w:val="007D6E1A"/>
    <w:rsid w:val="007D6E5A"/>
    <w:rsid w:val="007D6E83"/>
    <w:rsid w:val="007D6F0C"/>
    <w:rsid w:val="007D7256"/>
    <w:rsid w:val="007D72AA"/>
    <w:rsid w:val="007D733D"/>
    <w:rsid w:val="007D7371"/>
    <w:rsid w:val="007D7602"/>
    <w:rsid w:val="007D7657"/>
    <w:rsid w:val="007D7751"/>
    <w:rsid w:val="007D7764"/>
    <w:rsid w:val="007D78B1"/>
    <w:rsid w:val="007D798F"/>
    <w:rsid w:val="007D7A47"/>
    <w:rsid w:val="007D7B39"/>
    <w:rsid w:val="007D7B4B"/>
    <w:rsid w:val="007D7B57"/>
    <w:rsid w:val="007D7C1F"/>
    <w:rsid w:val="007D7C95"/>
    <w:rsid w:val="007D7CE0"/>
    <w:rsid w:val="007D7F19"/>
    <w:rsid w:val="007D7F57"/>
    <w:rsid w:val="007E007A"/>
    <w:rsid w:val="007E0218"/>
    <w:rsid w:val="007E0270"/>
    <w:rsid w:val="007E02F0"/>
    <w:rsid w:val="007E0475"/>
    <w:rsid w:val="007E0641"/>
    <w:rsid w:val="007E088B"/>
    <w:rsid w:val="007E0A55"/>
    <w:rsid w:val="007E0A67"/>
    <w:rsid w:val="007E0B02"/>
    <w:rsid w:val="007E0BA3"/>
    <w:rsid w:val="007E0CCE"/>
    <w:rsid w:val="007E0ED5"/>
    <w:rsid w:val="007E0F2B"/>
    <w:rsid w:val="007E0F3F"/>
    <w:rsid w:val="007E0F85"/>
    <w:rsid w:val="007E11AF"/>
    <w:rsid w:val="007E14BA"/>
    <w:rsid w:val="007E1660"/>
    <w:rsid w:val="007E16D1"/>
    <w:rsid w:val="007E182D"/>
    <w:rsid w:val="007E18FE"/>
    <w:rsid w:val="007E19D4"/>
    <w:rsid w:val="007E19F5"/>
    <w:rsid w:val="007E1CFF"/>
    <w:rsid w:val="007E2097"/>
    <w:rsid w:val="007E212B"/>
    <w:rsid w:val="007E2322"/>
    <w:rsid w:val="007E2489"/>
    <w:rsid w:val="007E253B"/>
    <w:rsid w:val="007E2551"/>
    <w:rsid w:val="007E2795"/>
    <w:rsid w:val="007E2867"/>
    <w:rsid w:val="007E29D9"/>
    <w:rsid w:val="007E2A58"/>
    <w:rsid w:val="007E2A6A"/>
    <w:rsid w:val="007E2ADE"/>
    <w:rsid w:val="007E2B1A"/>
    <w:rsid w:val="007E2B59"/>
    <w:rsid w:val="007E2F2F"/>
    <w:rsid w:val="007E307D"/>
    <w:rsid w:val="007E309E"/>
    <w:rsid w:val="007E3161"/>
    <w:rsid w:val="007E3584"/>
    <w:rsid w:val="007E3656"/>
    <w:rsid w:val="007E36B3"/>
    <w:rsid w:val="007E36C1"/>
    <w:rsid w:val="007E37AA"/>
    <w:rsid w:val="007E3955"/>
    <w:rsid w:val="007E3971"/>
    <w:rsid w:val="007E3BB0"/>
    <w:rsid w:val="007E3D69"/>
    <w:rsid w:val="007E3E19"/>
    <w:rsid w:val="007E3F61"/>
    <w:rsid w:val="007E3FB1"/>
    <w:rsid w:val="007E41B2"/>
    <w:rsid w:val="007E4333"/>
    <w:rsid w:val="007E4370"/>
    <w:rsid w:val="007E4384"/>
    <w:rsid w:val="007E44D1"/>
    <w:rsid w:val="007E453B"/>
    <w:rsid w:val="007E45A6"/>
    <w:rsid w:val="007E45CD"/>
    <w:rsid w:val="007E474D"/>
    <w:rsid w:val="007E4E27"/>
    <w:rsid w:val="007E5202"/>
    <w:rsid w:val="007E5375"/>
    <w:rsid w:val="007E5392"/>
    <w:rsid w:val="007E53E6"/>
    <w:rsid w:val="007E554A"/>
    <w:rsid w:val="007E55E7"/>
    <w:rsid w:val="007E5624"/>
    <w:rsid w:val="007E57DA"/>
    <w:rsid w:val="007E593E"/>
    <w:rsid w:val="007E5A0F"/>
    <w:rsid w:val="007E5AC4"/>
    <w:rsid w:val="007E5BC1"/>
    <w:rsid w:val="007E5C2C"/>
    <w:rsid w:val="007E5C68"/>
    <w:rsid w:val="007E5CEC"/>
    <w:rsid w:val="007E5D2A"/>
    <w:rsid w:val="007E5D63"/>
    <w:rsid w:val="007E5DC0"/>
    <w:rsid w:val="007E5EB4"/>
    <w:rsid w:val="007E5FA4"/>
    <w:rsid w:val="007E601F"/>
    <w:rsid w:val="007E6082"/>
    <w:rsid w:val="007E6239"/>
    <w:rsid w:val="007E63C4"/>
    <w:rsid w:val="007E6468"/>
    <w:rsid w:val="007E64BD"/>
    <w:rsid w:val="007E6509"/>
    <w:rsid w:val="007E65E1"/>
    <w:rsid w:val="007E669D"/>
    <w:rsid w:val="007E672D"/>
    <w:rsid w:val="007E6738"/>
    <w:rsid w:val="007E6812"/>
    <w:rsid w:val="007E685D"/>
    <w:rsid w:val="007E685F"/>
    <w:rsid w:val="007E6A69"/>
    <w:rsid w:val="007E6B39"/>
    <w:rsid w:val="007E6D21"/>
    <w:rsid w:val="007E6D34"/>
    <w:rsid w:val="007E6D39"/>
    <w:rsid w:val="007E6D53"/>
    <w:rsid w:val="007E6D6F"/>
    <w:rsid w:val="007E6D8D"/>
    <w:rsid w:val="007E6E75"/>
    <w:rsid w:val="007E6F38"/>
    <w:rsid w:val="007E7121"/>
    <w:rsid w:val="007E7229"/>
    <w:rsid w:val="007E72A7"/>
    <w:rsid w:val="007E741C"/>
    <w:rsid w:val="007E7534"/>
    <w:rsid w:val="007E76A0"/>
    <w:rsid w:val="007E77BA"/>
    <w:rsid w:val="007E77D2"/>
    <w:rsid w:val="007E782C"/>
    <w:rsid w:val="007E78A9"/>
    <w:rsid w:val="007E78E8"/>
    <w:rsid w:val="007E7C13"/>
    <w:rsid w:val="007E7C46"/>
    <w:rsid w:val="007E7C74"/>
    <w:rsid w:val="007E7DBB"/>
    <w:rsid w:val="007F025A"/>
    <w:rsid w:val="007F0260"/>
    <w:rsid w:val="007F0343"/>
    <w:rsid w:val="007F0483"/>
    <w:rsid w:val="007F04E6"/>
    <w:rsid w:val="007F0531"/>
    <w:rsid w:val="007F056E"/>
    <w:rsid w:val="007F06A1"/>
    <w:rsid w:val="007F07B7"/>
    <w:rsid w:val="007F07F4"/>
    <w:rsid w:val="007F0BD2"/>
    <w:rsid w:val="007F0C70"/>
    <w:rsid w:val="007F0CCD"/>
    <w:rsid w:val="007F0CEB"/>
    <w:rsid w:val="007F0D9B"/>
    <w:rsid w:val="007F0DF2"/>
    <w:rsid w:val="007F1053"/>
    <w:rsid w:val="007F115A"/>
    <w:rsid w:val="007F1189"/>
    <w:rsid w:val="007F1266"/>
    <w:rsid w:val="007F1509"/>
    <w:rsid w:val="007F1613"/>
    <w:rsid w:val="007F162D"/>
    <w:rsid w:val="007F1B92"/>
    <w:rsid w:val="007F1BBE"/>
    <w:rsid w:val="007F1C1B"/>
    <w:rsid w:val="007F1C4D"/>
    <w:rsid w:val="007F1E23"/>
    <w:rsid w:val="007F2556"/>
    <w:rsid w:val="007F2584"/>
    <w:rsid w:val="007F25B5"/>
    <w:rsid w:val="007F2641"/>
    <w:rsid w:val="007F28C6"/>
    <w:rsid w:val="007F28E5"/>
    <w:rsid w:val="007F2B5D"/>
    <w:rsid w:val="007F2C16"/>
    <w:rsid w:val="007F2CC8"/>
    <w:rsid w:val="007F2E72"/>
    <w:rsid w:val="007F3181"/>
    <w:rsid w:val="007F319C"/>
    <w:rsid w:val="007F335C"/>
    <w:rsid w:val="007F348B"/>
    <w:rsid w:val="007F349E"/>
    <w:rsid w:val="007F353D"/>
    <w:rsid w:val="007F35A1"/>
    <w:rsid w:val="007F3727"/>
    <w:rsid w:val="007F37C1"/>
    <w:rsid w:val="007F3889"/>
    <w:rsid w:val="007F3913"/>
    <w:rsid w:val="007F39C7"/>
    <w:rsid w:val="007F3B4F"/>
    <w:rsid w:val="007F3F47"/>
    <w:rsid w:val="007F457D"/>
    <w:rsid w:val="007F4634"/>
    <w:rsid w:val="007F4683"/>
    <w:rsid w:val="007F4722"/>
    <w:rsid w:val="007F4799"/>
    <w:rsid w:val="007F4855"/>
    <w:rsid w:val="007F4A92"/>
    <w:rsid w:val="007F4CB6"/>
    <w:rsid w:val="007F4DDF"/>
    <w:rsid w:val="007F4F30"/>
    <w:rsid w:val="007F509F"/>
    <w:rsid w:val="007F5134"/>
    <w:rsid w:val="007F517F"/>
    <w:rsid w:val="007F5365"/>
    <w:rsid w:val="007F551D"/>
    <w:rsid w:val="007F5635"/>
    <w:rsid w:val="007F578A"/>
    <w:rsid w:val="007F5BC0"/>
    <w:rsid w:val="007F5C28"/>
    <w:rsid w:val="007F5C8E"/>
    <w:rsid w:val="007F5D4D"/>
    <w:rsid w:val="007F5DB3"/>
    <w:rsid w:val="007F5DD4"/>
    <w:rsid w:val="007F5FD2"/>
    <w:rsid w:val="007F5FE8"/>
    <w:rsid w:val="007F62F6"/>
    <w:rsid w:val="007F632F"/>
    <w:rsid w:val="007F6430"/>
    <w:rsid w:val="007F6458"/>
    <w:rsid w:val="007F6492"/>
    <w:rsid w:val="007F6669"/>
    <w:rsid w:val="007F66F5"/>
    <w:rsid w:val="007F68F6"/>
    <w:rsid w:val="007F6BF8"/>
    <w:rsid w:val="007F6E00"/>
    <w:rsid w:val="007F6EC4"/>
    <w:rsid w:val="007F6F94"/>
    <w:rsid w:val="007F6FCE"/>
    <w:rsid w:val="007F6FFA"/>
    <w:rsid w:val="007F7397"/>
    <w:rsid w:val="007F74B2"/>
    <w:rsid w:val="007F7614"/>
    <w:rsid w:val="007F786A"/>
    <w:rsid w:val="007F7871"/>
    <w:rsid w:val="007F78E5"/>
    <w:rsid w:val="007F79C9"/>
    <w:rsid w:val="007F79E9"/>
    <w:rsid w:val="007F7A6A"/>
    <w:rsid w:val="007F7B9F"/>
    <w:rsid w:val="007F7BBC"/>
    <w:rsid w:val="007F7BD9"/>
    <w:rsid w:val="007F7D25"/>
    <w:rsid w:val="007F7D5D"/>
    <w:rsid w:val="007F7E0E"/>
    <w:rsid w:val="00800181"/>
    <w:rsid w:val="008004CF"/>
    <w:rsid w:val="0080052B"/>
    <w:rsid w:val="008005E9"/>
    <w:rsid w:val="00800707"/>
    <w:rsid w:val="0080077F"/>
    <w:rsid w:val="008009B1"/>
    <w:rsid w:val="00800A7C"/>
    <w:rsid w:val="00800A8B"/>
    <w:rsid w:val="00800E15"/>
    <w:rsid w:val="00800E42"/>
    <w:rsid w:val="00801086"/>
    <w:rsid w:val="00801172"/>
    <w:rsid w:val="008012F7"/>
    <w:rsid w:val="00801467"/>
    <w:rsid w:val="00801646"/>
    <w:rsid w:val="0080168F"/>
    <w:rsid w:val="008016DE"/>
    <w:rsid w:val="00801730"/>
    <w:rsid w:val="00801749"/>
    <w:rsid w:val="00801766"/>
    <w:rsid w:val="0080177E"/>
    <w:rsid w:val="00801A89"/>
    <w:rsid w:val="00801B49"/>
    <w:rsid w:val="00801B50"/>
    <w:rsid w:val="00801BC5"/>
    <w:rsid w:val="00801E99"/>
    <w:rsid w:val="00801ECB"/>
    <w:rsid w:val="00801F27"/>
    <w:rsid w:val="00802027"/>
    <w:rsid w:val="00802033"/>
    <w:rsid w:val="008020BE"/>
    <w:rsid w:val="008020D6"/>
    <w:rsid w:val="0080217A"/>
    <w:rsid w:val="0080243C"/>
    <w:rsid w:val="0080250F"/>
    <w:rsid w:val="00802606"/>
    <w:rsid w:val="00802647"/>
    <w:rsid w:val="008026D5"/>
    <w:rsid w:val="0080276E"/>
    <w:rsid w:val="00802A56"/>
    <w:rsid w:val="00802AAE"/>
    <w:rsid w:val="00802D27"/>
    <w:rsid w:val="00802EE9"/>
    <w:rsid w:val="00802F09"/>
    <w:rsid w:val="00802F7B"/>
    <w:rsid w:val="00803005"/>
    <w:rsid w:val="00803012"/>
    <w:rsid w:val="0080307B"/>
    <w:rsid w:val="008030AA"/>
    <w:rsid w:val="00803163"/>
    <w:rsid w:val="008031D9"/>
    <w:rsid w:val="008032FB"/>
    <w:rsid w:val="0080361E"/>
    <w:rsid w:val="0080366F"/>
    <w:rsid w:val="008036E0"/>
    <w:rsid w:val="00803794"/>
    <w:rsid w:val="008037E9"/>
    <w:rsid w:val="008037FC"/>
    <w:rsid w:val="00803A36"/>
    <w:rsid w:val="00803AFF"/>
    <w:rsid w:val="00803E1C"/>
    <w:rsid w:val="00803EE4"/>
    <w:rsid w:val="00803F58"/>
    <w:rsid w:val="00803F5A"/>
    <w:rsid w:val="0080438A"/>
    <w:rsid w:val="008043D7"/>
    <w:rsid w:val="00804473"/>
    <w:rsid w:val="008045BD"/>
    <w:rsid w:val="0080474B"/>
    <w:rsid w:val="008047E9"/>
    <w:rsid w:val="00804924"/>
    <w:rsid w:val="008049CC"/>
    <w:rsid w:val="00804BA9"/>
    <w:rsid w:val="00804C77"/>
    <w:rsid w:val="00804FD4"/>
    <w:rsid w:val="00804FDA"/>
    <w:rsid w:val="00805011"/>
    <w:rsid w:val="008051F5"/>
    <w:rsid w:val="0080533F"/>
    <w:rsid w:val="00805446"/>
    <w:rsid w:val="00805648"/>
    <w:rsid w:val="0080566C"/>
    <w:rsid w:val="00805835"/>
    <w:rsid w:val="00805863"/>
    <w:rsid w:val="008058D0"/>
    <w:rsid w:val="00805981"/>
    <w:rsid w:val="00805A13"/>
    <w:rsid w:val="00805A48"/>
    <w:rsid w:val="00805A69"/>
    <w:rsid w:val="00805B89"/>
    <w:rsid w:val="00805BA5"/>
    <w:rsid w:val="00805C97"/>
    <w:rsid w:val="00805E41"/>
    <w:rsid w:val="00805FDB"/>
    <w:rsid w:val="0080603B"/>
    <w:rsid w:val="008061BA"/>
    <w:rsid w:val="00806231"/>
    <w:rsid w:val="0080624C"/>
    <w:rsid w:val="008062B9"/>
    <w:rsid w:val="0080638F"/>
    <w:rsid w:val="00806431"/>
    <w:rsid w:val="00806642"/>
    <w:rsid w:val="008066F8"/>
    <w:rsid w:val="0080697E"/>
    <w:rsid w:val="00806C0E"/>
    <w:rsid w:val="00806DCD"/>
    <w:rsid w:val="00806ED1"/>
    <w:rsid w:val="008070D5"/>
    <w:rsid w:val="0080712C"/>
    <w:rsid w:val="00807144"/>
    <w:rsid w:val="00807369"/>
    <w:rsid w:val="008073AB"/>
    <w:rsid w:val="00807450"/>
    <w:rsid w:val="00807545"/>
    <w:rsid w:val="008075D3"/>
    <w:rsid w:val="0080765B"/>
    <w:rsid w:val="008076E6"/>
    <w:rsid w:val="008077C8"/>
    <w:rsid w:val="008079AF"/>
    <w:rsid w:val="008079F4"/>
    <w:rsid w:val="00807AF7"/>
    <w:rsid w:val="00807B33"/>
    <w:rsid w:val="00807B7F"/>
    <w:rsid w:val="00807CE3"/>
    <w:rsid w:val="00807D4C"/>
    <w:rsid w:val="00807DE3"/>
    <w:rsid w:val="00807F24"/>
    <w:rsid w:val="008100CB"/>
    <w:rsid w:val="008102AD"/>
    <w:rsid w:val="0081039E"/>
    <w:rsid w:val="008104D0"/>
    <w:rsid w:val="00810755"/>
    <w:rsid w:val="008107C1"/>
    <w:rsid w:val="0081080D"/>
    <w:rsid w:val="00810886"/>
    <w:rsid w:val="008109F3"/>
    <w:rsid w:val="00810D21"/>
    <w:rsid w:val="00810DE1"/>
    <w:rsid w:val="00810E58"/>
    <w:rsid w:val="00810EB6"/>
    <w:rsid w:val="00811107"/>
    <w:rsid w:val="0081126A"/>
    <w:rsid w:val="008116B5"/>
    <w:rsid w:val="008117E1"/>
    <w:rsid w:val="00811EFB"/>
    <w:rsid w:val="0081224E"/>
    <w:rsid w:val="00812253"/>
    <w:rsid w:val="00812301"/>
    <w:rsid w:val="0081236A"/>
    <w:rsid w:val="008123AA"/>
    <w:rsid w:val="008124B2"/>
    <w:rsid w:val="00812650"/>
    <w:rsid w:val="008126B6"/>
    <w:rsid w:val="00812758"/>
    <w:rsid w:val="008127C4"/>
    <w:rsid w:val="008127F1"/>
    <w:rsid w:val="00812842"/>
    <w:rsid w:val="00812934"/>
    <w:rsid w:val="00812A05"/>
    <w:rsid w:val="00812AD8"/>
    <w:rsid w:val="00812B7B"/>
    <w:rsid w:val="00812BCF"/>
    <w:rsid w:val="00812CDE"/>
    <w:rsid w:val="00812FB3"/>
    <w:rsid w:val="008130F7"/>
    <w:rsid w:val="00813115"/>
    <w:rsid w:val="008132DF"/>
    <w:rsid w:val="00813387"/>
    <w:rsid w:val="00813488"/>
    <w:rsid w:val="008134A2"/>
    <w:rsid w:val="00813707"/>
    <w:rsid w:val="00813821"/>
    <w:rsid w:val="00813A99"/>
    <w:rsid w:val="00813B74"/>
    <w:rsid w:val="00813C7E"/>
    <w:rsid w:val="00813E05"/>
    <w:rsid w:val="00813EA6"/>
    <w:rsid w:val="00813FC1"/>
    <w:rsid w:val="00814032"/>
    <w:rsid w:val="008141A4"/>
    <w:rsid w:val="0081429F"/>
    <w:rsid w:val="0081455F"/>
    <w:rsid w:val="008147B8"/>
    <w:rsid w:val="008148C8"/>
    <w:rsid w:val="008149D9"/>
    <w:rsid w:val="00814A6F"/>
    <w:rsid w:val="00814C42"/>
    <w:rsid w:val="00814EED"/>
    <w:rsid w:val="00814F06"/>
    <w:rsid w:val="00814F4A"/>
    <w:rsid w:val="00814F91"/>
    <w:rsid w:val="008151A2"/>
    <w:rsid w:val="008151FE"/>
    <w:rsid w:val="008152C7"/>
    <w:rsid w:val="008153DF"/>
    <w:rsid w:val="0081540A"/>
    <w:rsid w:val="0081551F"/>
    <w:rsid w:val="00815790"/>
    <w:rsid w:val="008157CE"/>
    <w:rsid w:val="008157DA"/>
    <w:rsid w:val="00815855"/>
    <w:rsid w:val="00815924"/>
    <w:rsid w:val="00815A02"/>
    <w:rsid w:val="00815B1F"/>
    <w:rsid w:val="00815B40"/>
    <w:rsid w:val="00815DE0"/>
    <w:rsid w:val="00815E6A"/>
    <w:rsid w:val="008160DE"/>
    <w:rsid w:val="008161A4"/>
    <w:rsid w:val="008162BA"/>
    <w:rsid w:val="0081634A"/>
    <w:rsid w:val="0081634D"/>
    <w:rsid w:val="0081651E"/>
    <w:rsid w:val="00816542"/>
    <w:rsid w:val="00816683"/>
    <w:rsid w:val="00816720"/>
    <w:rsid w:val="00816738"/>
    <w:rsid w:val="008168B1"/>
    <w:rsid w:val="00816AF9"/>
    <w:rsid w:val="00816FD8"/>
    <w:rsid w:val="00816FE9"/>
    <w:rsid w:val="008171C3"/>
    <w:rsid w:val="008172B7"/>
    <w:rsid w:val="00817367"/>
    <w:rsid w:val="008173E1"/>
    <w:rsid w:val="0081743C"/>
    <w:rsid w:val="00817443"/>
    <w:rsid w:val="008175F7"/>
    <w:rsid w:val="00817611"/>
    <w:rsid w:val="00817699"/>
    <w:rsid w:val="00817756"/>
    <w:rsid w:val="00817761"/>
    <w:rsid w:val="00817799"/>
    <w:rsid w:val="008178C5"/>
    <w:rsid w:val="00817909"/>
    <w:rsid w:val="00817AB3"/>
    <w:rsid w:val="00817B85"/>
    <w:rsid w:val="00817CE4"/>
    <w:rsid w:val="00817D8F"/>
    <w:rsid w:val="0082001E"/>
    <w:rsid w:val="008201A3"/>
    <w:rsid w:val="008201F7"/>
    <w:rsid w:val="00820272"/>
    <w:rsid w:val="008202E8"/>
    <w:rsid w:val="00820645"/>
    <w:rsid w:val="00820659"/>
    <w:rsid w:val="0082069E"/>
    <w:rsid w:val="00820864"/>
    <w:rsid w:val="0082089B"/>
    <w:rsid w:val="008208FD"/>
    <w:rsid w:val="008209D4"/>
    <w:rsid w:val="00820C66"/>
    <w:rsid w:val="00820CD2"/>
    <w:rsid w:val="00820D12"/>
    <w:rsid w:val="00820E61"/>
    <w:rsid w:val="00820E6F"/>
    <w:rsid w:val="0082107A"/>
    <w:rsid w:val="00821339"/>
    <w:rsid w:val="0082135F"/>
    <w:rsid w:val="00821606"/>
    <w:rsid w:val="0082165C"/>
    <w:rsid w:val="00821665"/>
    <w:rsid w:val="008217FA"/>
    <w:rsid w:val="0082185F"/>
    <w:rsid w:val="008218A1"/>
    <w:rsid w:val="00821998"/>
    <w:rsid w:val="00821AED"/>
    <w:rsid w:val="00821B3A"/>
    <w:rsid w:val="00821C9F"/>
    <w:rsid w:val="00821CE9"/>
    <w:rsid w:val="00821D0C"/>
    <w:rsid w:val="00821DAA"/>
    <w:rsid w:val="008224E4"/>
    <w:rsid w:val="00822577"/>
    <w:rsid w:val="00822769"/>
    <w:rsid w:val="00822892"/>
    <w:rsid w:val="00822A36"/>
    <w:rsid w:val="00822A54"/>
    <w:rsid w:val="00822B81"/>
    <w:rsid w:val="00822BA7"/>
    <w:rsid w:val="00822C25"/>
    <w:rsid w:val="00822C42"/>
    <w:rsid w:val="00822D3C"/>
    <w:rsid w:val="00822E45"/>
    <w:rsid w:val="00822EED"/>
    <w:rsid w:val="00822EFD"/>
    <w:rsid w:val="00822F9E"/>
    <w:rsid w:val="008233B4"/>
    <w:rsid w:val="008234A6"/>
    <w:rsid w:val="008237B4"/>
    <w:rsid w:val="0082388F"/>
    <w:rsid w:val="00823A90"/>
    <w:rsid w:val="00823B2E"/>
    <w:rsid w:val="00823BFD"/>
    <w:rsid w:val="00823C0C"/>
    <w:rsid w:val="00823E4B"/>
    <w:rsid w:val="00824064"/>
    <w:rsid w:val="0082431B"/>
    <w:rsid w:val="008243A4"/>
    <w:rsid w:val="00824447"/>
    <w:rsid w:val="00824488"/>
    <w:rsid w:val="008246A6"/>
    <w:rsid w:val="008246FB"/>
    <w:rsid w:val="00824702"/>
    <w:rsid w:val="008247CB"/>
    <w:rsid w:val="00824879"/>
    <w:rsid w:val="0082491F"/>
    <w:rsid w:val="00824966"/>
    <w:rsid w:val="00824AD8"/>
    <w:rsid w:val="00824AFA"/>
    <w:rsid w:val="00824BEB"/>
    <w:rsid w:val="00824BEE"/>
    <w:rsid w:val="00824CAC"/>
    <w:rsid w:val="00824D75"/>
    <w:rsid w:val="00824E07"/>
    <w:rsid w:val="0082508A"/>
    <w:rsid w:val="0082522A"/>
    <w:rsid w:val="0082526F"/>
    <w:rsid w:val="00825308"/>
    <w:rsid w:val="00825374"/>
    <w:rsid w:val="008253FB"/>
    <w:rsid w:val="008255B9"/>
    <w:rsid w:val="00825947"/>
    <w:rsid w:val="0082595A"/>
    <w:rsid w:val="00825D97"/>
    <w:rsid w:val="00825FA1"/>
    <w:rsid w:val="00825FCF"/>
    <w:rsid w:val="0082626A"/>
    <w:rsid w:val="0082631F"/>
    <w:rsid w:val="00826489"/>
    <w:rsid w:val="008265C3"/>
    <w:rsid w:val="0082662F"/>
    <w:rsid w:val="00826722"/>
    <w:rsid w:val="00826724"/>
    <w:rsid w:val="008269A0"/>
    <w:rsid w:val="00826B24"/>
    <w:rsid w:val="00826C9E"/>
    <w:rsid w:val="00826CA6"/>
    <w:rsid w:val="00826DBF"/>
    <w:rsid w:val="00826DEB"/>
    <w:rsid w:val="00826E07"/>
    <w:rsid w:val="00826EF3"/>
    <w:rsid w:val="00826F43"/>
    <w:rsid w:val="00826FED"/>
    <w:rsid w:val="00827058"/>
    <w:rsid w:val="008270BE"/>
    <w:rsid w:val="008272D7"/>
    <w:rsid w:val="00827457"/>
    <w:rsid w:val="00827521"/>
    <w:rsid w:val="008277F0"/>
    <w:rsid w:val="008278D7"/>
    <w:rsid w:val="008279AE"/>
    <w:rsid w:val="00827FD3"/>
    <w:rsid w:val="00830124"/>
    <w:rsid w:val="0083014F"/>
    <w:rsid w:val="00830174"/>
    <w:rsid w:val="00830262"/>
    <w:rsid w:val="0083038C"/>
    <w:rsid w:val="0083040D"/>
    <w:rsid w:val="00830440"/>
    <w:rsid w:val="008304BA"/>
    <w:rsid w:val="008304C0"/>
    <w:rsid w:val="008306D2"/>
    <w:rsid w:val="0083095B"/>
    <w:rsid w:val="00830D84"/>
    <w:rsid w:val="00831080"/>
    <w:rsid w:val="00831225"/>
    <w:rsid w:val="008312E6"/>
    <w:rsid w:val="00831449"/>
    <w:rsid w:val="008316C9"/>
    <w:rsid w:val="008317D8"/>
    <w:rsid w:val="00831907"/>
    <w:rsid w:val="00831952"/>
    <w:rsid w:val="00831A75"/>
    <w:rsid w:val="00831AD7"/>
    <w:rsid w:val="00831BB2"/>
    <w:rsid w:val="00831C7D"/>
    <w:rsid w:val="00831DD3"/>
    <w:rsid w:val="00832046"/>
    <w:rsid w:val="0083208E"/>
    <w:rsid w:val="0083211A"/>
    <w:rsid w:val="00832176"/>
    <w:rsid w:val="00832216"/>
    <w:rsid w:val="00832243"/>
    <w:rsid w:val="0083235D"/>
    <w:rsid w:val="008323A4"/>
    <w:rsid w:val="008324BD"/>
    <w:rsid w:val="00832504"/>
    <w:rsid w:val="008326E0"/>
    <w:rsid w:val="00832718"/>
    <w:rsid w:val="00832866"/>
    <w:rsid w:val="008328BA"/>
    <w:rsid w:val="00832967"/>
    <w:rsid w:val="008329F7"/>
    <w:rsid w:val="00832A45"/>
    <w:rsid w:val="00832BB7"/>
    <w:rsid w:val="00832F15"/>
    <w:rsid w:val="00832F3C"/>
    <w:rsid w:val="00832F89"/>
    <w:rsid w:val="0083306E"/>
    <w:rsid w:val="00833129"/>
    <w:rsid w:val="00833199"/>
    <w:rsid w:val="00833255"/>
    <w:rsid w:val="00833259"/>
    <w:rsid w:val="008333DF"/>
    <w:rsid w:val="008338F4"/>
    <w:rsid w:val="0083394B"/>
    <w:rsid w:val="00833A4F"/>
    <w:rsid w:val="00833B08"/>
    <w:rsid w:val="00833D6C"/>
    <w:rsid w:val="00833F38"/>
    <w:rsid w:val="00834098"/>
    <w:rsid w:val="00834131"/>
    <w:rsid w:val="008341D1"/>
    <w:rsid w:val="00834524"/>
    <w:rsid w:val="008345F5"/>
    <w:rsid w:val="00834ABE"/>
    <w:rsid w:val="00834BCB"/>
    <w:rsid w:val="00834BE0"/>
    <w:rsid w:val="00834C07"/>
    <w:rsid w:val="00834C3E"/>
    <w:rsid w:val="00834CC9"/>
    <w:rsid w:val="00834D7E"/>
    <w:rsid w:val="00834FD8"/>
    <w:rsid w:val="00835002"/>
    <w:rsid w:val="008352A8"/>
    <w:rsid w:val="00835337"/>
    <w:rsid w:val="008354F1"/>
    <w:rsid w:val="00835691"/>
    <w:rsid w:val="008356E0"/>
    <w:rsid w:val="00835746"/>
    <w:rsid w:val="008358EC"/>
    <w:rsid w:val="0083597F"/>
    <w:rsid w:val="00835C2D"/>
    <w:rsid w:val="00835CD2"/>
    <w:rsid w:val="00835CD9"/>
    <w:rsid w:val="00835D47"/>
    <w:rsid w:val="00835E47"/>
    <w:rsid w:val="00835EB9"/>
    <w:rsid w:val="00835F13"/>
    <w:rsid w:val="008360A0"/>
    <w:rsid w:val="008360D2"/>
    <w:rsid w:val="008362CF"/>
    <w:rsid w:val="0083639A"/>
    <w:rsid w:val="008363CA"/>
    <w:rsid w:val="008364BF"/>
    <w:rsid w:val="008364EF"/>
    <w:rsid w:val="0083657F"/>
    <w:rsid w:val="0083660B"/>
    <w:rsid w:val="00836655"/>
    <w:rsid w:val="008366A6"/>
    <w:rsid w:val="00836740"/>
    <w:rsid w:val="008367A2"/>
    <w:rsid w:val="00836803"/>
    <w:rsid w:val="0083687A"/>
    <w:rsid w:val="008368DA"/>
    <w:rsid w:val="00836B52"/>
    <w:rsid w:val="00836BAC"/>
    <w:rsid w:val="00836DBF"/>
    <w:rsid w:val="0083762F"/>
    <w:rsid w:val="0083768B"/>
    <w:rsid w:val="008376AE"/>
    <w:rsid w:val="00837755"/>
    <w:rsid w:val="0083779B"/>
    <w:rsid w:val="00837B9A"/>
    <w:rsid w:val="00837CF1"/>
    <w:rsid w:val="00837D6D"/>
    <w:rsid w:val="00837E67"/>
    <w:rsid w:val="00837E8B"/>
    <w:rsid w:val="00837EF1"/>
    <w:rsid w:val="0084000C"/>
    <w:rsid w:val="00840082"/>
    <w:rsid w:val="0084011B"/>
    <w:rsid w:val="00840144"/>
    <w:rsid w:val="00840247"/>
    <w:rsid w:val="00840277"/>
    <w:rsid w:val="008402A1"/>
    <w:rsid w:val="008402BE"/>
    <w:rsid w:val="0084032A"/>
    <w:rsid w:val="00840338"/>
    <w:rsid w:val="00840580"/>
    <w:rsid w:val="0084064E"/>
    <w:rsid w:val="00840927"/>
    <w:rsid w:val="00840A20"/>
    <w:rsid w:val="00840A8A"/>
    <w:rsid w:val="00840B8D"/>
    <w:rsid w:val="00840BC4"/>
    <w:rsid w:val="00840D19"/>
    <w:rsid w:val="00840DED"/>
    <w:rsid w:val="00840F06"/>
    <w:rsid w:val="00841043"/>
    <w:rsid w:val="008414DB"/>
    <w:rsid w:val="008415E4"/>
    <w:rsid w:val="008415F6"/>
    <w:rsid w:val="00841631"/>
    <w:rsid w:val="0084178B"/>
    <w:rsid w:val="008417D3"/>
    <w:rsid w:val="00841812"/>
    <w:rsid w:val="008418C7"/>
    <w:rsid w:val="00841965"/>
    <w:rsid w:val="008419B8"/>
    <w:rsid w:val="008419F6"/>
    <w:rsid w:val="008419FF"/>
    <w:rsid w:val="00841ACE"/>
    <w:rsid w:val="00841B61"/>
    <w:rsid w:val="00841CFF"/>
    <w:rsid w:val="00841D25"/>
    <w:rsid w:val="00841DF1"/>
    <w:rsid w:val="00841DF2"/>
    <w:rsid w:val="00841F8C"/>
    <w:rsid w:val="0084201C"/>
    <w:rsid w:val="00842035"/>
    <w:rsid w:val="008420CF"/>
    <w:rsid w:val="00842160"/>
    <w:rsid w:val="00842355"/>
    <w:rsid w:val="00842370"/>
    <w:rsid w:val="008423B7"/>
    <w:rsid w:val="008424F0"/>
    <w:rsid w:val="0084269E"/>
    <w:rsid w:val="008426A1"/>
    <w:rsid w:val="008427B3"/>
    <w:rsid w:val="00842832"/>
    <w:rsid w:val="00842AB4"/>
    <w:rsid w:val="00842AF8"/>
    <w:rsid w:val="00842BE4"/>
    <w:rsid w:val="00842D2E"/>
    <w:rsid w:val="00842E5F"/>
    <w:rsid w:val="00842EF1"/>
    <w:rsid w:val="00842FA2"/>
    <w:rsid w:val="00843130"/>
    <w:rsid w:val="008432E7"/>
    <w:rsid w:val="008436D9"/>
    <w:rsid w:val="0084373A"/>
    <w:rsid w:val="008437BC"/>
    <w:rsid w:val="00843BB2"/>
    <w:rsid w:val="00843DE8"/>
    <w:rsid w:val="00843F95"/>
    <w:rsid w:val="00844043"/>
    <w:rsid w:val="00844140"/>
    <w:rsid w:val="00844373"/>
    <w:rsid w:val="0084445E"/>
    <w:rsid w:val="0084449B"/>
    <w:rsid w:val="008444F3"/>
    <w:rsid w:val="00844562"/>
    <w:rsid w:val="00844643"/>
    <w:rsid w:val="008449E1"/>
    <w:rsid w:val="008449FE"/>
    <w:rsid w:val="00844AB0"/>
    <w:rsid w:val="00844BEF"/>
    <w:rsid w:val="00844BFF"/>
    <w:rsid w:val="00844EE1"/>
    <w:rsid w:val="00844F07"/>
    <w:rsid w:val="00844F10"/>
    <w:rsid w:val="00845266"/>
    <w:rsid w:val="008452FB"/>
    <w:rsid w:val="008453B9"/>
    <w:rsid w:val="0084563D"/>
    <w:rsid w:val="0084568D"/>
    <w:rsid w:val="008456AD"/>
    <w:rsid w:val="0084572E"/>
    <w:rsid w:val="00845764"/>
    <w:rsid w:val="00845821"/>
    <w:rsid w:val="00845854"/>
    <w:rsid w:val="00845861"/>
    <w:rsid w:val="008459F4"/>
    <w:rsid w:val="00845AC3"/>
    <w:rsid w:val="00845B70"/>
    <w:rsid w:val="00845D36"/>
    <w:rsid w:val="00845D7D"/>
    <w:rsid w:val="008460AB"/>
    <w:rsid w:val="0084615F"/>
    <w:rsid w:val="008462AE"/>
    <w:rsid w:val="00846470"/>
    <w:rsid w:val="008468C5"/>
    <w:rsid w:val="0084691F"/>
    <w:rsid w:val="00846A7B"/>
    <w:rsid w:val="00846BA8"/>
    <w:rsid w:val="00846BAD"/>
    <w:rsid w:val="00846C8E"/>
    <w:rsid w:val="00846CAD"/>
    <w:rsid w:val="00846FBD"/>
    <w:rsid w:val="008471F2"/>
    <w:rsid w:val="00847360"/>
    <w:rsid w:val="00847419"/>
    <w:rsid w:val="008474C0"/>
    <w:rsid w:val="0084778E"/>
    <w:rsid w:val="00847804"/>
    <w:rsid w:val="00847AA5"/>
    <w:rsid w:val="00847B90"/>
    <w:rsid w:val="00847DD7"/>
    <w:rsid w:val="00847E1E"/>
    <w:rsid w:val="00847F86"/>
    <w:rsid w:val="00847FDE"/>
    <w:rsid w:val="008501F1"/>
    <w:rsid w:val="008501FB"/>
    <w:rsid w:val="0085022C"/>
    <w:rsid w:val="0085033A"/>
    <w:rsid w:val="0085035F"/>
    <w:rsid w:val="00850407"/>
    <w:rsid w:val="00850820"/>
    <w:rsid w:val="00850831"/>
    <w:rsid w:val="00850A29"/>
    <w:rsid w:val="00850A95"/>
    <w:rsid w:val="00850AE0"/>
    <w:rsid w:val="00850B19"/>
    <w:rsid w:val="00850B54"/>
    <w:rsid w:val="008512B7"/>
    <w:rsid w:val="00851339"/>
    <w:rsid w:val="0085136A"/>
    <w:rsid w:val="0085149B"/>
    <w:rsid w:val="0085153F"/>
    <w:rsid w:val="0085169F"/>
    <w:rsid w:val="00851C07"/>
    <w:rsid w:val="00851C9D"/>
    <w:rsid w:val="00851F0D"/>
    <w:rsid w:val="00851F8B"/>
    <w:rsid w:val="00851FF3"/>
    <w:rsid w:val="008521C3"/>
    <w:rsid w:val="008522C5"/>
    <w:rsid w:val="008522EA"/>
    <w:rsid w:val="00852316"/>
    <w:rsid w:val="008526CE"/>
    <w:rsid w:val="008527CF"/>
    <w:rsid w:val="008529B6"/>
    <w:rsid w:val="00852C3A"/>
    <w:rsid w:val="00852D56"/>
    <w:rsid w:val="00852DE1"/>
    <w:rsid w:val="00852F3C"/>
    <w:rsid w:val="00852F41"/>
    <w:rsid w:val="00852F55"/>
    <w:rsid w:val="00853021"/>
    <w:rsid w:val="00853164"/>
    <w:rsid w:val="008531C1"/>
    <w:rsid w:val="00853210"/>
    <w:rsid w:val="0085334D"/>
    <w:rsid w:val="00853392"/>
    <w:rsid w:val="00853432"/>
    <w:rsid w:val="0085360A"/>
    <w:rsid w:val="00853635"/>
    <w:rsid w:val="008536FC"/>
    <w:rsid w:val="00853753"/>
    <w:rsid w:val="00853903"/>
    <w:rsid w:val="00853A74"/>
    <w:rsid w:val="00853BF3"/>
    <w:rsid w:val="00853CB9"/>
    <w:rsid w:val="00853D1F"/>
    <w:rsid w:val="00853DE8"/>
    <w:rsid w:val="00853F1D"/>
    <w:rsid w:val="00854494"/>
    <w:rsid w:val="008545A0"/>
    <w:rsid w:val="008545CA"/>
    <w:rsid w:val="00854647"/>
    <w:rsid w:val="008548A4"/>
    <w:rsid w:val="00854977"/>
    <w:rsid w:val="00854BA5"/>
    <w:rsid w:val="00854CA5"/>
    <w:rsid w:val="00854E47"/>
    <w:rsid w:val="00854FDA"/>
    <w:rsid w:val="008550D6"/>
    <w:rsid w:val="008551CD"/>
    <w:rsid w:val="008552E3"/>
    <w:rsid w:val="008554C2"/>
    <w:rsid w:val="008558D6"/>
    <w:rsid w:val="00855906"/>
    <w:rsid w:val="008559BA"/>
    <w:rsid w:val="00855A98"/>
    <w:rsid w:val="00855C2A"/>
    <w:rsid w:val="00855CB6"/>
    <w:rsid w:val="00855D03"/>
    <w:rsid w:val="00855E1F"/>
    <w:rsid w:val="00856001"/>
    <w:rsid w:val="00856046"/>
    <w:rsid w:val="00856208"/>
    <w:rsid w:val="0085622E"/>
    <w:rsid w:val="008562AF"/>
    <w:rsid w:val="0085631C"/>
    <w:rsid w:val="00856351"/>
    <w:rsid w:val="008563D4"/>
    <w:rsid w:val="00856471"/>
    <w:rsid w:val="008564A3"/>
    <w:rsid w:val="00856765"/>
    <w:rsid w:val="0085677D"/>
    <w:rsid w:val="0085695F"/>
    <w:rsid w:val="0085696E"/>
    <w:rsid w:val="00856B24"/>
    <w:rsid w:val="00856C5E"/>
    <w:rsid w:val="00856EA7"/>
    <w:rsid w:val="008570C3"/>
    <w:rsid w:val="00857209"/>
    <w:rsid w:val="0085743D"/>
    <w:rsid w:val="008574AB"/>
    <w:rsid w:val="008575BB"/>
    <w:rsid w:val="0085783A"/>
    <w:rsid w:val="008578C4"/>
    <w:rsid w:val="008578F8"/>
    <w:rsid w:val="008578FD"/>
    <w:rsid w:val="00857D71"/>
    <w:rsid w:val="00857DF3"/>
    <w:rsid w:val="00857EA7"/>
    <w:rsid w:val="008601B8"/>
    <w:rsid w:val="00860461"/>
    <w:rsid w:val="008604C7"/>
    <w:rsid w:val="00860574"/>
    <w:rsid w:val="00860690"/>
    <w:rsid w:val="00860C44"/>
    <w:rsid w:val="00860DC6"/>
    <w:rsid w:val="00860DD8"/>
    <w:rsid w:val="00861108"/>
    <w:rsid w:val="00861241"/>
    <w:rsid w:val="008615D4"/>
    <w:rsid w:val="0086166A"/>
    <w:rsid w:val="0086166E"/>
    <w:rsid w:val="00861699"/>
    <w:rsid w:val="008616CC"/>
    <w:rsid w:val="00861724"/>
    <w:rsid w:val="0086191E"/>
    <w:rsid w:val="00861BCD"/>
    <w:rsid w:val="00861DBA"/>
    <w:rsid w:val="00861FBF"/>
    <w:rsid w:val="00862143"/>
    <w:rsid w:val="008624DE"/>
    <w:rsid w:val="0086252B"/>
    <w:rsid w:val="008625BC"/>
    <w:rsid w:val="00862944"/>
    <w:rsid w:val="00862961"/>
    <w:rsid w:val="0086297E"/>
    <w:rsid w:val="00862A18"/>
    <w:rsid w:val="00862B3D"/>
    <w:rsid w:val="00862CFE"/>
    <w:rsid w:val="00862E6E"/>
    <w:rsid w:val="00862EB2"/>
    <w:rsid w:val="00862EF9"/>
    <w:rsid w:val="00863117"/>
    <w:rsid w:val="008632EC"/>
    <w:rsid w:val="008632F7"/>
    <w:rsid w:val="0086349B"/>
    <w:rsid w:val="0086357F"/>
    <w:rsid w:val="008638F0"/>
    <w:rsid w:val="00863939"/>
    <w:rsid w:val="00863A1A"/>
    <w:rsid w:val="00863A36"/>
    <w:rsid w:val="00863E7E"/>
    <w:rsid w:val="00864052"/>
    <w:rsid w:val="0086418D"/>
    <w:rsid w:val="008641A7"/>
    <w:rsid w:val="008643E7"/>
    <w:rsid w:val="008644C1"/>
    <w:rsid w:val="008644E1"/>
    <w:rsid w:val="00864689"/>
    <w:rsid w:val="008646AD"/>
    <w:rsid w:val="008646F6"/>
    <w:rsid w:val="008647D8"/>
    <w:rsid w:val="0086480F"/>
    <w:rsid w:val="00864831"/>
    <w:rsid w:val="00864855"/>
    <w:rsid w:val="00864C57"/>
    <w:rsid w:val="00864CA5"/>
    <w:rsid w:val="00865117"/>
    <w:rsid w:val="00865145"/>
    <w:rsid w:val="00865272"/>
    <w:rsid w:val="00865379"/>
    <w:rsid w:val="008656EB"/>
    <w:rsid w:val="008657B9"/>
    <w:rsid w:val="00865A23"/>
    <w:rsid w:val="00865BBE"/>
    <w:rsid w:val="00865BEC"/>
    <w:rsid w:val="00865C53"/>
    <w:rsid w:val="008661AA"/>
    <w:rsid w:val="008661E1"/>
    <w:rsid w:val="00866257"/>
    <w:rsid w:val="008662E3"/>
    <w:rsid w:val="00866313"/>
    <w:rsid w:val="008663C0"/>
    <w:rsid w:val="00866464"/>
    <w:rsid w:val="008664D4"/>
    <w:rsid w:val="008665AA"/>
    <w:rsid w:val="008666FA"/>
    <w:rsid w:val="008666FE"/>
    <w:rsid w:val="0086684C"/>
    <w:rsid w:val="00866A93"/>
    <w:rsid w:val="00866B11"/>
    <w:rsid w:val="00866BFA"/>
    <w:rsid w:val="00866C29"/>
    <w:rsid w:val="00866C39"/>
    <w:rsid w:val="00866CDC"/>
    <w:rsid w:val="00866D3E"/>
    <w:rsid w:val="00866DE4"/>
    <w:rsid w:val="00866F65"/>
    <w:rsid w:val="008672AD"/>
    <w:rsid w:val="00867595"/>
    <w:rsid w:val="00867653"/>
    <w:rsid w:val="00867670"/>
    <w:rsid w:val="00867748"/>
    <w:rsid w:val="00867828"/>
    <w:rsid w:val="00867975"/>
    <w:rsid w:val="008679F8"/>
    <w:rsid w:val="00867A3A"/>
    <w:rsid w:val="00867A42"/>
    <w:rsid w:val="00867B79"/>
    <w:rsid w:val="00867BB6"/>
    <w:rsid w:val="00867DE9"/>
    <w:rsid w:val="0087002A"/>
    <w:rsid w:val="00870308"/>
    <w:rsid w:val="00870476"/>
    <w:rsid w:val="008704BA"/>
    <w:rsid w:val="0087050A"/>
    <w:rsid w:val="00870544"/>
    <w:rsid w:val="00870675"/>
    <w:rsid w:val="008707A7"/>
    <w:rsid w:val="00870989"/>
    <w:rsid w:val="00870AF7"/>
    <w:rsid w:val="00870B29"/>
    <w:rsid w:val="00870BC1"/>
    <w:rsid w:val="00870C1C"/>
    <w:rsid w:val="00870D57"/>
    <w:rsid w:val="00870E9A"/>
    <w:rsid w:val="00870EDE"/>
    <w:rsid w:val="00870F4E"/>
    <w:rsid w:val="0087109B"/>
    <w:rsid w:val="0087111C"/>
    <w:rsid w:val="00871430"/>
    <w:rsid w:val="008714E8"/>
    <w:rsid w:val="00871521"/>
    <w:rsid w:val="00871648"/>
    <w:rsid w:val="008717DF"/>
    <w:rsid w:val="008719BF"/>
    <w:rsid w:val="00871ACB"/>
    <w:rsid w:val="00871B5D"/>
    <w:rsid w:val="00871B64"/>
    <w:rsid w:val="00871BA7"/>
    <w:rsid w:val="00871C28"/>
    <w:rsid w:val="00871C7B"/>
    <w:rsid w:val="00871D4C"/>
    <w:rsid w:val="00871D82"/>
    <w:rsid w:val="00871DAB"/>
    <w:rsid w:val="00871F36"/>
    <w:rsid w:val="00871FA5"/>
    <w:rsid w:val="00872259"/>
    <w:rsid w:val="00872400"/>
    <w:rsid w:val="00872404"/>
    <w:rsid w:val="0087243C"/>
    <w:rsid w:val="00872444"/>
    <w:rsid w:val="0087254F"/>
    <w:rsid w:val="00872C8D"/>
    <w:rsid w:val="00872E00"/>
    <w:rsid w:val="00872E58"/>
    <w:rsid w:val="00872EEC"/>
    <w:rsid w:val="00872EF1"/>
    <w:rsid w:val="00872F60"/>
    <w:rsid w:val="008730BC"/>
    <w:rsid w:val="0087324E"/>
    <w:rsid w:val="0087324F"/>
    <w:rsid w:val="0087339B"/>
    <w:rsid w:val="008733AA"/>
    <w:rsid w:val="00873408"/>
    <w:rsid w:val="00873437"/>
    <w:rsid w:val="0087349B"/>
    <w:rsid w:val="008734B0"/>
    <w:rsid w:val="008734EA"/>
    <w:rsid w:val="00873553"/>
    <w:rsid w:val="008735DD"/>
    <w:rsid w:val="00873654"/>
    <w:rsid w:val="00873749"/>
    <w:rsid w:val="008738CC"/>
    <w:rsid w:val="00873982"/>
    <w:rsid w:val="008739D7"/>
    <w:rsid w:val="00873CC9"/>
    <w:rsid w:val="00873DE2"/>
    <w:rsid w:val="00873E17"/>
    <w:rsid w:val="00873E2B"/>
    <w:rsid w:val="00873ECD"/>
    <w:rsid w:val="00873F63"/>
    <w:rsid w:val="00873FCF"/>
    <w:rsid w:val="00874045"/>
    <w:rsid w:val="00874074"/>
    <w:rsid w:val="0087412B"/>
    <w:rsid w:val="00874326"/>
    <w:rsid w:val="00874538"/>
    <w:rsid w:val="00874577"/>
    <w:rsid w:val="00874641"/>
    <w:rsid w:val="008746BE"/>
    <w:rsid w:val="0087478A"/>
    <w:rsid w:val="008747D8"/>
    <w:rsid w:val="00874810"/>
    <w:rsid w:val="008748D2"/>
    <w:rsid w:val="008749B0"/>
    <w:rsid w:val="00874A93"/>
    <w:rsid w:val="00874A9E"/>
    <w:rsid w:val="00874BED"/>
    <w:rsid w:val="00874DF5"/>
    <w:rsid w:val="00874E40"/>
    <w:rsid w:val="00874F46"/>
    <w:rsid w:val="00874F4D"/>
    <w:rsid w:val="00874F9C"/>
    <w:rsid w:val="00874FF5"/>
    <w:rsid w:val="008751FD"/>
    <w:rsid w:val="00875398"/>
    <w:rsid w:val="00875584"/>
    <w:rsid w:val="008755D3"/>
    <w:rsid w:val="00875687"/>
    <w:rsid w:val="008756EF"/>
    <w:rsid w:val="00875743"/>
    <w:rsid w:val="00875760"/>
    <w:rsid w:val="008758CE"/>
    <w:rsid w:val="00875D93"/>
    <w:rsid w:val="00876413"/>
    <w:rsid w:val="00876448"/>
    <w:rsid w:val="0087646B"/>
    <w:rsid w:val="00876684"/>
    <w:rsid w:val="008766AF"/>
    <w:rsid w:val="0087676A"/>
    <w:rsid w:val="00876859"/>
    <w:rsid w:val="00876A30"/>
    <w:rsid w:val="00876ABD"/>
    <w:rsid w:val="00876C45"/>
    <w:rsid w:val="00876C73"/>
    <w:rsid w:val="00876CB8"/>
    <w:rsid w:val="00876E13"/>
    <w:rsid w:val="00876E32"/>
    <w:rsid w:val="00876E64"/>
    <w:rsid w:val="00876EE2"/>
    <w:rsid w:val="0087707A"/>
    <w:rsid w:val="00877095"/>
    <w:rsid w:val="0087719D"/>
    <w:rsid w:val="00877316"/>
    <w:rsid w:val="00877404"/>
    <w:rsid w:val="00877422"/>
    <w:rsid w:val="0087745E"/>
    <w:rsid w:val="0087745F"/>
    <w:rsid w:val="00877807"/>
    <w:rsid w:val="00877A77"/>
    <w:rsid w:val="00877AB9"/>
    <w:rsid w:val="00877B59"/>
    <w:rsid w:val="00877B62"/>
    <w:rsid w:val="00877D65"/>
    <w:rsid w:val="00877D7B"/>
    <w:rsid w:val="00877D7E"/>
    <w:rsid w:val="00877DAE"/>
    <w:rsid w:val="00877E64"/>
    <w:rsid w:val="00880111"/>
    <w:rsid w:val="00880394"/>
    <w:rsid w:val="008803C1"/>
    <w:rsid w:val="008805B5"/>
    <w:rsid w:val="00880755"/>
    <w:rsid w:val="008807E8"/>
    <w:rsid w:val="008807EB"/>
    <w:rsid w:val="008807FA"/>
    <w:rsid w:val="0088085A"/>
    <w:rsid w:val="008808DE"/>
    <w:rsid w:val="008809A0"/>
    <w:rsid w:val="008809F3"/>
    <w:rsid w:val="00880AD4"/>
    <w:rsid w:val="00880B90"/>
    <w:rsid w:val="00880CE4"/>
    <w:rsid w:val="00880E8F"/>
    <w:rsid w:val="00880FBB"/>
    <w:rsid w:val="00881148"/>
    <w:rsid w:val="008817B3"/>
    <w:rsid w:val="00881816"/>
    <w:rsid w:val="00881935"/>
    <w:rsid w:val="008819E5"/>
    <w:rsid w:val="00881BFE"/>
    <w:rsid w:val="00881C53"/>
    <w:rsid w:val="00881D59"/>
    <w:rsid w:val="00881DCD"/>
    <w:rsid w:val="00881F93"/>
    <w:rsid w:val="00882124"/>
    <w:rsid w:val="00882336"/>
    <w:rsid w:val="00882367"/>
    <w:rsid w:val="008824A0"/>
    <w:rsid w:val="008824F1"/>
    <w:rsid w:val="0088251F"/>
    <w:rsid w:val="008828BD"/>
    <w:rsid w:val="00882B7A"/>
    <w:rsid w:val="00882B7B"/>
    <w:rsid w:val="00882BBF"/>
    <w:rsid w:val="00882C2D"/>
    <w:rsid w:val="00882C46"/>
    <w:rsid w:val="00882F6A"/>
    <w:rsid w:val="00883276"/>
    <w:rsid w:val="008832EF"/>
    <w:rsid w:val="008833C9"/>
    <w:rsid w:val="00883415"/>
    <w:rsid w:val="008834D9"/>
    <w:rsid w:val="008834E6"/>
    <w:rsid w:val="008834F9"/>
    <w:rsid w:val="008836DA"/>
    <w:rsid w:val="00883737"/>
    <w:rsid w:val="008837AD"/>
    <w:rsid w:val="008837C5"/>
    <w:rsid w:val="008837E2"/>
    <w:rsid w:val="008838B0"/>
    <w:rsid w:val="00883A31"/>
    <w:rsid w:val="00883A58"/>
    <w:rsid w:val="00883AF1"/>
    <w:rsid w:val="00883C24"/>
    <w:rsid w:val="00883C5F"/>
    <w:rsid w:val="00883D9C"/>
    <w:rsid w:val="00883F1B"/>
    <w:rsid w:val="008841C0"/>
    <w:rsid w:val="0088462F"/>
    <w:rsid w:val="0088463C"/>
    <w:rsid w:val="00884803"/>
    <w:rsid w:val="00884956"/>
    <w:rsid w:val="008849CE"/>
    <w:rsid w:val="00884DA8"/>
    <w:rsid w:val="00884EA9"/>
    <w:rsid w:val="00884ED6"/>
    <w:rsid w:val="00884EF9"/>
    <w:rsid w:val="008850FC"/>
    <w:rsid w:val="0088527E"/>
    <w:rsid w:val="008855C5"/>
    <w:rsid w:val="00885620"/>
    <w:rsid w:val="00885655"/>
    <w:rsid w:val="008858FD"/>
    <w:rsid w:val="00885B89"/>
    <w:rsid w:val="00885B9C"/>
    <w:rsid w:val="00885BE2"/>
    <w:rsid w:val="00885C10"/>
    <w:rsid w:val="00885CBF"/>
    <w:rsid w:val="00885E68"/>
    <w:rsid w:val="00885ECF"/>
    <w:rsid w:val="00885FE5"/>
    <w:rsid w:val="00886046"/>
    <w:rsid w:val="008861EA"/>
    <w:rsid w:val="0088644E"/>
    <w:rsid w:val="0088646D"/>
    <w:rsid w:val="008865C9"/>
    <w:rsid w:val="0088668A"/>
    <w:rsid w:val="00886690"/>
    <w:rsid w:val="0088672D"/>
    <w:rsid w:val="008868C5"/>
    <w:rsid w:val="00886900"/>
    <w:rsid w:val="00886A01"/>
    <w:rsid w:val="00886A38"/>
    <w:rsid w:val="00886DD3"/>
    <w:rsid w:val="00886E32"/>
    <w:rsid w:val="00886EBB"/>
    <w:rsid w:val="0088708F"/>
    <w:rsid w:val="008870B7"/>
    <w:rsid w:val="0088710A"/>
    <w:rsid w:val="00887159"/>
    <w:rsid w:val="00887167"/>
    <w:rsid w:val="008871D3"/>
    <w:rsid w:val="00887372"/>
    <w:rsid w:val="00887391"/>
    <w:rsid w:val="008874AE"/>
    <w:rsid w:val="0088751E"/>
    <w:rsid w:val="00887549"/>
    <w:rsid w:val="00887580"/>
    <w:rsid w:val="00887668"/>
    <w:rsid w:val="008876F7"/>
    <w:rsid w:val="00887806"/>
    <w:rsid w:val="00887811"/>
    <w:rsid w:val="00887A32"/>
    <w:rsid w:val="00887C36"/>
    <w:rsid w:val="00887C92"/>
    <w:rsid w:val="00887CF1"/>
    <w:rsid w:val="00887CF5"/>
    <w:rsid w:val="00887E78"/>
    <w:rsid w:val="00887F4D"/>
    <w:rsid w:val="00887F8E"/>
    <w:rsid w:val="008900E0"/>
    <w:rsid w:val="008901B7"/>
    <w:rsid w:val="008904B4"/>
    <w:rsid w:val="00890657"/>
    <w:rsid w:val="008908F2"/>
    <w:rsid w:val="0089095F"/>
    <w:rsid w:val="00890AE8"/>
    <w:rsid w:val="00890BA5"/>
    <w:rsid w:val="00890BB7"/>
    <w:rsid w:val="00890C67"/>
    <w:rsid w:val="00890D9A"/>
    <w:rsid w:val="00890DC0"/>
    <w:rsid w:val="00890DD9"/>
    <w:rsid w:val="00890E23"/>
    <w:rsid w:val="00890EB1"/>
    <w:rsid w:val="00890ED4"/>
    <w:rsid w:val="00890EDD"/>
    <w:rsid w:val="00890F86"/>
    <w:rsid w:val="00890FC1"/>
    <w:rsid w:val="008910CA"/>
    <w:rsid w:val="00891151"/>
    <w:rsid w:val="00891239"/>
    <w:rsid w:val="0089137A"/>
    <w:rsid w:val="00891483"/>
    <w:rsid w:val="008914B3"/>
    <w:rsid w:val="0089157B"/>
    <w:rsid w:val="00891944"/>
    <w:rsid w:val="00891C74"/>
    <w:rsid w:val="00891DF0"/>
    <w:rsid w:val="00892136"/>
    <w:rsid w:val="00892338"/>
    <w:rsid w:val="00892356"/>
    <w:rsid w:val="008923CB"/>
    <w:rsid w:val="008923E6"/>
    <w:rsid w:val="0089253F"/>
    <w:rsid w:val="00892651"/>
    <w:rsid w:val="0089267F"/>
    <w:rsid w:val="00892CE6"/>
    <w:rsid w:val="00892D99"/>
    <w:rsid w:val="00893069"/>
    <w:rsid w:val="008930E0"/>
    <w:rsid w:val="0089313F"/>
    <w:rsid w:val="0089326A"/>
    <w:rsid w:val="008932E4"/>
    <w:rsid w:val="00893399"/>
    <w:rsid w:val="00893700"/>
    <w:rsid w:val="0089391E"/>
    <w:rsid w:val="00893A23"/>
    <w:rsid w:val="00893D49"/>
    <w:rsid w:val="00893DC2"/>
    <w:rsid w:val="00893EFF"/>
    <w:rsid w:val="008940D6"/>
    <w:rsid w:val="00894149"/>
    <w:rsid w:val="008943C8"/>
    <w:rsid w:val="00894548"/>
    <w:rsid w:val="008947B2"/>
    <w:rsid w:val="0089482A"/>
    <w:rsid w:val="0089488C"/>
    <w:rsid w:val="0089492B"/>
    <w:rsid w:val="0089494F"/>
    <w:rsid w:val="0089497C"/>
    <w:rsid w:val="00894987"/>
    <w:rsid w:val="008949C6"/>
    <w:rsid w:val="00894D36"/>
    <w:rsid w:val="00894D80"/>
    <w:rsid w:val="0089510A"/>
    <w:rsid w:val="00895216"/>
    <w:rsid w:val="00895310"/>
    <w:rsid w:val="008953AF"/>
    <w:rsid w:val="0089544B"/>
    <w:rsid w:val="0089561E"/>
    <w:rsid w:val="00895B81"/>
    <w:rsid w:val="00895BA6"/>
    <w:rsid w:val="00895BEB"/>
    <w:rsid w:val="00895C74"/>
    <w:rsid w:val="00895CC2"/>
    <w:rsid w:val="00895D16"/>
    <w:rsid w:val="0089606D"/>
    <w:rsid w:val="008961E4"/>
    <w:rsid w:val="008962CC"/>
    <w:rsid w:val="008962E7"/>
    <w:rsid w:val="0089645E"/>
    <w:rsid w:val="00896466"/>
    <w:rsid w:val="00896469"/>
    <w:rsid w:val="008964EB"/>
    <w:rsid w:val="008966C1"/>
    <w:rsid w:val="00896855"/>
    <w:rsid w:val="0089690F"/>
    <w:rsid w:val="008969CF"/>
    <w:rsid w:val="00896ABE"/>
    <w:rsid w:val="00896B80"/>
    <w:rsid w:val="00896B86"/>
    <w:rsid w:val="00896B97"/>
    <w:rsid w:val="00896BF0"/>
    <w:rsid w:val="00896D21"/>
    <w:rsid w:val="00896FD4"/>
    <w:rsid w:val="00897008"/>
    <w:rsid w:val="0089705C"/>
    <w:rsid w:val="008970EF"/>
    <w:rsid w:val="00897185"/>
    <w:rsid w:val="008971AD"/>
    <w:rsid w:val="008973CA"/>
    <w:rsid w:val="00897536"/>
    <w:rsid w:val="00897597"/>
    <w:rsid w:val="0089764B"/>
    <w:rsid w:val="008976B1"/>
    <w:rsid w:val="00897821"/>
    <w:rsid w:val="0089787B"/>
    <w:rsid w:val="00897940"/>
    <w:rsid w:val="008979AA"/>
    <w:rsid w:val="008A001B"/>
    <w:rsid w:val="008A0132"/>
    <w:rsid w:val="008A0136"/>
    <w:rsid w:val="008A01DB"/>
    <w:rsid w:val="008A0606"/>
    <w:rsid w:val="008A0762"/>
    <w:rsid w:val="008A0788"/>
    <w:rsid w:val="008A0851"/>
    <w:rsid w:val="008A0B21"/>
    <w:rsid w:val="008A0BCC"/>
    <w:rsid w:val="008A0E97"/>
    <w:rsid w:val="008A0EC6"/>
    <w:rsid w:val="008A0F5C"/>
    <w:rsid w:val="008A0FA3"/>
    <w:rsid w:val="008A1215"/>
    <w:rsid w:val="008A122E"/>
    <w:rsid w:val="008A12D7"/>
    <w:rsid w:val="008A13CE"/>
    <w:rsid w:val="008A13EA"/>
    <w:rsid w:val="008A140F"/>
    <w:rsid w:val="008A1568"/>
    <w:rsid w:val="008A1865"/>
    <w:rsid w:val="008A195C"/>
    <w:rsid w:val="008A19D5"/>
    <w:rsid w:val="008A19E4"/>
    <w:rsid w:val="008A1A9B"/>
    <w:rsid w:val="008A1BB2"/>
    <w:rsid w:val="008A1C2C"/>
    <w:rsid w:val="008A1E0F"/>
    <w:rsid w:val="008A1EFE"/>
    <w:rsid w:val="008A1F51"/>
    <w:rsid w:val="008A2129"/>
    <w:rsid w:val="008A21C6"/>
    <w:rsid w:val="008A2212"/>
    <w:rsid w:val="008A22EB"/>
    <w:rsid w:val="008A2383"/>
    <w:rsid w:val="008A2617"/>
    <w:rsid w:val="008A2807"/>
    <w:rsid w:val="008A28FA"/>
    <w:rsid w:val="008A293E"/>
    <w:rsid w:val="008A299C"/>
    <w:rsid w:val="008A2B98"/>
    <w:rsid w:val="008A2F44"/>
    <w:rsid w:val="008A31F3"/>
    <w:rsid w:val="008A3417"/>
    <w:rsid w:val="008A3699"/>
    <w:rsid w:val="008A36B3"/>
    <w:rsid w:val="008A36E7"/>
    <w:rsid w:val="008A376D"/>
    <w:rsid w:val="008A384A"/>
    <w:rsid w:val="008A390F"/>
    <w:rsid w:val="008A3B0B"/>
    <w:rsid w:val="008A3C4E"/>
    <w:rsid w:val="008A3F1F"/>
    <w:rsid w:val="008A404F"/>
    <w:rsid w:val="008A40AF"/>
    <w:rsid w:val="008A411C"/>
    <w:rsid w:val="008A41E7"/>
    <w:rsid w:val="008A42AB"/>
    <w:rsid w:val="008A4560"/>
    <w:rsid w:val="008A47B4"/>
    <w:rsid w:val="008A47FB"/>
    <w:rsid w:val="008A485C"/>
    <w:rsid w:val="008A49B0"/>
    <w:rsid w:val="008A49BD"/>
    <w:rsid w:val="008A49D0"/>
    <w:rsid w:val="008A49E2"/>
    <w:rsid w:val="008A4A11"/>
    <w:rsid w:val="008A4C06"/>
    <w:rsid w:val="008A4D15"/>
    <w:rsid w:val="008A4D6E"/>
    <w:rsid w:val="008A4D9C"/>
    <w:rsid w:val="008A50F5"/>
    <w:rsid w:val="008A5475"/>
    <w:rsid w:val="008A5586"/>
    <w:rsid w:val="008A55CE"/>
    <w:rsid w:val="008A5643"/>
    <w:rsid w:val="008A56ED"/>
    <w:rsid w:val="008A5962"/>
    <w:rsid w:val="008A59CA"/>
    <w:rsid w:val="008A59DF"/>
    <w:rsid w:val="008A5DA0"/>
    <w:rsid w:val="008A5E41"/>
    <w:rsid w:val="008A5EF3"/>
    <w:rsid w:val="008A5F94"/>
    <w:rsid w:val="008A5F98"/>
    <w:rsid w:val="008A6237"/>
    <w:rsid w:val="008A62D6"/>
    <w:rsid w:val="008A63E9"/>
    <w:rsid w:val="008A644D"/>
    <w:rsid w:val="008A66A4"/>
    <w:rsid w:val="008A6D69"/>
    <w:rsid w:val="008A6F50"/>
    <w:rsid w:val="008A7139"/>
    <w:rsid w:val="008A740D"/>
    <w:rsid w:val="008A7441"/>
    <w:rsid w:val="008A764D"/>
    <w:rsid w:val="008A7800"/>
    <w:rsid w:val="008A7891"/>
    <w:rsid w:val="008A78C5"/>
    <w:rsid w:val="008A7912"/>
    <w:rsid w:val="008A791A"/>
    <w:rsid w:val="008A7C45"/>
    <w:rsid w:val="008A7C9C"/>
    <w:rsid w:val="008A7E83"/>
    <w:rsid w:val="008A7F00"/>
    <w:rsid w:val="008A7F2F"/>
    <w:rsid w:val="008B0004"/>
    <w:rsid w:val="008B02EA"/>
    <w:rsid w:val="008B02F7"/>
    <w:rsid w:val="008B0347"/>
    <w:rsid w:val="008B0449"/>
    <w:rsid w:val="008B0479"/>
    <w:rsid w:val="008B05F6"/>
    <w:rsid w:val="008B06BE"/>
    <w:rsid w:val="008B06C6"/>
    <w:rsid w:val="008B07A5"/>
    <w:rsid w:val="008B0831"/>
    <w:rsid w:val="008B0A57"/>
    <w:rsid w:val="008B0AEB"/>
    <w:rsid w:val="008B0CE5"/>
    <w:rsid w:val="008B0E75"/>
    <w:rsid w:val="008B0E86"/>
    <w:rsid w:val="008B0EB2"/>
    <w:rsid w:val="008B110F"/>
    <w:rsid w:val="008B1261"/>
    <w:rsid w:val="008B14D2"/>
    <w:rsid w:val="008B16F6"/>
    <w:rsid w:val="008B173B"/>
    <w:rsid w:val="008B1819"/>
    <w:rsid w:val="008B18E2"/>
    <w:rsid w:val="008B1AB0"/>
    <w:rsid w:val="008B1C4A"/>
    <w:rsid w:val="008B1D32"/>
    <w:rsid w:val="008B1D73"/>
    <w:rsid w:val="008B1DE2"/>
    <w:rsid w:val="008B22F9"/>
    <w:rsid w:val="008B24A3"/>
    <w:rsid w:val="008B2547"/>
    <w:rsid w:val="008B2747"/>
    <w:rsid w:val="008B2759"/>
    <w:rsid w:val="008B2772"/>
    <w:rsid w:val="008B27E2"/>
    <w:rsid w:val="008B2897"/>
    <w:rsid w:val="008B2A1A"/>
    <w:rsid w:val="008B2AA0"/>
    <w:rsid w:val="008B2B23"/>
    <w:rsid w:val="008B2C12"/>
    <w:rsid w:val="008B2CF6"/>
    <w:rsid w:val="008B2E02"/>
    <w:rsid w:val="008B2E64"/>
    <w:rsid w:val="008B3127"/>
    <w:rsid w:val="008B3161"/>
    <w:rsid w:val="008B3265"/>
    <w:rsid w:val="008B32E7"/>
    <w:rsid w:val="008B350D"/>
    <w:rsid w:val="008B370B"/>
    <w:rsid w:val="008B3848"/>
    <w:rsid w:val="008B3C32"/>
    <w:rsid w:val="008B3D84"/>
    <w:rsid w:val="008B3EC3"/>
    <w:rsid w:val="008B3F1E"/>
    <w:rsid w:val="008B3FDA"/>
    <w:rsid w:val="008B4039"/>
    <w:rsid w:val="008B4066"/>
    <w:rsid w:val="008B42D1"/>
    <w:rsid w:val="008B439F"/>
    <w:rsid w:val="008B456F"/>
    <w:rsid w:val="008B48AB"/>
    <w:rsid w:val="008B4A8C"/>
    <w:rsid w:val="008B4ADC"/>
    <w:rsid w:val="008B4C22"/>
    <w:rsid w:val="008B4C61"/>
    <w:rsid w:val="008B4C75"/>
    <w:rsid w:val="008B4D2B"/>
    <w:rsid w:val="008B4FD9"/>
    <w:rsid w:val="008B4FF8"/>
    <w:rsid w:val="008B500D"/>
    <w:rsid w:val="008B50A5"/>
    <w:rsid w:val="008B50DD"/>
    <w:rsid w:val="008B5195"/>
    <w:rsid w:val="008B5515"/>
    <w:rsid w:val="008B5587"/>
    <w:rsid w:val="008B563A"/>
    <w:rsid w:val="008B584F"/>
    <w:rsid w:val="008B5993"/>
    <w:rsid w:val="008B5D14"/>
    <w:rsid w:val="008B5D4D"/>
    <w:rsid w:val="008B5DF1"/>
    <w:rsid w:val="008B5E1B"/>
    <w:rsid w:val="008B5E6B"/>
    <w:rsid w:val="008B5E83"/>
    <w:rsid w:val="008B5E85"/>
    <w:rsid w:val="008B5FD1"/>
    <w:rsid w:val="008B6204"/>
    <w:rsid w:val="008B66D6"/>
    <w:rsid w:val="008B69CD"/>
    <w:rsid w:val="008B6A23"/>
    <w:rsid w:val="008B6A9E"/>
    <w:rsid w:val="008B6AF5"/>
    <w:rsid w:val="008B6B07"/>
    <w:rsid w:val="008B6D9D"/>
    <w:rsid w:val="008B6DE3"/>
    <w:rsid w:val="008B6FC0"/>
    <w:rsid w:val="008B70A9"/>
    <w:rsid w:val="008B71FE"/>
    <w:rsid w:val="008B724F"/>
    <w:rsid w:val="008B72E2"/>
    <w:rsid w:val="008B74EC"/>
    <w:rsid w:val="008B76B6"/>
    <w:rsid w:val="008B77A2"/>
    <w:rsid w:val="008B7B9E"/>
    <w:rsid w:val="008B7C1B"/>
    <w:rsid w:val="008B7C9D"/>
    <w:rsid w:val="008B7E9B"/>
    <w:rsid w:val="008B7FB9"/>
    <w:rsid w:val="008C0024"/>
    <w:rsid w:val="008C0382"/>
    <w:rsid w:val="008C046A"/>
    <w:rsid w:val="008C05E0"/>
    <w:rsid w:val="008C084B"/>
    <w:rsid w:val="008C09EB"/>
    <w:rsid w:val="008C09ED"/>
    <w:rsid w:val="008C0B37"/>
    <w:rsid w:val="008C0C41"/>
    <w:rsid w:val="008C120C"/>
    <w:rsid w:val="008C12DC"/>
    <w:rsid w:val="008C1351"/>
    <w:rsid w:val="008C14FD"/>
    <w:rsid w:val="008C1626"/>
    <w:rsid w:val="008C196F"/>
    <w:rsid w:val="008C19E7"/>
    <w:rsid w:val="008C1BED"/>
    <w:rsid w:val="008C1D80"/>
    <w:rsid w:val="008C1DCC"/>
    <w:rsid w:val="008C214F"/>
    <w:rsid w:val="008C2266"/>
    <w:rsid w:val="008C2358"/>
    <w:rsid w:val="008C23DF"/>
    <w:rsid w:val="008C24D4"/>
    <w:rsid w:val="008C24E8"/>
    <w:rsid w:val="008C25A8"/>
    <w:rsid w:val="008C2614"/>
    <w:rsid w:val="008C27C5"/>
    <w:rsid w:val="008C2998"/>
    <w:rsid w:val="008C2AAD"/>
    <w:rsid w:val="008C2CF0"/>
    <w:rsid w:val="008C2E17"/>
    <w:rsid w:val="008C2EFD"/>
    <w:rsid w:val="008C300B"/>
    <w:rsid w:val="008C3193"/>
    <w:rsid w:val="008C356C"/>
    <w:rsid w:val="008C356F"/>
    <w:rsid w:val="008C3689"/>
    <w:rsid w:val="008C3751"/>
    <w:rsid w:val="008C37D9"/>
    <w:rsid w:val="008C37FD"/>
    <w:rsid w:val="008C3A74"/>
    <w:rsid w:val="008C3B2A"/>
    <w:rsid w:val="008C3BA4"/>
    <w:rsid w:val="008C403A"/>
    <w:rsid w:val="008C4086"/>
    <w:rsid w:val="008C4124"/>
    <w:rsid w:val="008C41EA"/>
    <w:rsid w:val="008C4205"/>
    <w:rsid w:val="008C42AE"/>
    <w:rsid w:val="008C439C"/>
    <w:rsid w:val="008C43AB"/>
    <w:rsid w:val="008C4452"/>
    <w:rsid w:val="008C449D"/>
    <w:rsid w:val="008C44B2"/>
    <w:rsid w:val="008C4543"/>
    <w:rsid w:val="008C45C5"/>
    <w:rsid w:val="008C4680"/>
    <w:rsid w:val="008C47BB"/>
    <w:rsid w:val="008C4871"/>
    <w:rsid w:val="008C4A49"/>
    <w:rsid w:val="008C4B04"/>
    <w:rsid w:val="008C4E71"/>
    <w:rsid w:val="008C4ED0"/>
    <w:rsid w:val="008C4F13"/>
    <w:rsid w:val="008C5038"/>
    <w:rsid w:val="008C5148"/>
    <w:rsid w:val="008C5190"/>
    <w:rsid w:val="008C51C9"/>
    <w:rsid w:val="008C5287"/>
    <w:rsid w:val="008C5289"/>
    <w:rsid w:val="008C55F0"/>
    <w:rsid w:val="008C56E1"/>
    <w:rsid w:val="008C5749"/>
    <w:rsid w:val="008C57A3"/>
    <w:rsid w:val="008C57B4"/>
    <w:rsid w:val="008C5A4C"/>
    <w:rsid w:val="008C5C37"/>
    <w:rsid w:val="008C5CF9"/>
    <w:rsid w:val="008C5D0E"/>
    <w:rsid w:val="008C6193"/>
    <w:rsid w:val="008C6263"/>
    <w:rsid w:val="008C6565"/>
    <w:rsid w:val="008C6B23"/>
    <w:rsid w:val="008C6C43"/>
    <w:rsid w:val="008C6CFA"/>
    <w:rsid w:val="008C6D11"/>
    <w:rsid w:val="008C6E6C"/>
    <w:rsid w:val="008C6EE9"/>
    <w:rsid w:val="008C6F64"/>
    <w:rsid w:val="008C7366"/>
    <w:rsid w:val="008C73A0"/>
    <w:rsid w:val="008C73FA"/>
    <w:rsid w:val="008C7823"/>
    <w:rsid w:val="008C7A9A"/>
    <w:rsid w:val="008C7AC1"/>
    <w:rsid w:val="008C7B64"/>
    <w:rsid w:val="008C7BFE"/>
    <w:rsid w:val="008C7C7C"/>
    <w:rsid w:val="008C7CB4"/>
    <w:rsid w:val="008C7F07"/>
    <w:rsid w:val="008C7FB6"/>
    <w:rsid w:val="008C7FFC"/>
    <w:rsid w:val="008D0179"/>
    <w:rsid w:val="008D0347"/>
    <w:rsid w:val="008D0409"/>
    <w:rsid w:val="008D0474"/>
    <w:rsid w:val="008D04E0"/>
    <w:rsid w:val="008D0560"/>
    <w:rsid w:val="008D05F1"/>
    <w:rsid w:val="008D062C"/>
    <w:rsid w:val="008D06F4"/>
    <w:rsid w:val="008D07F6"/>
    <w:rsid w:val="008D0A1B"/>
    <w:rsid w:val="008D0A72"/>
    <w:rsid w:val="008D0C27"/>
    <w:rsid w:val="008D0C79"/>
    <w:rsid w:val="008D0E89"/>
    <w:rsid w:val="008D0FA0"/>
    <w:rsid w:val="008D0FD8"/>
    <w:rsid w:val="008D10AC"/>
    <w:rsid w:val="008D11D3"/>
    <w:rsid w:val="008D13A4"/>
    <w:rsid w:val="008D163F"/>
    <w:rsid w:val="008D1671"/>
    <w:rsid w:val="008D1885"/>
    <w:rsid w:val="008D18C7"/>
    <w:rsid w:val="008D1A29"/>
    <w:rsid w:val="008D1AB6"/>
    <w:rsid w:val="008D1B39"/>
    <w:rsid w:val="008D1B8A"/>
    <w:rsid w:val="008D1BF5"/>
    <w:rsid w:val="008D1DEB"/>
    <w:rsid w:val="008D273F"/>
    <w:rsid w:val="008D2C01"/>
    <w:rsid w:val="008D2DC9"/>
    <w:rsid w:val="008D2E62"/>
    <w:rsid w:val="008D2E78"/>
    <w:rsid w:val="008D2EE7"/>
    <w:rsid w:val="008D2F0F"/>
    <w:rsid w:val="008D2FDA"/>
    <w:rsid w:val="008D3065"/>
    <w:rsid w:val="008D3167"/>
    <w:rsid w:val="008D3390"/>
    <w:rsid w:val="008D36E0"/>
    <w:rsid w:val="008D38B7"/>
    <w:rsid w:val="008D3A57"/>
    <w:rsid w:val="008D3B47"/>
    <w:rsid w:val="008D3B5F"/>
    <w:rsid w:val="008D3BEE"/>
    <w:rsid w:val="008D3CA1"/>
    <w:rsid w:val="008D3DA1"/>
    <w:rsid w:val="008D3EAC"/>
    <w:rsid w:val="008D3EF8"/>
    <w:rsid w:val="008D3F42"/>
    <w:rsid w:val="008D3F7D"/>
    <w:rsid w:val="008D4028"/>
    <w:rsid w:val="008D40BD"/>
    <w:rsid w:val="008D41D1"/>
    <w:rsid w:val="008D42AB"/>
    <w:rsid w:val="008D43CF"/>
    <w:rsid w:val="008D44FB"/>
    <w:rsid w:val="008D45DE"/>
    <w:rsid w:val="008D461C"/>
    <w:rsid w:val="008D4821"/>
    <w:rsid w:val="008D4854"/>
    <w:rsid w:val="008D49BD"/>
    <w:rsid w:val="008D4A09"/>
    <w:rsid w:val="008D4A17"/>
    <w:rsid w:val="008D4BC5"/>
    <w:rsid w:val="008D4C0A"/>
    <w:rsid w:val="008D4D58"/>
    <w:rsid w:val="008D4DB5"/>
    <w:rsid w:val="008D50BC"/>
    <w:rsid w:val="008D51EF"/>
    <w:rsid w:val="008D51FF"/>
    <w:rsid w:val="008D534B"/>
    <w:rsid w:val="008D5459"/>
    <w:rsid w:val="008D5491"/>
    <w:rsid w:val="008D54B0"/>
    <w:rsid w:val="008D5501"/>
    <w:rsid w:val="008D559E"/>
    <w:rsid w:val="008D59D1"/>
    <w:rsid w:val="008D5B48"/>
    <w:rsid w:val="008D5B5D"/>
    <w:rsid w:val="008D5CBA"/>
    <w:rsid w:val="008D5EB7"/>
    <w:rsid w:val="008D5F84"/>
    <w:rsid w:val="008D6083"/>
    <w:rsid w:val="008D6122"/>
    <w:rsid w:val="008D6291"/>
    <w:rsid w:val="008D62A4"/>
    <w:rsid w:val="008D6571"/>
    <w:rsid w:val="008D65E3"/>
    <w:rsid w:val="008D661D"/>
    <w:rsid w:val="008D66A1"/>
    <w:rsid w:val="008D6712"/>
    <w:rsid w:val="008D67C2"/>
    <w:rsid w:val="008D6B8B"/>
    <w:rsid w:val="008D6BDF"/>
    <w:rsid w:val="008D6D48"/>
    <w:rsid w:val="008D6F49"/>
    <w:rsid w:val="008D6F5A"/>
    <w:rsid w:val="008D705E"/>
    <w:rsid w:val="008D70A5"/>
    <w:rsid w:val="008D70CD"/>
    <w:rsid w:val="008D71E5"/>
    <w:rsid w:val="008D7210"/>
    <w:rsid w:val="008D724B"/>
    <w:rsid w:val="008D7297"/>
    <w:rsid w:val="008D761A"/>
    <w:rsid w:val="008D7630"/>
    <w:rsid w:val="008D76D5"/>
    <w:rsid w:val="008D7711"/>
    <w:rsid w:val="008D7A5D"/>
    <w:rsid w:val="008D7AA0"/>
    <w:rsid w:val="008D7AE9"/>
    <w:rsid w:val="008D7CA7"/>
    <w:rsid w:val="008D7CC5"/>
    <w:rsid w:val="008D7CEC"/>
    <w:rsid w:val="008D7E92"/>
    <w:rsid w:val="008E0075"/>
    <w:rsid w:val="008E00FF"/>
    <w:rsid w:val="008E0254"/>
    <w:rsid w:val="008E02CA"/>
    <w:rsid w:val="008E0323"/>
    <w:rsid w:val="008E03FB"/>
    <w:rsid w:val="008E0547"/>
    <w:rsid w:val="008E0559"/>
    <w:rsid w:val="008E0626"/>
    <w:rsid w:val="008E06D6"/>
    <w:rsid w:val="008E07F6"/>
    <w:rsid w:val="008E0A34"/>
    <w:rsid w:val="008E0BD9"/>
    <w:rsid w:val="008E0CA7"/>
    <w:rsid w:val="008E1333"/>
    <w:rsid w:val="008E1544"/>
    <w:rsid w:val="008E15EA"/>
    <w:rsid w:val="008E193A"/>
    <w:rsid w:val="008E1B6B"/>
    <w:rsid w:val="008E1DC3"/>
    <w:rsid w:val="008E1F22"/>
    <w:rsid w:val="008E2013"/>
    <w:rsid w:val="008E209A"/>
    <w:rsid w:val="008E20EE"/>
    <w:rsid w:val="008E20F2"/>
    <w:rsid w:val="008E217D"/>
    <w:rsid w:val="008E244B"/>
    <w:rsid w:val="008E24F9"/>
    <w:rsid w:val="008E2735"/>
    <w:rsid w:val="008E28DB"/>
    <w:rsid w:val="008E29C5"/>
    <w:rsid w:val="008E2A39"/>
    <w:rsid w:val="008E2AA0"/>
    <w:rsid w:val="008E2D0C"/>
    <w:rsid w:val="008E3044"/>
    <w:rsid w:val="008E305A"/>
    <w:rsid w:val="008E3094"/>
    <w:rsid w:val="008E3238"/>
    <w:rsid w:val="008E32C4"/>
    <w:rsid w:val="008E33E9"/>
    <w:rsid w:val="008E33EE"/>
    <w:rsid w:val="008E3646"/>
    <w:rsid w:val="008E3893"/>
    <w:rsid w:val="008E397F"/>
    <w:rsid w:val="008E3A6E"/>
    <w:rsid w:val="008E3BB5"/>
    <w:rsid w:val="008E3C81"/>
    <w:rsid w:val="008E3D3A"/>
    <w:rsid w:val="008E3E99"/>
    <w:rsid w:val="008E3FFB"/>
    <w:rsid w:val="008E40A3"/>
    <w:rsid w:val="008E42E1"/>
    <w:rsid w:val="008E45EF"/>
    <w:rsid w:val="008E4862"/>
    <w:rsid w:val="008E4A9E"/>
    <w:rsid w:val="008E4AA2"/>
    <w:rsid w:val="008E4AAD"/>
    <w:rsid w:val="008E4AB8"/>
    <w:rsid w:val="008E4BCF"/>
    <w:rsid w:val="008E4BE5"/>
    <w:rsid w:val="008E4C80"/>
    <w:rsid w:val="008E4FC6"/>
    <w:rsid w:val="008E5034"/>
    <w:rsid w:val="008E514B"/>
    <w:rsid w:val="008E51F3"/>
    <w:rsid w:val="008E5359"/>
    <w:rsid w:val="008E5362"/>
    <w:rsid w:val="008E54C4"/>
    <w:rsid w:val="008E5868"/>
    <w:rsid w:val="008E5917"/>
    <w:rsid w:val="008E5918"/>
    <w:rsid w:val="008E5A43"/>
    <w:rsid w:val="008E5C45"/>
    <w:rsid w:val="008E5C54"/>
    <w:rsid w:val="008E5DA5"/>
    <w:rsid w:val="008E60B9"/>
    <w:rsid w:val="008E6276"/>
    <w:rsid w:val="008E6404"/>
    <w:rsid w:val="008E6480"/>
    <w:rsid w:val="008E6519"/>
    <w:rsid w:val="008E6625"/>
    <w:rsid w:val="008E695A"/>
    <w:rsid w:val="008E6A8E"/>
    <w:rsid w:val="008E6CC9"/>
    <w:rsid w:val="008E6CFE"/>
    <w:rsid w:val="008E6DE4"/>
    <w:rsid w:val="008E6E55"/>
    <w:rsid w:val="008E6EA2"/>
    <w:rsid w:val="008E6EA8"/>
    <w:rsid w:val="008E708C"/>
    <w:rsid w:val="008E7225"/>
    <w:rsid w:val="008E7228"/>
    <w:rsid w:val="008E723F"/>
    <w:rsid w:val="008E72BC"/>
    <w:rsid w:val="008E7417"/>
    <w:rsid w:val="008E7438"/>
    <w:rsid w:val="008E76FD"/>
    <w:rsid w:val="008E77BF"/>
    <w:rsid w:val="008E784A"/>
    <w:rsid w:val="008E793A"/>
    <w:rsid w:val="008E7979"/>
    <w:rsid w:val="008E7B4A"/>
    <w:rsid w:val="008E7DE5"/>
    <w:rsid w:val="008E7F20"/>
    <w:rsid w:val="008E7FB0"/>
    <w:rsid w:val="008F00F7"/>
    <w:rsid w:val="008F0312"/>
    <w:rsid w:val="008F065F"/>
    <w:rsid w:val="008F06E6"/>
    <w:rsid w:val="008F07C0"/>
    <w:rsid w:val="008F0924"/>
    <w:rsid w:val="008F0B90"/>
    <w:rsid w:val="008F0C48"/>
    <w:rsid w:val="008F0EDD"/>
    <w:rsid w:val="008F0F21"/>
    <w:rsid w:val="008F1197"/>
    <w:rsid w:val="008F1385"/>
    <w:rsid w:val="008F13CF"/>
    <w:rsid w:val="008F17A8"/>
    <w:rsid w:val="008F1912"/>
    <w:rsid w:val="008F1AD8"/>
    <w:rsid w:val="008F1C2E"/>
    <w:rsid w:val="008F1C66"/>
    <w:rsid w:val="008F1F45"/>
    <w:rsid w:val="008F20DD"/>
    <w:rsid w:val="008F2200"/>
    <w:rsid w:val="008F2564"/>
    <w:rsid w:val="008F25AB"/>
    <w:rsid w:val="008F27A0"/>
    <w:rsid w:val="008F2981"/>
    <w:rsid w:val="008F2A85"/>
    <w:rsid w:val="008F2AAD"/>
    <w:rsid w:val="008F2FAE"/>
    <w:rsid w:val="008F302E"/>
    <w:rsid w:val="008F318C"/>
    <w:rsid w:val="008F33EE"/>
    <w:rsid w:val="008F34C9"/>
    <w:rsid w:val="008F35B6"/>
    <w:rsid w:val="008F35CF"/>
    <w:rsid w:val="008F374F"/>
    <w:rsid w:val="008F377F"/>
    <w:rsid w:val="008F379E"/>
    <w:rsid w:val="008F3949"/>
    <w:rsid w:val="008F3976"/>
    <w:rsid w:val="008F3C11"/>
    <w:rsid w:val="008F3E41"/>
    <w:rsid w:val="008F3E9A"/>
    <w:rsid w:val="008F4047"/>
    <w:rsid w:val="008F467A"/>
    <w:rsid w:val="008F47A3"/>
    <w:rsid w:val="008F4806"/>
    <w:rsid w:val="008F4834"/>
    <w:rsid w:val="008F4945"/>
    <w:rsid w:val="008F49DC"/>
    <w:rsid w:val="008F49E5"/>
    <w:rsid w:val="008F4DBA"/>
    <w:rsid w:val="008F4DCD"/>
    <w:rsid w:val="008F4E46"/>
    <w:rsid w:val="008F4F1C"/>
    <w:rsid w:val="008F5352"/>
    <w:rsid w:val="008F555B"/>
    <w:rsid w:val="008F55F8"/>
    <w:rsid w:val="008F5670"/>
    <w:rsid w:val="008F58A4"/>
    <w:rsid w:val="008F5A4B"/>
    <w:rsid w:val="008F5B25"/>
    <w:rsid w:val="008F5BBC"/>
    <w:rsid w:val="008F5C75"/>
    <w:rsid w:val="008F5D9F"/>
    <w:rsid w:val="008F607D"/>
    <w:rsid w:val="008F6092"/>
    <w:rsid w:val="008F6116"/>
    <w:rsid w:val="008F62CC"/>
    <w:rsid w:val="008F631B"/>
    <w:rsid w:val="008F6640"/>
    <w:rsid w:val="008F67BF"/>
    <w:rsid w:val="008F6A95"/>
    <w:rsid w:val="008F6B3A"/>
    <w:rsid w:val="008F6B9E"/>
    <w:rsid w:val="008F6E45"/>
    <w:rsid w:val="008F6E6B"/>
    <w:rsid w:val="008F6F48"/>
    <w:rsid w:val="008F7002"/>
    <w:rsid w:val="008F708C"/>
    <w:rsid w:val="008F732B"/>
    <w:rsid w:val="008F745E"/>
    <w:rsid w:val="008F75F8"/>
    <w:rsid w:val="008F768D"/>
    <w:rsid w:val="008F771E"/>
    <w:rsid w:val="008F776D"/>
    <w:rsid w:val="008F789C"/>
    <w:rsid w:val="008F78DE"/>
    <w:rsid w:val="008F78E2"/>
    <w:rsid w:val="008F7A89"/>
    <w:rsid w:val="008F7AAD"/>
    <w:rsid w:val="008F7B10"/>
    <w:rsid w:val="008F7B80"/>
    <w:rsid w:val="008F7CCF"/>
    <w:rsid w:val="008F7E23"/>
    <w:rsid w:val="008F7EDA"/>
    <w:rsid w:val="0090005B"/>
    <w:rsid w:val="009000D4"/>
    <w:rsid w:val="00900204"/>
    <w:rsid w:val="00900475"/>
    <w:rsid w:val="009004DE"/>
    <w:rsid w:val="009004E4"/>
    <w:rsid w:val="009007C9"/>
    <w:rsid w:val="009008E0"/>
    <w:rsid w:val="00900911"/>
    <w:rsid w:val="00900942"/>
    <w:rsid w:val="009009B2"/>
    <w:rsid w:val="00900A78"/>
    <w:rsid w:val="00900CF7"/>
    <w:rsid w:val="00900D1F"/>
    <w:rsid w:val="00900F0F"/>
    <w:rsid w:val="00900F6A"/>
    <w:rsid w:val="0090112A"/>
    <w:rsid w:val="00901155"/>
    <w:rsid w:val="0090162A"/>
    <w:rsid w:val="009016B8"/>
    <w:rsid w:val="009016EE"/>
    <w:rsid w:val="00901981"/>
    <w:rsid w:val="00901AA1"/>
    <w:rsid w:val="00901B67"/>
    <w:rsid w:val="00901C04"/>
    <w:rsid w:val="00901C0C"/>
    <w:rsid w:val="00902198"/>
    <w:rsid w:val="009021E3"/>
    <w:rsid w:val="0090220A"/>
    <w:rsid w:val="00902279"/>
    <w:rsid w:val="0090228E"/>
    <w:rsid w:val="009023D3"/>
    <w:rsid w:val="00902416"/>
    <w:rsid w:val="00902786"/>
    <w:rsid w:val="00902859"/>
    <w:rsid w:val="00902894"/>
    <w:rsid w:val="009028A4"/>
    <w:rsid w:val="00902B68"/>
    <w:rsid w:val="00902B9E"/>
    <w:rsid w:val="00902C12"/>
    <w:rsid w:val="00902CC7"/>
    <w:rsid w:val="00902D96"/>
    <w:rsid w:val="00902DBA"/>
    <w:rsid w:val="00902FD1"/>
    <w:rsid w:val="0090300F"/>
    <w:rsid w:val="0090330F"/>
    <w:rsid w:val="0090339F"/>
    <w:rsid w:val="009033E4"/>
    <w:rsid w:val="009035A7"/>
    <w:rsid w:val="009035E3"/>
    <w:rsid w:val="00903683"/>
    <w:rsid w:val="009037C2"/>
    <w:rsid w:val="009037DE"/>
    <w:rsid w:val="00903A01"/>
    <w:rsid w:val="00903B2C"/>
    <w:rsid w:val="00903B52"/>
    <w:rsid w:val="00903BCD"/>
    <w:rsid w:val="00903DA1"/>
    <w:rsid w:val="00904045"/>
    <w:rsid w:val="009040B4"/>
    <w:rsid w:val="00904433"/>
    <w:rsid w:val="0090470B"/>
    <w:rsid w:val="00904823"/>
    <w:rsid w:val="0090485B"/>
    <w:rsid w:val="00904907"/>
    <w:rsid w:val="00904ABF"/>
    <w:rsid w:val="00904CED"/>
    <w:rsid w:val="00904F39"/>
    <w:rsid w:val="0090512B"/>
    <w:rsid w:val="009051BE"/>
    <w:rsid w:val="0090530A"/>
    <w:rsid w:val="00905415"/>
    <w:rsid w:val="00905588"/>
    <w:rsid w:val="00905605"/>
    <w:rsid w:val="009056D7"/>
    <w:rsid w:val="00905858"/>
    <w:rsid w:val="0090585E"/>
    <w:rsid w:val="0090604B"/>
    <w:rsid w:val="00906177"/>
    <w:rsid w:val="0090626E"/>
    <w:rsid w:val="009062A2"/>
    <w:rsid w:val="0090633C"/>
    <w:rsid w:val="00906569"/>
    <w:rsid w:val="00906B98"/>
    <w:rsid w:val="00906C03"/>
    <w:rsid w:val="0090703D"/>
    <w:rsid w:val="00907579"/>
    <w:rsid w:val="00907657"/>
    <w:rsid w:val="00907798"/>
    <w:rsid w:val="00907942"/>
    <w:rsid w:val="00907992"/>
    <w:rsid w:val="009079AB"/>
    <w:rsid w:val="009079BB"/>
    <w:rsid w:val="00907A9E"/>
    <w:rsid w:val="00907ACC"/>
    <w:rsid w:val="00907D31"/>
    <w:rsid w:val="00907D97"/>
    <w:rsid w:val="00907EAB"/>
    <w:rsid w:val="00910006"/>
    <w:rsid w:val="0091036F"/>
    <w:rsid w:val="009103AC"/>
    <w:rsid w:val="00910593"/>
    <w:rsid w:val="0091086E"/>
    <w:rsid w:val="009109A2"/>
    <w:rsid w:val="009109BA"/>
    <w:rsid w:val="00910AF5"/>
    <w:rsid w:val="00910D80"/>
    <w:rsid w:val="00910E26"/>
    <w:rsid w:val="00910EF5"/>
    <w:rsid w:val="00910F83"/>
    <w:rsid w:val="0091100F"/>
    <w:rsid w:val="00911010"/>
    <w:rsid w:val="0091114B"/>
    <w:rsid w:val="00911299"/>
    <w:rsid w:val="009112E8"/>
    <w:rsid w:val="009112F8"/>
    <w:rsid w:val="009114D6"/>
    <w:rsid w:val="00911570"/>
    <w:rsid w:val="00911938"/>
    <w:rsid w:val="00911956"/>
    <w:rsid w:val="00911A2F"/>
    <w:rsid w:val="00911A65"/>
    <w:rsid w:val="00911ABD"/>
    <w:rsid w:val="00911B19"/>
    <w:rsid w:val="00911FC8"/>
    <w:rsid w:val="00912142"/>
    <w:rsid w:val="0091224C"/>
    <w:rsid w:val="009122C9"/>
    <w:rsid w:val="009123C2"/>
    <w:rsid w:val="009125AD"/>
    <w:rsid w:val="0091268C"/>
    <w:rsid w:val="0091294B"/>
    <w:rsid w:val="009129E0"/>
    <w:rsid w:val="00912CC1"/>
    <w:rsid w:val="00912DA1"/>
    <w:rsid w:val="00912FCB"/>
    <w:rsid w:val="00913008"/>
    <w:rsid w:val="0091304B"/>
    <w:rsid w:val="0091311D"/>
    <w:rsid w:val="00913404"/>
    <w:rsid w:val="009135D2"/>
    <w:rsid w:val="009139E3"/>
    <w:rsid w:val="009139E4"/>
    <w:rsid w:val="00913A55"/>
    <w:rsid w:val="00913BB8"/>
    <w:rsid w:val="00913CD0"/>
    <w:rsid w:val="00913DA5"/>
    <w:rsid w:val="00913E79"/>
    <w:rsid w:val="00913FE0"/>
    <w:rsid w:val="00913FF6"/>
    <w:rsid w:val="00914075"/>
    <w:rsid w:val="009140EE"/>
    <w:rsid w:val="0091436F"/>
    <w:rsid w:val="009144F2"/>
    <w:rsid w:val="0091467C"/>
    <w:rsid w:val="00914BEF"/>
    <w:rsid w:val="00914D71"/>
    <w:rsid w:val="00914DFC"/>
    <w:rsid w:val="00914EDB"/>
    <w:rsid w:val="00914EF0"/>
    <w:rsid w:val="00914FF5"/>
    <w:rsid w:val="00915065"/>
    <w:rsid w:val="0091507B"/>
    <w:rsid w:val="009150E6"/>
    <w:rsid w:val="009151D1"/>
    <w:rsid w:val="009153B8"/>
    <w:rsid w:val="00915582"/>
    <w:rsid w:val="00915680"/>
    <w:rsid w:val="00915717"/>
    <w:rsid w:val="009157DE"/>
    <w:rsid w:val="0091581B"/>
    <w:rsid w:val="00915B0B"/>
    <w:rsid w:val="00915B6B"/>
    <w:rsid w:val="00915D7A"/>
    <w:rsid w:val="00915F22"/>
    <w:rsid w:val="00916078"/>
    <w:rsid w:val="009160F0"/>
    <w:rsid w:val="00916405"/>
    <w:rsid w:val="00916533"/>
    <w:rsid w:val="00916542"/>
    <w:rsid w:val="00916768"/>
    <w:rsid w:val="00916808"/>
    <w:rsid w:val="009168A7"/>
    <w:rsid w:val="00916AAA"/>
    <w:rsid w:val="00916ACC"/>
    <w:rsid w:val="00916AD5"/>
    <w:rsid w:val="00916B5B"/>
    <w:rsid w:val="00916BBA"/>
    <w:rsid w:val="00916C73"/>
    <w:rsid w:val="00916C95"/>
    <w:rsid w:val="00916D0B"/>
    <w:rsid w:val="00916EC7"/>
    <w:rsid w:val="0091700D"/>
    <w:rsid w:val="0091704E"/>
    <w:rsid w:val="00917277"/>
    <w:rsid w:val="00917341"/>
    <w:rsid w:val="0091745E"/>
    <w:rsid w:val="009179AB"/>
    <w:rsid w:val="00917A9F"/>
    <w:rsid w:val="00917B15"/>
    <w:rsid w:val="00917C70"/>
    <w:rsid w:val="00917D3C"/>
    <w:rsid w:val="00917EB1"/>
    <w:rsid w:val="00917EC5"/>
    <w:rsid w:val="009200C5"/>
    <w:rsid w:val="009204B0"/>
    <w:rsid w:val="009205C0"/>
    <w:rsid w:val="00920636"/>
    <w:rsid w:val="0092067F"/>
    <w:rsid w:val="009206B9"/>
    <w:rsid w:val="00920851"/>
    <w:rsid w:val="0092098E"/>
    <w:rsid w:val="009209E5"/>
    <w:rsid w:val="009209EF"/>
    <w:rsid w:val="00920CD6"/>
    <w:rsid w:val="0092101A"/>
    <w:rsid w:val="00921165"/>
    <w:rsid w:val="0092122C"/>
    <w:rsid w:val="00921372"/>
    <w:rsid w:val="00921571"/>
    <w:rsid w:val="00921659"/>
    <w:rsid w:val="00921674"/>
    <w:rsid w:val="009217B9"/>
    <w:rsid w:val="00921822"/>
    <w:rsid w:val="00921B5B"/>
    <w:rsid w:val="00921F50"/>
    <w:rsid w:val="00922013"/>
    <w:rsid w:val="00922312"/>
    <w:rsid w:val="0092248C"/>
    <w:rsid w:val="009227DF"/>
    <w:rsid w:val="0092292B"/>
    <w:rsid w:val="00922AC6"/>
    <w:rsid w:val="00922F45"/>
    <w:rsid w:val="00922FE4"/>
    <w:rsid w:val="00923291"/>
    <w:rsid w:val="009234FF"/>
    <w:rsid w:val="009236A5"/>
    <w:rsid w:val="009238A0"/>
    <w:rsid w:val="009239B6"/>
    <w:rsid w:val="00923C2B"/>
    <w:rsid w:val="00923E9B"/>
    <w:rsid w:val="00923F84"/>
    <w:rsid w:val="00923F9F"/>
    <w:rsid w:val="00923FC8"/>
    <w:rsid w:val="00924162"/>
    <w:rsid w:val="00924212"/>
    <w:rsid w:val="0092431E"/>
    <w:rsid w:val="009244F9"/>
    <w:rsid w:val="00924657"/>
    <w:rsid w:val="00924722"/>
    <w:rsid w:val="009247C9"/>
    <w:rsid w:val="009247CB"/>
    <w:rsid w:val="009248F0"/>
    <w:rsid w:val="00924AC6"/>
    <w:rsid w:val="00924AC7"/>
    <w:rsid w:val="00924AD0"/>
    <w:rsid w:val="00924B3D"/>
    <w:rsid w:val="00924B5F"/>
    <w:rsid w:val="00924C28"/>
    <w:rsid w:val="00924C80"/>
    <w:rsid w:val="00924CB3"/>
    <w:rsid w:val="00924CC8"/>
    <w:rsid w:val="00924D5F"/>
    <w:rsid w:val="00924D92"/>
    <w:rsid w:val="00924E39"/>
    <w:rsid w:val="00924E6E"/>
    <w:rsid w:val="00924F4B"/>
    <w:rsid w:val="009250AE"/>
    <w:rsid w:val="0092511C"/>
    <w:rsid w:val="00925164"/>
    <w:rsid w:val="009251B9"/>
    <w:rsid w:val="0092528F"/>
    <w:rsid w:val="00925429"/>
    <w:rsid w:val="009254D7"/>
    <w:rsid w:val="009255BC"/>
    <w:rsid w:val="0092587B"/>
    <w:rsid w:val="00925A8C"/>
    <w:rsid w:val="00925B0D"/>
    <w:rsid w:val="00925D92"/>
    <w:rsid w:val="00925DF7"/>
    <w:rsid w:val="00925E58"/>
    <w:rsid w:val="00925ED4"/>
    <w:rsid w:val="00925EF8"/>
    <w:rsid w:val="00925F7A"/>
    <w:rsid w:val="00926036"/>
    <w:rsid w:val="0092615B"/>
    <w:rsid w:val="009261A4"/>
    <w:rsid w:val="0092632D"/>
    <w:rsid w:val="00926360"/>
    <w:rsid w:val="009263ED"/>
    <w:rsid w:val="00926544"/>
    <w:rsid w:val="0092663A"/>
    <w:rsid w:val="009267EE"/>
    <w:rsid w:val="0092688C"/>
    <w:rsid w:val="00926982"/>
    <w:rsid w:val="009269F5"/>
    <w:rsid w:val="00926A89"/>
    <w:rsid w:val="00926F1E"/>
    <w:rsid w:val="00926F8B"/>
    <w:rsid w:val="00926FE8"/>
    <w:rsid w:val="0092708F"/>
    <w:rsid w:val="00927242"/>
    <w:rsid w:val="0092724D"/>
    <w:rsid w:val="009274CF"/>
    <w:rsid w:val="00927595"/>
    <w:rsid w:val="009275CE"/>
    <w:rsid w:val="0092767E"/>
    <w:rsid w:val="009278A1"/>
    <w:rsid w:val="00927A31"/>
    <w:rsid w:val="00927C70"/>
    <w:rsid w:val="0093006E"/>
    <w:rsid w:val="009300E3"/>
    <w:rsid w:val="009300E8"/>
    <w:rsid w:val="009301F6"/>
    <w:rsid w:val="0093022F"/>
    <w:rsid w:val="00930269"/>
    <w:rsid w:val="00930595"/>
    <w:rsid w:val="00930740"/>
    <w:rsid w:val="00930763"/>
    <w:rsid w:val="009308A8"/>
    <w:rsid w:val="009309D6"/>
    <w:rsid w:val="00930B3C"/>
    <w:rsid w:val="00930CB8"/>
    <w:rsid w:val="00930E2C"/>
    <w:rsid w:val="00930F2C"/>
    <w:rsid w:val="00930FA9"/>
    <w:rsid w:val="00931255"/>
    <w:rsid w:val="00931285"/>
    <w:rsid w:val="00931381"/>
    <w:rsid w:val="0093139B"/>
    <w:rsid w:val="009313A8"/>
    <w:rsid w:val="009313BA"/>
    <w:rsid w:val="009318BA"/>
    <w:rsid w:val="00931920"/>
    <w:rsid w:val="0093196E"/>
    <w:rsid w:val="00931A49"/>
    <w:rsid w:val="00931B1C"/>
    <w:rsid w:val="00931BC0"/>
    <w:rsid w:val="00931BE1"/>
    <w:rsid w:val="00931BF8"/>
    <w:rsid w:val="00931C0C"/>
    <w:rsid w:val="00931C5E"/>
    <w:rsid w:val="00931CFF"/>
    <w:rsid w:val="00931D60"/>
    <w:rsid w:val="00931EAC"/>
    <w:rsid w:val="00932028"/>
    <w:rsid w:val="009320E5"/>
    <w:rsid w:val="00932168"/>
    <w:rsid w:val="00932190"/>
    <w:rsid w:val="009321A3"/>
    <w:rsid w:val="009321C1"/>
    <w:rsid w:val="009321F5"/>
    <w:rsid w:val="009322E0"/>
    <w:rsid w:val="00932345"/>
    <w:rsid w:val="00932356"/>
    <w:rsid w:val="009323E8"/>
    <w:rsid w:val="00932407"/>
    <w:rsid w:val="00932565"/>
    <w:rsid w:val="00932594"/>
    <w:rsid w:val="00932628"/>
    <w:rsid w:val="0093269B"/>
    <w:rsid w:val="009326FC"/>
    <w:rsid w:val="009327BE"/>
    <w:rsid w:val="00932893"/>
    <w:rsid w:val="00932AB5"/>
    <w:rsid w:val="00932B1B"/>
    <w:rsid w:val="00932C89"/>
    <w:rsid w:val="00932D55"/>
    <w:rsid w:val="00932E98"/>
    <w:rsid w:val="00932F80"/>
    <w:rsid w:val="00933144"/>
    <w:rsid w:val="009332EB"/>
    <w:rsid w:val="0093349F"/>
    <w:rsid w:val="009334B4"/>
    <w:rsid w:val="009334DC"/>
    <w:rsid w:val="0093363A"/>
    <w:rsid w:val="0093369E"/>
    <w:rsid w:val="009337C6"/>
    <w:rsid w:val="009337C7"/>
    <w:rsid w:val="009337D4"/>
    <w:rsid w:val="0093393B"/>
    <w:rsid w:val="009339A9"/>
    <w:rsid w:val="00933C2F"/>
    <w:rsid w:val="00933CB8"/>
    <w:rsid w:val="00933D55"/>
    <w:rsid w:val="00933E45"/>
    <w:rsid w:val="00934138"/>
    <w:rsid w:val="009341B7"/>
    <w:rsid w:val="00934278"/>
    <w:rsid w:val="009342AF"/>
    <w:rsid w:val="009342CF"/>
    <w:rsid w:val="00934420"/>
    <w:rsid w:val="00934495"/>
    <w:rsid w:val="009344D4"/>
    <w:rsid w:val="009344EB"/>
    <w:rsid w:val="009345C5"/>
    <w:rsid w:val="0093466F"/>
    <w:rsid w:val="009348FC"/>
    <w:rsid w:val="009349BB"/>
    <w:rsid w:val="00934A28"/>
    <w:rsid w:val="00934B05"/>
    <w:rsid w:val="00934B09"/>
    <w:rsid w:val="00934C07"/>
    <w:rsid w:val="00934C22"/>
    <w:rsid w:val="00934EAE"/>
    <w:rsid w:val="00934EFD"/>
    <w:rsid w:val="00934FB9"/>
    <w:rsid w:val="00934FE2"/>
    <w:rsid w:val="00935188"/>
    <w:rsid w:val="009351B1"/>
    <w:rsid w:val="009351BE"/>
    <w:rsid w:val="0093526D"/>
    <w:rsid w:val="00935296"/>
    <w:rsid w:val="009354FE"/>
    <w:rsid w:val="00935501"/>
    <w:rsid w:val="00935608"/>
    <w:rsid w:val="009356E0"/>
    <w:rsid w:val="00935858"/>
    <w:rsid w:val="009358D9"/>
    <w:rsid w:val="00935B0B"/>
    <w:rsid w:val="00935B6E"/>
    <w:rsid w:val="00935F27"/>
    <w:rsid w:val="009360C3"/>
    <w:rsid w:val="009361E3"/>
    <w:rsid w:val="0093631C"/>
    <w:rsid w:val="00936335"/>
    <w:rsid w:val="00936418"/>
    <w:rsid w:val="009364EA"/>
    <w:rsid w:val="009368F9"/>
    <w:rsid w:val="009368FE"/>
    <w:rsid w:val="00936AC5"/>
    <w:rsid w:val="00936B4B"/>
    <w:rsid w:val="00936C54"/>
    <w:rsid w:val="00936CC6"/>
    <w:rsid w:val="00936E96"/>
    <w:rsid w:val="00937194"/>
    <w:rsid w:val="00937244"/>
    <w:rsid w:val="009375C0"/>
    <w:rsid w:val="00937680"/>
    <w:rsid w:val="009376B4"/>
    <w:rsid w:val="009376CA"/>
    <w:rsid w:val="009377BB"/>
    <w:rsid w:val="00937932"/>
    <w:rsid w:val="009379D5"/>
    <w:rsid w:val="00937BCF"/>
    <w:rsid w:val="00937C77"/>
    <w:rsid w:val="00937C80"/>
    <w:rsid w:val="00940458"/>
    <w:rsid w:val="009404AF"/>
    <w:rsid w:val="0094074F"/>
    <w:rsid w:val="00940855"/>
    <w:rsid w:val="00940BC9"/>
    <w:rsid w:val="00940CA5"/>
    <w:rsid w:val="00940F1B"/>
    <w:rsid w:val="00940F1E"/>
    <w:rsid w:val="009410C2"/>
    <w:rsid w:val="0094123C"/>
    <w:rsid w:val="0094124F"/>
    <w:rsid w:val="0094128D"/>
    <w:rsid w:val="00941419"/>
    <w:rsid w:val="00941506"/>
    <w:rsid w:val="00941692"/>
    <w:rsid w:val="009416DC"/>
    <w:rsid w:val="009419B9"/>
    <w:rsid w:val="00941B22"/>
    <w:rsid w:val="00941BF9"/>
    <w:rsid w:val="00941C4D"/>
    <w:rsid w:val="00941D7C"/>
    <w:rsid w:val="00941F40"/>
    <w:rsid w:val="00941F66"/>
    <w:rsid w:val="00942058"/>
    <w:rsid w:val="009420FB"/>
    <w:rsid w:val="009421BF"/>
    <w:rsid w:val="009422B1"/>
    <w:rsid w:val="0094232A"/>
    <w:rsid w:val="00942599"/>
    <w:rsid w:val="0094269D"/>
    <w:rsid w:val="00942795"/>
    <w:rsid w:val="0094280E"/>
    <w:rsid w:val="0094286D"/>
    <w:rsid w:val="009429EC"/>
    <w:rsid w:val="00942A03"/>
    <w:rsid w:val="00942B90"/>
    <w:rsid w:val="00942C2A"/>
    <w:rsid w:val="00942CF7"/>
    <w:rsid w:val="00942D21"/>
    <w:rsid w:val="00942E79"/>
    <w:rsid w:val="00942E7E"/>
    <w:rsid w:val="00942EEF"/>
    <w:rsid w:val="00942F5E"/>
    <w:rsid w:val="009430DF"/>
    <w:rsid w:val="0094345F"/>
    <w:rsid w:val="00943466"/>
    <w:rsid w:val="00943529"/>
    <w:rsid w:val="009435FC"/>
    <w:rsid w:val="009437AF"/>
    <w:rsid w:val="009437D1"/>
    <w:rsid w:val="009438E8"/>
    <w:rsid w:val="00943AB6"/>
    <w:rsid w:val="00943C8B"/>
    <w:rsid w:val="00943CFA"/>
    <w:rsid w:val="00943D70"/>
    <w:rsid w:val="00943E80"/>
    <w:rsid w:val="00943F5C"/>
    <w:rsid w:val="00943FDA"/>
    <w:rsid w:val="009443D5"/>
    <w:rsid w:val="009444E2"/>
    <w:rsid w:val="009447EA"/>
    <w:rsid w:val="00944CCC"/>
    <w:rsid w:val="00944D13"/>
    <w:rsid w:val="00944F3D"/>
    <w:rsid w:val="00944F67"/>
    <w:rsid w:val="00944FB1"/>
    <w:rsid w:val="0094512A"/>
    <w:rsid w:val="00945159"/>
    <w:rsid w:val="00945221"/>
    <w:rsid w:val="0094538C"/>
    <w:rsid w:val="00945506"/>
    <w:rsid w:val="0094555D"/>
    <w:rsid w:val="009455E7"/>
    <w:rsid w:val="009455F0"/>
    <w:rsid w:val="00945630"/>
    <w:rsid w:val="00945643"/>
    <w:rsid w:val="0094579E"/>
    <w:rsid w:val="00945864"/>
    <w:rsid w:val="009458CB"/>
    <w:rsid w:val="0094596E"/>
    <w:rsid w:val="00945AE2"/>
    <w:rsid w:val="00945AEF"/>
    <w:rsid w:val="00945BD0"/>
    <w:rsid w:val="00945BE0"/>
    <w:rsid w:val="00945C29"/>
    <w:rsid w:val="00945CAB"/>
    <w:rsid w:val="00945CE3"/>
    <w:rsid w:val="00945D40"/>
    <w:rsid w:val="00945DA7"/>
    <w:rsid w:val="00945E5E"/>
    <w:rsid w:val="00945EA4"/>
    <w:rsid w:val="00945FFA"/>
    <w:rsid w:val="009460AB"/>
    <w:rsid w:val="00946382"/>
    <w:rsid w:val="00946385"/>
    <w:rsid w:val="0094642F"/>
    <w:rsid w:val="009464B2"/>
    <w:rsid w:val="0094652E"/>
    <w:rsid w:val="009465A6"/>
    <w:rsid w:val="009466AA"/>
    <w:rsid w:val="009466CB"/>
    <w:rsid w:val="009467CE"/>
    <w:rsid w:val="0094684F"/>
    <w:rsid w:val="009468BD"/>
    <w:rsid w:val="0094696C"/>
    <w:rsid w:val="0094697A"/>
    <w:rsid w:val="00946B57"/>
    <w:rsid w:val="00946BA6"/>
    <w:rsid w:val="00946CDA"/>
    <w:rsid w:val="00946CE6"/>
    <w:rsid w:val="00946D75"/>
    <w:rsid w:val="00947074"/>
    <w:rsid w:val="0094708D"/>
    <w:rsid w:val="009470CA"/>
    <w:rsid w:val="0094749D"/>
    <w:rsid w:val="0094758D"/>
    <w:rsid w:val="009475A6"/>
    <w:rsid w:val="00947607"/>
    <w:rsid w:val="00947621"/>
    <w:rsid w:val="009476D6"/>
    <w:rsid w:val="00947793"/>
    <w:rsid w:val="009478FE"/>
    <w:rsid w:val="00947979"/>
    <w:rsid w:val="00947C03"/>
    <w:rsid w:val="00947F35"/>
    <w:rsid w:val="00950028"/>
    <w:rsid w:val="00950049"/>
    <w:rsid w:val="009501F4"/>
    <w:rsid w:val="00950362"/>
    <w:rsid w:val="009503E7"/>
    <w:rsid w:val="0095043E"/>
    <w:rsid w:val="0095058D"/>
    <w:rsid w:val="0095062D"/>
    <w:rsid w:val="0095068F"/>
    <w:rsid w:val="00950769"/>
    <w:rsid w:val="009507B6"/>
    <w:rsid w:val="009507D7"/>
    <w:rsid w:val="00950807"/>
    <w:rsid w:val="0095093D"/>
    <w:rsid w:val="009509B7"/>
    <w:rsid w:val="009509DF"/>
    <w:rsid w:val="009509EF"/>
    <w:rsid w:val="00950A3A"/>
    <w:rsid w:val="00950A56"/>
    <w:rsid w:val="00950B07"/>
    <w:rsid w:val="00950CA6"/>
    <w:rsid w:val="00950FC6"/>
    <w:rsid w:val="00951050"/>
    <w:rsid w:val="00951098"/>
    <w:rsid w:val="0095131A"/>
    <w:rsid w:val="00951323"/>
    <w:rsid w:val="009513CB"/>
    <w:rsid w:val="00951408"/>
    <w:rsid w:val="0095151D"/>
    <w:rsid w:val="00951649"/>
    <w:rsid w:val="009517B8"/>
    <w:rsid w:val="00951B69"/>
    <w:rsid w:val="00951C7C"/>
    <w:rsid w:val="0095211D"/>
    <w:rsid w:val="00952127"/>
    <w:rsid w:val="009522DD"/>
    <w:rsid w:val="0095251B"/>
    <w:rsid w:val="0095269D"/>
    <w:rsid w:val="009526DA"/>
    <w:rsid w:val="009528FE"/>
    <w:rsid w:val="00952951"/>
    <w:rsid w:val="00952A96"/>
    <w:rsid w:val="00952AA4"/>
    <w:rsid w:val="00952B3C"/>
    <w:rsid w:val="00952B55"/>
    <w:rsid w:val="00952B9F"/>
    <w:rsid w:val="00952C28"/>
    <w:rsid w:val="00952C95"/>
    <w:rsid w:val="00952D13"/>
    <w:rsid w:val="00952D40"/>
    <w:rsid w:val="00952DF2"/>
    <w:rsid w:val="00952E68"/>
    <w:rsid w:val="00952EC1"/>
    <w:rsid w:val="00952F48"/>
    <w:rsid w:val="00953127"/>
    <w:rsid w:val="00953678"/>
    <w:rsid w:val="0095392F"/>
    <w:rsid w:val="009539FD"/>
    <w:rsid w:val="00953A11"/>
    <w:rsid w:val="00953ADB"/>
    <w:rsid w:val="00953AEC"/>
    <w:rsid w:val="00953C18"/>
    <w:rsid w:val="00953C3D"/>
    <w:rsid w:val="00953C85"/>
    <w:rsid w:val="00953CB6"/>
    <w:rsid w:val="00953CC0"/>
    <w:rsid w:val="00953D45"/>
    <w:rsid w:val="00953D71"/>
    <w:rsid w:val="009541B5"/>
    <w:rsid w:val="009541FC"/>
    <w:rsid w:val="00954282"/>
    <w:rsid w:val="009542B2"/>
    <w:rsid w:val="009543FA"/>
    <w:rsid w:val="0095450F"/>
    <w:rsid w:val="0095457F"/>
    <w:rsid w:val="009545AA"/>
    <w:rsid w:val="00954639"/>
    <w:rsid w:val="0095482B"/>
    <w:rsid w:val="0095490C"/>
    <w:rsid w:val="00954A0B"/>
    <w:rsid w:val="00954C8F"/>
    <w:rsid w:val="00954CBF"/>
    <w:rsid w:val="00954E25"/>
    <w:rsid w:val="00954F26"/>
    <w:rsid w:val="009551D7"/>
    <w:rsid w:val="00955310"/>
    <w:rsid w:val="00955366"/>
    <w:rsid w:val="00955375"/>
    <w:rsid w:val="00955497"/>
    <w:rsid w:val="00955563"/>
    <w:rsid w:val="00955817"/>
    <w:rsid w:val="009558B9"/>
    <w:rsid w:val="009559CF"/>
    <w:rsid w:val="00955A2E"/>
    <w:rsid w:val="00955AE5"/>
    <w:rsid w:val="00955BEC"/>
    <w:rsid w:val="00955D5F"/>
    <w:rsid w:val="00955F3B"/>
    <w:rsid w:val="00955F69"/>
    <w:rsid w:val="00956019"/>
    <w:rsid w:val="0095605A"/>
    <w:rsid w:val="009561B9"/>
    <w:rsid w:val="0095623A"/>
    <w:rsid w:val="0095630C"/>
    <w:rsid w:val="0095642C"/>
    <w:rsid w:val="0095661C"/>
    <w:rsid w:val="00956A52"/>
    <w:rsid w:val="00956B20"/>
    <w:rsid w:val="00956BA1"/>
    <w:rsid w:val="00956DF5"/>
    <w:rsid w:val="0095705E"/>
    <w:rsid w:val="0095721C"/>
    <w:rsid w:val="0095726D"/>
    <w:rsid w:val="0095752E"/>
    <w:rsid w:val="00957567"/>
    <w:rsid w:val="00957973"/>
    <w:rsid w:val="00957A51"/>
    <w:rsid w:val="00957A56"/>
    <w:rsid w:val="00957BEF"/>
    <w:rsid w:val="00957E9F"/>
    <w:rsid w:val="00957EA2"/>
    <w:rsid w:val="00960027"/>
    <w:rsid w:val="00960229"/>
    <w:rsid w:val="009602C4"/>
    <w:rsid w:val="00960415"/>
    <w:rsid w:val="00960528"/>
    <w:rsid w:val="0096069E"/>
    <w:rsid w:val="009606F7"/>
    <w:rsid w:val="00960710"/>
    <w:rsid w:val="00960A45"/>
    <w:rsid w:val="00960B83"/>
    <w:rsid w:val="00960C30"/>
    <w:rsid w:val="00960D59"/>
    <w:rsid w:val="00961053"/>
    <w:rsid w:val="00961099"/>
    <w:rsid w:val="0096122E"/>
    <w:rsid w:val="009612B6"/>
    <w:rsid w:val="0096143E"/>
    <w:rsid w:val="00961662"/>
    <w:rsid w:val="00961BFF"/>
    <w:rsid w:val="00961D88"/>
    <w:rsid w:val="00961E78"/>
    <w:rsid w:val="00961F03"/>
    <w:rsid w:val="00962187"/>
    <w:rsid w:val="009621FB"/>
    <w:rsid w:val="009622F9"/>
    <w:rsid w:val="00962335"/>
    <w:rsid w:val="009627BA"/>
    <w:rsid w:val="009627F1"/>
    <w:rsid w:val="00962A5C"/>
    <w:rsid w:val="00962A73"/>
    <w:rsid w:val="00962AC6"/>
    <w:rsid w:val="00962D8D"/>
    <w:rsid w:val="00962E31"/>
    <w:rsid w:val="00963158"/>
    <w:rsid w:val="0096321B"/>
    <w:rsid w:val="009632FE"/>
    <w:rsid w:val="00963303"/>
    <w:rsid w:val="009633B0"/>
    <w:rsid w:val="00963492"/>
    <w:rsid w:val="00963566"/>
    <w:rsid w:val="0096391E"/>
    <w:rsid w:val="0096392A"/>
    <w:rsid w:val="009639DE"/>
    <w:rsid w:val="0096406B"/>
    <w:rsid w:val="009640B0"/>
    <w:rsid w:val="0096426E"/>
    <w:rsid w:val="009643DD"/>
    <w:rsid w:val="009643E3"/>
    <w:rsid w:val="0096451B"/>
    <w:rsid w:val="00964524"/>
    <w:rsid w:val="009645B1"/>
    <w:rsid w:val="009647FC"/>
    <w:rsid w:val="00964865"/>
    <w:rsid w:val="00964A11"/>
    <w:rsid w:val="00964C17"/>
    <w:rsid w:val="00964C60"/>
    <w:rsid w:val="00964D0C"/>
    <w:rsid w:val="00964D75"/>
    <w:rsid w:val="00964DFE"/>
    <w:rsid w:val="009653A7"/>
    <w:rsid w:val="00965407"/>
    <w:rsid w:val="009654CE"/>
    <w:rsid w:val="00965584"/>
    <w:rsid w:val="009655AD"/>
    <w:rsid w:val="00965638"/>
    <w:rsid w:val="00965658"/>
    <w:rsid w:val="00965770"/>
    <w:rsid w:val="00965785"/>
    <w:rsid w:val="00965944"/>
    <w:rsid w:val="009659DB"/>
    <w:rsid w:val="00965A80"/>
    <w:rsid w:val="00965C53"/>
    <w:rsid w:val="00965E72"/>
    <w:rsid w:val="00965EC2"/>
    <w:rsid w:val="00965FF3"/>
    <w:rsid w:val="0096605B"/>
    <w:rsid w:val="0096607B"/>
    <w:rsid w:val="0096609D"/>
    <w:rsid w:val="00966138"/>
    <w:rsid w:val="00966209"/>
    <w:rsid w:val="0096648E"/>
    <w:rsid w:val="009665A5"/>
    <w:rsid w:val="00966628"/>
    <w:rsid w:val="00966672"/>
    <w:rsid w:val="009666FE"/>
    <w:rsid w:val="00966706"/>
    <w:rsid w:val="009667F4"/>
    <w:rsid w:val="0096699B"/>
    <w:rsid w:val="009669B8"/>
    <w:rsid w:val="00966A36"/>
    <w:rsid w:val="00966A72"/>
    <w:rsid w:val="00966A9B"/>
    <w:rsid w:val="00966BF0"/>
    <w:rsid w:val="00966C06"/>
    <w:rsid w:val="00966C98"/>
    <w:rsid w:val="00966CD0"/>
    <w:rsid w:val="00966CE2"/>
    <w:rsid w:val="00966F87"/>
    <w:rsid w:val="00967299"/>
    <w:rsid w:val="009673BA"/>
    <w:rsid w:val="00967536"/>
    <w:rsid w:val="0096767D"/>
    <w:rsid w:val="009677AF"/>
    <w:rsid w:val="00967806"/>
    <w:rsid w:val="00967BD3"/>
    <w:rsid w:val="00967C33"/>
    <w:rsid w:val="00967CD6"/>
    <w:rsid w:val="00967D7A"/>
    <w:rsid w:val="00970393"/>
    <w:rsid w:val="009703DE"/>
    <w:rsid w:val="00970507"/>
    <w:rsid w:val="009705C4"/>
    <w:rsid w:val="0097079E"/>
    <w:rsid w:val="009707BA"/>
    <w:rsid w:val="009708BE"/>
    <w:rsid w:val="009708E8"/>
    <w:rsid w:val="00970969"/>
    <w:rsid w:val="0097099D"/>
    <w:rsid w:val="00970A0A"/>
    <w:rsid w:val="00970B6B"/>
    <w:rsid w:val="00970EB2"/>
    <w:rsid w:val="00970EE0"/>
    <w:rsid w:val="00970FE4"/>
    <w:rsid w:val="0097103D"/>
    <w:rsid w:val="009710AC"/>
    <w:rsid w:val="0097111E"/>
    <w:rsid w:val="0097117E"/>
    <w:rsid w:val="009711C5"/>
    <w:rsid w:val="00971320"/>
    <w:rsid w:val="00971413"/>
    <w:rsid w:val="00971484"/>
    <w:rsid w:val="009714EF"/>
    <w:rsid w:val="0097159A"/>
    <w:rsid w:val="0097160E"/>
    <w:rsid w:val="00971775"/>
    <w:rsid w:val="00971B22"/>
    <w:rsid w:val="00971BF5"/>
    <w:rsid w:val="00971D13"/>
    <w:rsid w:val="00971DF9"/>
    <w:rsid w:val="00971EA3"/>
    <w:rsid w:val="009720DA"/>
    <w:rsid w:val="0097222E"/>
    <w:rsid w:val="009722C9"/>
    <w:rsid w:val="00972475"/>
    <w:rsid w:val="00972496"/>
    <w:rsid w:val="009726FE"/>
    <w:rsid w:val="0097280A"/>
    <w:rsid w:val="0097287C"/>
    <w:rsid w:val="009728D7"/>
    <w:rsid w:val="0097291C"/>
    <w:rsid w:val="00972A14"/>
    <w:rsid w:val="00972AC6"/>
    <w:rsid w:val="00972B2F"/>
    <w:rsid w:val="00972B70"/>
    <w:rsid w:val="00972B9B"/>
    <w:rsid w:val="00972BB6"/>
    <w:rsid w:val="00972CBC"/>
    <w:rsid w:val="00972CF6"/>
    <w:rsid w:val="00973152"/>
    <w:rsid w:val="0097322E"/>
    <w:rsid w:val="0097326F"/>
    <w:rsid w:val="009732D2"/>
    <w:rsid w:val="0097331C"/>
    <w:rsid w:val="00973334"/>
    <w:rsid w:val="00973597"/>
    <w:rsid w:val="00973A6D"/>
    <w:rsid w:val="00973AFA"/>
    <w:rsid w:val="00973B4E"/>
    <w:rsid w:val="00973B59"/>
    <w:rsid w:val="00973D80"/>
    <w:rsid w:val="00973DB0"/>
    <w:rsid w:val="0097414E"/>
    <w:rsid w:val="0097430D"/>
    <w:rsid w:val="00974311"/>
    <w:rsid w:val="00974328"/>
    <w:rsid w:val="0097433D"/>
    <w:rsid w:val="00974479"/>
    <w:rsid w:val="009744B9"/>
    <w:rsid w:val="009744C2"/>
    <w:rsid w:val="00974677"/>
    <w:rsid w:val="009746CD"/>
    <w:rsid w:val="00974986"/>
    <w:rsid w:val="00974AD7"/>
    <w:rsid w:val="00974BF2"/>
    <w:rsid w:val="00974D3A"/>
    <w:rsid w:val="00974D93"/>
    <w:rsid w:val="00974F18"/>
    <w:rsid w:val="0097503C"/>
    <w:rsid w:val="009750E0"/>
    <w:rsid w:val="0097548A"/>
    <w:rsid w:val="00975715"/>
    <w:rsid w:val="00975733"/>
    <w:rsid w:val="00975745"/>
    <w:rsid w:val="0097578B"/>
    <w:rsid w:val="00975950"/>
    <w:rsid w:val="00975D6F"/>
    <w:rsid w:val="00975D91"/>
    <w:rsid w:val="00976130"/>
    <w:rsid w:val="00976197"/>
    <w:rsid w:val="0097629A"/>
    <w:rsid w:val="00976505"/>
    <w:rsid w:val="009766D5"/>
    <w:rsid w:val="009768C4"/>
    <w:rsid w:val="00976933"/>
    <w:rsid w:val="00976A3B"/>
    <w:rsid w:val="00976AED"/>
    <w:rsid w:val="00976B81"/>
    <w:rsid w:val="00976BBA"/>
    <w:rsid w:val="00976BEA"/>
    <w:rsid w:val="00976C6C"/>
    <w:rsid w:val="00976CBD"/>
    <w:rsid w:val="00976E6A"/>
    <w:rsid w:val="00976FB9"/>
    <w:rsid w:val="009770E4"/>
    <w:rsid w:val="0097714D"/>
    <w:rsid w:val="00977299"/>
    <w:rsid w:val="00977441"/>
    <w:rsid w:val="00977485"/>
    <w:rsid w:val="009774F6"/>
    <w:rsid w:val="0097757F"/>
    <w:rsid w:val="0097784B"/>
    <w:rsid w:val="00977A3B"/>
    <w:rsid w:val="00977A80"/>
    <w:rsid w:val="00977ABF"/>
    <w:rsid w:val="00977B76"/>
    <w:rsid w:val="00977F56"/>
    <w:rsid w:val="00977F62"/>
    <w:rsid w:val="009800CC"/>
    <w:rsid w:val="009800EC"/>
    <w:rsid w:val="0098027D"/>
    <w:rsid w:val="009804AB"/>
    <w:rsid w:val="009804F5"/>
    <w:rsid w:val="00980522"/>
    <w:rsid w:val="00980532"/>
    <w:rsid w:val="00980823"/>
    <w:rsid w:val="0098082A"/>
    <w:rsid w:val="009809F2"/>
    <w:rsid w:val="00980B04"/>
    <w:rsid w:val="00980B78"/>
    <w:rsid w:val="00980D78"/>
    <w:rsid w:val="00980E0D"/>
    <w:rsid w:val="00980E91"/>
    <w:rsid w:val="00980EE0"/>
    <w:rsid w:val="00981085"/>
    <w:rsid w:val="0098108D"/>
    <w:rsid w:val="009810BC"/>
    <w:rsid w:val="009811A4"/>
    <w:rsid w:val="00981435"/>
    <w:rsid w:val="00981500"/>
    <w:rsid w:val="0098159E"/>
    <w:rsid w:val="00981645"/>
    <w:rsid w:val="00981777"/>
    <w:rsid w:val="0098197D"/>
    <w:rsid w:val="00981C6A"/>
    <w:rsid w:val="00981E3D"/>
    <w:rsid w:val="00981EB5"/>
    <w:rsid w:val="00981EEF"/>
    <w:rsid w:val="00982000"/>
    <w:rsid w:val="009821BB"/>
    <w:rsid w:val="0098229B"/>
    <w:rsid w:val="009822B8"/>
    <w:rsid w:val="00982344"/>
    <w:rsid w:val="00982604"/>
    <w:rsid w:val="00982680"/>
    <w:rsid w:val="00982942"/>
    <w:rsid w:val="00982B27"/>
    <w:rsid w:val="00982C8D"/>
    <w:rsid w:val="00982D4A"/>
    <w:rsid w:val="00983092"/>
    <w:rsid w:val="0098317E"/>
    <w:rsid w:val="009832B9"/>
    <w:rsid w:val="009833F0"/>
    <w:rsid w:val="0098349A"/>
    <w:rsid w:val="009834B0"/>
    <w:rsid w:val="00983587"/>
    <w:rsid w:val="00983791"/>
    <w:rsid w:val="009839F3"/>
    <w:rsid w:val="00983A21"/>
    <w:rsid w:val="00983C8F"/>
    <w:rsid w:val="00983F88"/>
    <w:rsid w:val="0098404E"/>
    <w:rsid w:val="0098448E"/>
    <w:rsid w:val="0098450E"/>
    <w:rsid w:val="009845C5"/>
    <w:rsid w:val="00984624"/>
    <w:rsid w:val="0098468B"/>
    <w:rsid w:val="009846CB"/>
    <w:rsid w:val="00984823"/>
    <w:rsid w:val="00984932"/>
    <w:rsid w:val="00984AF9"/>
    <w:rsid w:val="00984BD0"/>
    <w:rsid w:val="00984C32"/>
    <w:rsid w:val="00984D34"/>
    <w:rsid w:val="00985042"/>
    <w:rsid w:val="0098522F"/>
    <w:rsid w:val="009852BE"/>
    <w:rsid w:val="00985391"/>
    <w:rsid w:val="009853CD"/>
    <w:rsid w:val="0098542F"/>
    <w:rsid w:val="009854EB"/>
    <w:rsid w:val="009858FF"/>
    <w:rsid w:val="00985AEB"/>
    <w:rsid w:val="00985C03"/>
    <w:rsid w:val="00985C79"/>
    <w:rsid w:val="00985E59"/>
    <w:rsid w:val="00985F97"/>
    <w:rsid w:val="0098627D"/>
    <w:rsid w:val="0098629D"/>
    <w:rsid w:val="0098647B"/>
    <w:rsid w:val="009864E4"/>
    <w:rsid w:val="009864EF"/>
    <w:rsid w:val="00986599"/>
    <w:rsid w:val="009866B1"/>
    <w:rsid w:val="0098683D"/>
    <w:rsid w:val="00986D45"/>
    <w:rsid w:val="00986E65"/>
    <w:rsid w:val="00987006"/>
    <w:rsid w:val="00987015"/>
    <w:rsid w:val="00987058"/>
    <w:rsid w:val="009870E3"/>
    <w:rsid w:val="00987199"/>
    <w:rsid w:val="0098719A"/>
    <w:rsid w:val="00987221"/>
    <w:rsid w:val="00987327"/>
    <w:rsid w:val="009874C0"/>
    <w:rsid w:val="00987569"/>
    <w:rsid w:val="009876C8"/>
    <w:rsid w:val="00987805"/>
    <w:rsid w:val="009879CC"/>
    <w:rsid w:val="00987A57"/>
    <w:rsid w:val="00987AD7"/>
    <w:rsid w:val="00987B43"/>
    <w:rsid w:val="00987D30"/>
    <w:rsid w:val="00990215"/>
    <w:rsid w:val="00990242"/>
    <w:rsid w:val="0099052A"/>
    <w:rsid w:val="00990567"/>
    <w:rsid w:val="009905C9"/>
    <w:rsid w:val="0099069C"/>
    <w:rsid w:val="00990715"/>
    <w:rsid w:val="00990812"/>
    <w:rsid w:val="00990822"/>
    <w:rsid w:val="00990968"/>
    <w:rsid w:val="00990B7C"/>
    <w:rsid w:val="00991010"/>
    <w:rsid w:val="009910F4"/>
    <w:rsid w:val="00991126"/>
    <w:rsid w:val="00991377"/>
    <w:rsid w:val="009917AA"/>
    <w:rsid w:val="009918EB"/>
    <w:rsid w:val="00991988"/>
    <w:rsid w:val="00991A01"/>
    <w:rsid w:val="00991A28"/>
    <w:rsid w:val="00991BBD"/>
    <w:rsid w:val="00991BC0"/>
    <w:rsid w:val="00991C53"/>
    <w:rsid w:val="00991CDA"/>
    <w:rsid w:val="00991D65"/>
    <w:rsid w:val="00991DCE"/>
    <w:rsid w:val="00991DF8"/>
    <w:rsid w:val="00991E82"/>
    <w:rsid w:val="009920B3"/>
    <w:rsid w:val="00992192"/>
    <w:rsid w:val="009921B3"/>
    <w:rsid w:val="009921B7"/>
    <w:rsid w:val="009923D1"/>
    <w:rsid w:val="00992437"/>
    <w:rsid w:val="0099247D"/>
    <w:rsid w:val="00992487"/>
    <w:rsid w:val="00992528"/>
    <w:rsid w:val="009925A5"/>
    <w:rsid w:val="009925F4"/>
    <w:rsid w:val="009927C3"/>
    <w:rsid w:val="009929F6"/>
    <w:rsid w:val="00992A18"/>
    <w:rsid w:val="00992A39"/>
    <w:rsid w:val="00992AC7"/>
    <w:rsid w:val="00992D7A"/>
    <w:rsid w:val="00993096"/>
    <w:rsid w:val="00993264"/>
    <w:rsid w:val="00993419"/>
    <w:rsid w:val="009934A4"/>
    <w:rsid w:val="009934D2"/>
    <w:rsid w:val="009936EF"/>
    <w:rsid w:val="00993926"/>
    <w:rsid w:val="00993953"/>
    <w:rsid w:val="00993A76"/>
    <w:rsid w:val="00993B89"/>
    <w:rsid w:val="00993D17"/>
    <w:rsid w:val="00993E89"/>
    <w:rsid w:val="00993E8C"/>
    <w:rsid w:val="00993F51"/>
    <w:rsid w:val="00994010"/>
    <w:rsid w:val="0099401B"/>
    <w:rsid w:val="00994069"/>
    <w:rsid w:val="00994098"/>
    <w:rsid w:val="00994386"/>
    <w:rsid w:val="009943C6"/>
    <w:rsid w:val="00994767"/>
    <w:rsid w:val="009947BB"/>
    <w:rsid w:val="009947FB"/>
    <w:rsid w:val="00994970"/>
    <w:rsid w:val="00994A08"/>
    <w:rsid w:val="00994A22"/>
    <w:rsid w:val="00994D41"/>
    <w:rsid w:val="00995031"/>
    <w:rsid w:val="00995037"/>
    <w:rsid w:val="009950CD"/>
    <w:rsid w:val="00995186"/>
    <w:rsid w:val="009952D9"/>
    <w:rsid w:val="0099559A"/>
    <w:rsid w:val="009955DF"/>
    <w:rsid w:val="00995736"/>
    <w:rsid w:val="00995745"/>
    <w:rsid w:val="0099585D"/>
    <w:rsid w:val="00995ABB"/>
    <w:rsid w:val="00995E69"/>
    <w:rsid w:val="00995E72"/>
    <w:rsid w:val="00996097"/>
    <w:rsid w:val="00996143"/>
    <w:rsid w:val="00996301"/>
    <w:rsid w:val="00996671"/>
    <w:rsid w:val="0099685B"/>
    <w:rsid w:val="00996941"/>
    <w:rsid w:val="009969F7"/>
    <w:rsid w:val="00996A2F"/>
    <w:rsid w:val="00996A57"/>
    <w:rsid w:val="00996A72"/>
    <w:rsid w:val="00996A73"/>
    <w:rsid w:val="00996B84"/>
    <w:rsid w:val="00996CC4"/>
    <w:rsid w:val="00996CDB"/>
    <w:rsid w:val="00996D92"/>
    <w:rsid w:val="00996DAE"/>
    <w:rsid w:val="00996F36"/>
    <w:rsid w:val="00996F8A"/>
    <w:rsid w:val="00996FF3"/>
    <w:rsid w:val="00997029"/>
    <w:rsid w:val="00997087"/>
    <w:rsid w:val="0099711E"/>
    <w:rsid w:val="0099714A"/>
    <w:rsid w:val="00997246"/>
    <w:rsid w:val="009972CE"/>
    <w:rsid w:val="009972FC"/>
    <w:rsid w:val="00997317"/>
    <w:rsid w:val="0099750A"/>
    <w:rsid w:val="00997533"/>
    <w:rsid w:val="00997535"/>
    <w:rsid w:val="00997586"/>
    <w:rsid w:val="00997603"/>
    <w:rsid w:val="00997606"/>
    <w:rsid w:val="0099762E"/>
    <w:rsid w:val="0099768C"/>
    <w:rsid w:val="009976C8"/>
    <w:rsid w:val="009977AF"/>
    <w:rsid w:val="009978D9"/>
    <w:rsid w:val="009978E2"/>
    <w:rsid w:val="00997B52"/>
    <w:rsid w:val="00997E2E"/>
    <w:rsid w:val="00997FEA"/>
    <w:rsid w:val="009A00FF"/>
    <w:rsid w:val="009A0131"/>
    <w:rsid w:val="009A01A8"/>
    <w:rsid w:val="009A01AB"/>
    <w:rsid w:val="009A02C1"/>
    <w:rsid w:val="009A0312"/>
    <w:rsid w:val="009A0414"/>
    <w:rsid w:val="009A0421"/>
    <w:rsid w:val="009A04AE"/>
    <w:rsid w:val="009A0651"/>
    <w:rsid w:val="009A0C39"/>
    <w:rsid w:val="009A1212"/>
    <w:rsid w:val="009A1274"/>
    <w:rsid w:val="009A1362"/>
    <w:rsid w:val="009A13B9"/>
    <w:rsid w:val="009A1426"/>
    <w:rsid w:val="009A157D"/>
    <w:rsid w:val="009A1694"/>
    <w:rsid w:val="009A17F6"/>
    <w:rsid w:val="009A1BA2"/>
    <w:rsid w:val="009A1BEB"/>
    <w:rsid w:val="009A1CB7"/>
    <w:rsid w:val="009A1E58"/>
    <w:rsid w:val="009A1FE5"/>
    <w:rsid w:val="009A225D"/>
    <w:rsid w:val="009A22EC"/>
    <w:rsid w:val="009A25E5"/>
    <w:rsid w:val="009A283A"/>
    <w:rsid w:val="009A288C"/>
    <w:rsid w:val="009A292F"/>
    <w:rsid w:val="009A2AFF"/>
    <w:rsid w:val="009A2BF8"/>
    <w:rsid w:val="009A2D36"/>
    <w:rsid w:val="009A3125"/>
    <w:rsid w:val="009A3163"/>
    <w:rsid w:val="009A3170"/>
    <w:rsid w:val="009A317A"/>
    <w:rsid w:val="009A31BB"/>
    <w:rsid w:val="009A3450"/>
    <w:rsid w:val="009A34AB"/>
    <w:rsid w:val="009A3680"/>
    <w:rsid w:val="009A36C9"/>
    <w:rsid w:val="009A36FB"/>
    <w:rsid w:val="009A3A5C"/>
    <w:rsid w:val="009A3BFD"/>
    <w:rsid w:val="009A3D1F"/>
    <w:rsid w:val="009A3D56"/>
    <w:rsid w:val="009A3E09"/>
    <w:rsid w:val="009A3EEF"/>
    <w:rsid w:val="009A3F9A"/>
    <w:rsid w:val="009A3FC8"/>
    <w:rsid w:val="009A4036"/>
    <w:rsid w:val="009A4040"/>
    <w:rsid w:val="009A40B2"/>
    <w:rsid w:val="009A40FE"/>
    <w:rsid w:val="009A41DC"/>
    <w:rsid w:val="009A4221"/>
    <w:rsid w:val="009A46F2"/>
    <w:rsid w:val="009A479D"/>
    <w:rsid w:val="009A49FE"/>
    <w:rsid w:val="009A4A2D"/>
    <w:rsid w:val="009A4B2F"/>
    <w:rsid w:val="009A4B4D"/>
    <w:rsid w:val="009A4D66"/>
    <w:rsid w:val="009A4FFA"/>
    <w:rsid w:val="009A51DB"/>
    <w:rsid w:val="009A532C"/>
    <w:rsid w:val="009A54B3"/>
    <w:rsid w:val="009A54F5"/>
    <w:rsid w:val="009A553C"/>
    <w:rsid w:val="009A555A"/>
    <w:rsid w:val="009A59FD"/>
    <w:rsid w:val="009A5B5D"/>
    <w:rsid w:val="009A5BFA"/>
    <w:rsid w:val="009A5CE7"/>
    <w:rsid w:val="009A5F2D"/>
    <w:rsid w:val="009A610A"/>
    <w:rsid w:val="009A6453"/>
    <w:rsid w:val="009A64C7"/>
    <w:rsid w:val="009A6636"/>
    <w:rsid w:val="009A6791"/>
    <w:rsid w:val="009A67F9"/>
    <w:rsid w:val="009A6870"/>
    <w:rsid w:val="009A6AD6"/>
    <w:rsid w:val="009A6AEA"/>
    <w:rsid w:val="009A6F87"/>
    <w:rsid w:val="009A701C"/>
    <w:rsid w:val="009A73CB"/>
    <w:rsid w:val="009A745A"/>
    <w:rsid w:val="009A75E9"/>
    <w:rsid w:val="009A7691"/>
    <w:rsid w:val="009A778A"/>
    <w:rsid w:val="009A793E"/>
    <w:rsid w:val="009A7A23"/>
    <w:rsid w:val="009A7C19"/>
    <w:rsid w:val="009A7D7C"/>
    <w:rsid w:val="009A7DCC"/>
    <w:rsid w:val="009A7F23"/>
    <w:rsid w:val="009B01A0"/>
    <w:rsid w:val="009B01D5"/>
    <w:rsid w:val="009B02FF"/>
    <w:rsid w:val="009B0465"/>
    <w:rsid w:val="009B046B"/>
    <w:rsid w:val="009B05FE"/>
    <w:rsid w:val="009B063D"/>
    <w:rsid w:val="009B0671"/>
    <w:rsid w:val="009B0874"/>
    <w:rsid w:val="009B0A7C"/>
    <w:rsid w:val="009B0EFA"/>
    <w:rsid w:val="009B0F51"/>
    <w:rsid w:val="009B0FBF"/>
    <w:rsid w:val="009B1131"/>
    <w:rsid w:val="009B1387"/>
    <w:rsid w:val="009B14E9"/>
    <w:rsid w:val="009B14F3"/>
    <w:rsid w:val="009B1659"/>
    <w:rsid w:val="009B1692"/>
    <w:rsid w:val="009B16B0"/>
    <w:rsid w:val="009B17A2"/>
    <w:rsid w:val="009B188E"/>
    <w:rsid w:val="009B1BE4"/>
    <w:rsid w:val="009B1C01"/>
    <w:rsid w:val="009B1EB6"/>
    <w:rsid w:val="009B1EFD"/>
    <w:rsid w:val="009B1FC3"/>
    <w:rsid w:val="009B1FDF"/>
    <w:rsid w:val="009B209F"/>
    <w:rsid w:val="009B2118"/>
    <w:rsid w:val="009B215D"/>
    <w:rsid w:val="009B2415"/>
    <w:rsid w:val="009B2501"/>
    <w:rsid w:val="009B252C"/>
    <w:rsid w:val="009B2592"/>
    <w:rsid w:val="009B2639"/>
    <w:rsid w:val="009B2749"/>
    <w:rsid w:val="009B282B"/>
    <w:rsid w:val="009B29C0"/>
    <w:rsid w:val="009B29C6"/>
    <w:rsid w:val="009B2AC3"/>
    <w:rsid w:val="009B2CFA"/>
    <w:rsid w:val="009B2F19"/>
    <w:rsid w:val="009B3113"/>
    <w:rsid w:val="009B31E2"/>
    <w:rsid w:val="009B31FA"/>
    <w:rsid w:val="009B3201"/>
    <w:rsid w:val="009B34C3"/>
    <w:rsid w:val="009B3593"/>
    <w:rsid w:val="009B3607"/>
    <w:rsid w:val="009B3608"/>
    <w:rsid w:val="009B36E5"/>
    <w:rsid w:val="009B37E5"/>
    <w:rsid w:val="009B3858"/>
    <w:rsid w:val="009B3938"/>
    <w:rsid w:val="009B3D5D"/>
    <w:rsid w:val="009B3F07"/>
    <w:rsid w:val="009B3F20"/>
    <w:rsid w:val="009B418F"/>
    <w:rsid w:val="009B42FC"/>
    <w:rsid w:val="009B4302"/>
    <w:rsid w:val="009B44DD"/>
    <w:rsid w:val="009B4559"/>
    <w:rsid w:val="009B455E"/>
    <w:rsid w:val="009B45BC"/>
    <w:rsid w:val="009B4725"/>
    <w:rsid w:val="009B47A4"/>
    <w:rsid w:val="009B47D7"/>
    <w:rsid w:val="009B487C"/>
    <w:rsid w:val="009B498B"/>
    <w:rsid w:val="009B49DB"/>
    <w:rsid w:val="009B4A3C"/>
    <w:rsid w:val="009B4A78"/>
    <w:rsid w:val="009B4B9C"/>
    <w:rsid w:val="009B4C2A"/>
    <w:rsid w:val="009B4D15"/>
    <w:rsid w:val="009B4D98"/>
    <w:rsid w:val="009B4E91"/>
    <w:rsid w:val="009B4F7C"/>
    <w:rsid w:val="009B5185"/>
    <w:rsid w:val="009B5266"/>
    <w:rsid w:val="009B539E"/>
    <w:rsid w:val="009B53E1"/>
    <w:rsid w:val="009B5429"/>
    <w:rsid w:val="009B5551"/>
    <w:rsid w:val="009B56FE"/>
    <w:rsid w:val="009B573E"/>
    <w:rsid w:val="009B5943"/>
    <w:rsid w:val="009B5A24"/>
    <w:rsid w:val="009B5A7F"/>
    <w:rsid w:val="009B5C57"/>
    <w:rsid w:val="009B5DC3"/>
    <w:rsid w:val="009B5DD9"/>
    <w:rsid w:val="009B5E45"/>
    <w:rsid w:val="009B5E7F"/>
    <w:rsid w:val="009B5FB6"/>
    <w:rsid w:val="009B60D0"/>
    <w:rsid w:val="009B60DB"/>
    <w:rsid w:val="009B6121"/>
    <w:rsid w:val="009B61D4"/>
    <w:rsid w:val="009B6361"/>
    <w:rsid w:val="009B6363"/>
    <w:rsid w:val="009B6372"/>
    <w:rsid w:val="009B63F7"/>
    <w:rsid w:val="009B63FE"/>
    <w:rsid w:val="009B65E2"/>
    <w:rsid w:val="009B66D8"/>
    <w:rsid w:val="009B67D5"/>
    <w:rsid w:val="009B67ED"/>
    <w:rsid w:val="009B6810"/>
    <w:rsid w:val="009B6846"/>
    <w:rsid w:val="009B695D"/>
    <w:rsid w:val="009B6996"/>
    <w:rsid w:val="009B6A90"/>
    <w:rsid w:val="009B6C83"/>
    <w:rsid w:val="009B6E86"/>
    <w:rsid w:val="009B6F2F"/>
    <w:rsid w:val="009B72FB"/>
    <w:rsid w:val="009B74D2"/>
    <w:rsid w:val="009B75A7"/>
    <w:rsid w:val="009B7761"/>
    <w:rsid w:val="009B7F3D"/>
    <w:rsid w:val="009C006E"/>
    <w:rsid w:val="009C00B6"/>
    <w:rsid w:val="009C02F1"/>
    <w:rsid w:val="009C0317"/>
    <w:rsid w:val="009C06F2"/>
    <w:rsid w:val="009C0707"/>
    <w:rsid w:val="009C090E"/>
    <w:rsid w:val="009C095C"/>
    <w:rsid w:val="009C09BA"/>
    <w:rsid w:val="009C0DE3"/>
    <w:rsid w:val="009C0EA0"/>
    <w:rsid w:val="009C0F15"/>
    <w:rsid w:val="009C0F85"/>
    <w:rsid w:val="009C1061"/>
    <w:rsid w:val="009C1066"/>
    <w:rsid w:val="009C10CE"/>
    <w:rsid w:val="009C1296"/>
    <w:rsid w:val="009C1359"/>
    <w:rsid w:val="009C15F0"/>
    <w:rsid w:val="009C1793"/>
    <w:rsid w:val="009C17EE"/>
    <w:rsid w:val="009C1831"/>
    <w:rsid w:val="009C18F2"/>
    <w:rsid w:val="009C1A0A"/>
    <w:rsid w:val="009C1A5E"/>
    <w:rsid w:val="009C1A71"/>
    <w:rsid w:val="009C1B0C"/>
    <w:rsid w:val="009C1BDE"/>
    <w:rsid w:val="009C1C92"/>
    <w:rsid w:val="009C1D6F"/>
    <w:rsid w:val="009C1EFB"/>
    <w:rsid w:val="009C1FA8"/>
    <w:rsid w:val="009C216C"/>
    <w:rsid w:val="009C21B1"/>
    <w:rsid w:val="009C244E"/>
    <w:rsid w:val="009C24D7"/>
    <w:rsid w:val="009C271C"/>
    <w:rsid w:val="009C2783"/>
    <w:rsid w:val="009C278A"/>
    <w:rsid w:val="009C2C89"/>
    <w:rsid w:val="009C2E79"/>
    <w:rsid w:val="009C328C"/>
    <w:rsid w:val="009C329C"/>
    <w:rsid w:val="009C33B0"/>
    <w:rsid w:val="009C3548"/>
    <w:rsid w:val="009C354B"/>
    <w:rsid w:val="009C3666"/>
    <w:rsid w:val="009C372D"/>
    <w:rsid w:val="009C37E9"/>
    <w:rsid w:val="009C3817"/>
    <w:rsid w:val="009C38BA"/>
    <w:rsid w:val="009C3A08"/>
    <w:rsid w:val="009C3A40"/>
    <w:rsid w:val="009C3B14"/>
    <w:rsid w:val="009C3B24"/>
    <w:rsid w:val="009C3F78"/>
    <w:rsid w:val="009C4069"/>
    <w:rsid w:val="009C40D2"/>
    <w:rsid w:val="009C4238"/>
    <w:rsid w:val="009C443D"/>
    <w:rsid w:val="009C4581"/>
    <w:rsid w:val="009C47B4"/>
    <w:rsid w:val="009C488E"/>
    <w:rsid w:val="009C48CE"/>
    <w:rsid w:val="009C4905"/>
    <w:rsid w:val="009C4BDC"/>
    <w:rsid w:val="009C4DE1"/>
    <w:rsid w:val="009C50B0"/>
    <w:rsid w:val="009C50D7"/>
    <w:rsid w:val="009C511A"/>
    <w:rsid w:val="009C52A0"/>
    <w:rsid w:val="009C5423"/>
    <w:rsid w:val="009C54A9"/>
    <w:rsid w:val="009C552E"/>
    <w:rsid w:val="009C555A"/>
    <w:rsid w:val="009C57DB"/>
    <w:rsid w:val="009C599E"/>
    <w:rsid w:val="009C5CC1"/>
    <w:rsid w:val="009C5CFF"/>
    <w:rsid w:val="009C5F0F"/>
    <w:rsid w:val="009C60D2"/>
    <w:rsid w:val="009C611B"/>
    <w:rsid w:val="009C6209"/>
    <w:rsid w:val="009C6233"/>
    <w:rsid w:val="009C629E"/>
    <w:rsid w:val="009C6327"/>
    <w:rsid w:val="009C67AE"/>
    <w:rsid w:val="009C67D8"/>
    <w:rsid w:val="009C6A69"/>
    <w:rsid w:val="009C6D6F"/>
    <w:rsid w:val="009C6DAE"/>
    <w:rsid w:val="009C6E40"/>
    <w:rsid w:val="009C6E5F"/>
    <w:rsid w:val="009C6E89"/>
    <w:rsid w:val="009C73CD"/>
    <w:rsid w:val="009C74C7"/>
    <w:rsid w:val="009C74D2"/>
    <w:rsid w:val="009C75A8"/>
    <w:rsid w:val="009C76DE"/>
    <w:rsid w:val="009C76EC"/>
    <w:rsid w:val="009C774A"/>
    <w:rsid w:val="009C78F7"/>
    <w:rsid w:val="009C79B6"/>
    <w:rsid w:val="009C7A12"/>
    <w:rsid w:val="009C7A51"/>
    <w:rsid w:val="009C7B61"/>
    <w:rsid w:val="009C7CEE"/>
    <w:rsid w:val="009C7EF2"/>
    <w:rsid w:val="009C7F0C"/>
    <w:rsid w:val="009C7F16"/>
    <w:rsid w:val="009C7FF9"/>
    <w:rsid w:val="009D0027"/>
    <w:rsid w:val="009D01A9"/>
    <w:rsid w:val="009D0231"/>
    <w:rsid w:val="009D03F3"/>
    <w:rsid w:val="009D0423"/>
    <w:rsid w:val="009D04BF"/>
    <w:rsid w:val="009D052C"/>
    <w:rsid w:val="009D07B3"/>
    <w:rsid w:val="009D09B1"/>
    <w:rsid w:val="009D0B39"/>
    <w:rsid w:val="009D0C50"/>
    <w:rsid w:val="009D0C6F"/>
    <w:rsid w:val="009D0D4C"/>
    <w:rsid w:val="009D0DBA"/>
    <w:rsid w:val="009D1228"/>
    <w:rsid w:val="009D133A"/>
    <w:rsid w:val="009D1695"/>
    <w:rsid w:val="009D18C5"/>
    <w:rsid w:val="009D1975"/>
    <w:rsid w:val="009D1AB6"/>
    <w:rsid w:val="009D1AE5"/>
    <w:rsid w:val="009D1AF7"/>
    <w:rsid w:val="009D1C0C"/>
    <w:rsid w:val="009D1D8E"/>
    <w:rsid w:val="009D1E8A"/>
    <w:rsid w:val="009D1F91"/>
    <w:rsid w:val="009D1FC4"/>
    <w:rsid w:val="009D2548"/>
    <w:rsid w:val="009D271F"/>
    <w:rsid w:val="009D28DA"/>
    <w:rsid w:val="009D28E4"/>
    <w:rsid w:val="009D2C0D"/>
    <w:rsid w:val="009D2FE0"/>
    <w:rsid w:val="009D311A"/>
    <w:rsid w:val="009D31BE"/>
    <w:rsid w:val="009D31F9"/>
    <w:rsid w:val="009D346D"/>
    <w:rsid w:val="009D34FA"/>
    <w:rsid w:val="009D357A"/>
    <w:rsid w:val="009D37FC"/>
    <w:rsid w:val="009D3974"/>
    <w:rsid w:val="009D3AED"/>
    <w:rsid w:val="009D3F79"/>
    <w:rsid w:val="009D3FE1"/>
    <w:rsid w:val="009D4114"/>
    <w:rsid w:val="009D41EC"/>
    <w:rsid w:val="009D422E"/>
    <w:rsid w:val="009D4398"/>
    <w:rsid w:val="009D4409"/>
    <w:rsid w:val="009D44CF"/>
    <w:rsid w:val="009D4501"/>
    <w:rsid w:val="009D4677"/>
    <w:rsid w:val="009D46FA"/>
    <w:rsid w:val="009D4704"/>
    <w:rsid w:val="009D483D"/>
    <w:rsid w:val="009D4915"/>
    <w:rsid w:val="009D49A7"/>
    <w:rsid w:val="009D4BB2"/>
    <w:rsid w:val="009D4E26"/>
    <w:rsid w:val="009D4E89"/>
    <w:rsid w:val="009D4E9C"/>
    <w:rsid w:val="009D54AA"/>
    <w:rsid w:val="009D5500"/>
    <w:rsid w:val="009D5594"/>
    <w:rsid w:val="009D5680"/>
    <w:rsid w:val="009D56A4"/>
    <w:rsid w:val="009D58B2"/>
    <w:rsid w:val="009D5996"/>
    <w:rsid w:val="009D59C7"/>
    <w:rsid w:val="009D5E53"/>
    <w:rsid w:val="009D5FC3"/>
    <w:rsid w:val="009D6121"/>
    <w:rsid w:val="009D6137"/>
    <w:rsid w:val="009D6184"/>
    <w:rsid w:val="009D6356"/>
    <w:rsid w:val="009D635A"/>
    <w:rsid w:val="009D64E4"/>
    <w:rsid w:val="009D6689"/>
    <w:rsid w:val="009D68B3"/>
    <w:rsid w:val="009D690E"/>
    <w:rsid w:val="009D6B09"/>
    <w:rsid w:val="009D6B9D"/>
    <w:rsid w:val="009D6BC4"/>
    <w:rsid w:val="009D6D7B"/>
    <w:rsid w:val="009D6E3B"/>
    <w:rsid w:val="009D6E90"/>
    <w:rsid w:val="009D6EA0"/>
    <w:rsid w:val="009D6EF5"/>
    <w:rsid w:val="009D719F"/>
    <w:rsid w:val="009D71EC"/>
    <w:rsid w:val="009D72CE"/>
    <w:rsid w:val="009D7390"/>
    <w:rsid w:val="009D73E8"/>
    <w:rsid w:val="009D7452"/>
    <w:rsid w:val="009D74F3"/>
    <w:rsid w:val="009D7512"/>
    <w:rsid w:val="009D7662"/>
    <w:rsid w:val="009D772F"/>
    <w:rsid w:val="009D7797"/>
    <w:rsid w:val="009D7895"/>
    <w:rsid w:val="009D79FF"/>
    <w:rsid w:val="009D7A50"/>
    <w:rsid w:val="009D7BEF"/>
    <w:rsid w:val="009D7C2B"/>
    <w:rsid w:val="009D7CF7"/>
    <w:rsid w:val="009D7F16"/>
    <w:rsid w:val="009D7F50"/>
    <w:rsid w:val="009E000A"/>
    <w:rsid w:val="009E00AD"/>
    <w:rsid w:val="009E01E9"/>
    <w:rsid w:val="009E0220"/>
    <w:rsid w:val="009E025F"/>
    <w:rsid w:val="009E026A"/>
    <w:rsid w:val="009E0491"/>
    <w:rsid w:val="009E05F9"/>
    <w:rsid w:val="009E082D"/>
    <w:rsid w:val="009E0B13"/>
    <w:rsid w:val="009E0B98"/>
    <w:rsid w:val="009E0BE3"/>
    <w:rsid w:val="009E0E6C"/>
    <w:rsid w:val="009E1099"/>
    <w:rsid w:val="009E10B6"/>
    <w:rsid w:val="009E131E"/>
    <w:rsid w:val="009E133A"/>
    <w:rsid w:val="009E1360"/>
    <w:rsid w:val="009E14BA"/>
    <w:rsid w:val="009E17A5"/>
    <w:rsid w:val="009E185F"/>
    <w:rsid w:val="009E195F"/>
    <w:rsid w:val="009E19C0"/>
    <w:rsid w:val="009E1A20"/>
    <w:rsid w:val="009E1BA1"/>
    <w:rsid w:val="009E1C3F"/>
    <w:rsid w:val="009E1C6E"/>
    <w:rsid w:val="009E1CBD"/>
    <w:rsid w:val="009E1CE3"/>
    <w:rsid w:val="009E1D3E"/>
    <w:rsid w:val="009E2065"/>
    <w:rsid w:val="009E2160"/>
    <w:rsid w:val="009E21F8"/>
    <w:rsid w:val="009E2269"/>
    <w:rsid w:val="009E2341"/>
    <w:rsid w:val="009E248B"/>
    <w:rsid w:val="009E2722"/>
    <w:rsid w:val="009E2792"/>
    <w:rsid w:val="009E27BF"/>
    <w:rsid w:val="009E28A8"/>
    <w:rsid w:val="009E290B"/>
    <w:rsid w:val="009E2911"/>
    <w:rsid w:val="009E2983"/>
    <w:rsid w:val="009E2A56"/>
    <w:rsid w:val="009E2A7F"/>
    <w:rsid w:val="009E2C33"/>
    <w:rsid w:val="009E2CFE"/>
    <w:rsid w:val="009E2D51"/>
    <w:rsid w:val="009E2E44"/>
    <w:rsid w:val="009E2E9D"/>
    <w:rsid w:val="009E2F72"/>
    <w:rsid w:val="009E2FA7"/>
    <w:rsid w:val="009E3252"/>
    <w:rsid w:val="009E340A"/>
    <w:rsid w:val="009E3599"/>
    <w:rsid w:val="009E35B4"/>
    <w:rsid w:val="009E373B"/>
    <w:rsid w:val="009E37B6"/>
    <w:rsid w:val="009E3822"/>
    <w:rsid w:val="009E38F4"/>
    <w:rsid w:val="009E39B6"/>
    <w:rsid w:val="009E3A2C"/>
    <w:rsid w:val="009E3A86"/>
    <w:rsid w:val="009E3DFB"/>
    <w:rsid w:val="009E3F02"/>
    <w:rsid w:val="009E41C9"/>
    <w:rsid w:val="009E42D1"/>
    <w:rsid w:val="009E435F"/>
    <w:rsid w:val="009E43EA"/>
    <w:rsid w:val="009E44B9"/>
    <w:rsid w:val="009E4530"/>
    <w:rsid w:val="009E4732"/>
    <w:rsid w:val="009E484C"/>
    <w:rsid w:val="009E4BA1"/>
    <w:rsid w:val="009E4BB1"/>
    <w:rsid w:val="009E4BCA"/>
    <w:rsid w:val="009E4BD8"/>
    <w:rsid w:val="009E4BE3"/>
    <w:rsid w:val="009E4CD3"/>
    <w:rsid w:val="009E4D25"/>
    <w:rsid w:val="009E4D62"/>
    <w:rsid w:val="009E4F3D"/>
    <w:rsid w:val="009E4F9A"/>
    <w:rsid w:val="009E4FCE"/>
    <w:rsid w:val="009E522E"/>
    <w:rsid w:val="009E5642"/>
    <w:rsid w:val="009E570E"/>
    <w:rsid w:val="009E5772"/>
    <w:rsid w:val="009E5793"/>
    <w:rsid w:val="009E5810"/>
    <w:rsid w:val="009E5849"/>
    <w:rsid w:val="009E585A"/>
    <w:rsid w:val="009E58B7"/>
    <w:rsid w:val="009E5AEE"/>
    <w:rsid w:val="009E5BE6"/>
    <w:rsid w:val="009E5E54"/>
    <w:rsid w:val="009E60C4"/>
    <w:rsid w:val="009E62F5"/>
    <w:rsid w:val="009E63A7"/>
    <w:rsid w:val="009E658F"/>
    <w:rsid w:val="009E65CD"/>
    <w:rsid w:val="009E65D9"/>
    <w:rsid w:val="009E6674"/>
    <w:rsid w:val="009E67FD"/>
    <w:rsid w:val="009E686D"/>
    <w:rsid w:val="009E6DD8"/>
    <w:rsid w:val="009E6E81"/>
    <w:rsid w:val="009E7038"/>
    <w:rsid w:val="009E7131"/>
    <w:rsid w:val="009E73E7"/>
    <w:rsid w:val="009E74C8"/>
    <w:rsid w:val="009E74FB"/>
    <w:rsid w:val="009E7534"/>
    <w:rsid w:val="009E757B"/>
    <w:rsid w:val="009E766A"/>
    <w:rsid w:val="009E7683"/>
    <w:rsid w:val="009E7693"/>
    <w:rsid w:val="009E772C"/>
    <w:rsid w:val="009E774A"/>
    <w:rsid w:val="009E7763"/>
    <w:rsid w:val="009E77DF"/>
    <w:rsid w:val="009E7866"/>
    <w:rsid w:val="009E7981"/>
    <w:rsid w:val="009E79F7"/>
    <w:rsid w:val="009E7B5E"/>
    <w:rsid w:val="009E7CD3"/>
    <w:rsid w:val="009E7D43"/>
    <w:rsid w:val="009E7E91"/>
    <w:rsid w:val="009E7F3D"/>
    <w:rsid w:val="009E7FED"/>
    <w:rsid w:val="009F0025"/>
    <w:rsid w:val="009F0102"/>
    <w:rsid w:val="009F0270"/>
    <w:rsid w:val="009F03B1"/>
    <w:rsid w:val="009F0463"/>
    <w:rsid w:val="009F0534"/>
    <w:rsid w:val="009F071D"/>
    <w:rsid w:val="009F07B4"/>
    <w:rsid w:val="009F07B8"/>
    <w:rsid w:val="009F0910"/>
    <w:rsid w:val="009F0989"/>
    <w:rsid w:val="009F0AAD"/>
    <w:rsid w:val="009F0B08"/>
    <w:rsid w:val="009F0BBD"/>
    <w:rsid w:val="009F0C23"/>
    <w:rsid w:val="009F0CD8"/>
    <w:rsid w:val="009F0D92"/>
    <w:rsid w:val="009F0DF2"/>
    <w:rsid w:val="009F0ED6"/>
    <w:rsid w:val="009F0F93"/>
    <w:rsid w:val="009F105D"/>
    <w:rsid w:val="009F108C"/>
    <w:rsid w:val="009F10DC"/>
    <w:rsid w:val="009F12C8"/>
    <w:rsid w:val="009F14F2"/>
    <w:rsid w:val="009F1726"/>
    <w:rsid w:val="009F1917"/>
    <w:rsid w:val="009F1A5A"/>
    <w:rsid w:val="009F1A73"/>
    <w:rsid w:val="009F1D80"/>
    <w:rsid w:val="009F1E0A"/>
    <w:rsid w:val="009F1E7C"/>
    <w:rsid w:val="009F1F37"/>
    <w:rsid w:val="009F1F5F"/>
    <w:rsid w:val="009F1F62"/>
    <w:rsid w:val="009F2165"/>
    <w:rsid w:val="009F21AA"/>
    <w:rsid w:val="009F2438"/>
    <w:rsid w:val="009F247F"/>
    <w:rsid w:val="009F261C"/>
    <w:rsid w:val="009F2665"/>
    <w:rsid w:val="009F2692"/>
    <w:rsid w:val="009F2766"/>
    <w:rsid w:val="009F2A3B"/>
    <w:rsid w:val="009F2AA6"/>
    <w:rsid w:val="009F2CFA"/>
    <w:rsid w:val="009F2D92"/>
    <w:rsid w:val="009F2DE4"/>
    <w:rsid w:val="009F2EF1"/>
    <w:rsid w:val="009F2FA5"/>
    <w:rsid w:val="009F30D4"/>
    <w:rsid w:val="009F310C"/>
    <w:rsid w:val="009F325A"/>
    <w:rsid w:val="009F3557"/>
    <w:rsid w:val="009F359C"/>
    <w:rsid w:val="009F36EF"/>
    <w:rsid w:val="009F38BB"/>
    <w:rsid w:val="009F38E1"/>
    <w:rsid w:val="009F399A"/>
    <w:rsid w:val="009F39C2"/>
    <w:rsid w:val="009F3A8F"/>
    <w:rsid w:val="009F3BA7"/>
    <w:rsid w:val="009F3CAD"/>
    <w:rsid w:val="009F3D17"/>
    <w:rsid w:val="009F3DE3"/>
    <w:rsid w:val="009F3EBC"/>
    <w:rsid w:val="009F3ECE"/>
    <w:rsid w:val="009F3FFD"/>
    <w:rsid w:val="009F409E"/>
    <w:rsid w:val="009F417F"/>
    <w:rsid w:val="009F41F9"/>
    <w:rsid w:val="009F42CB"/>
    <w:rsid w:val="009F4331"/>
    <w:rsid w:val="009F4351"/>
    <w:rsid w:val="009F45BC"/>
    <w:rsid w:val="009F4606"/>
    <w:rsid w:val="009F4763"/>
    <w:rsid w:val="009F47E6"/>
    <w:rsid w:val="009F47EA"/>
    <w:rsid w:val="009F47ED"/>
    <w:rsid w:val="009F47F1"/>
    <w:rsid w:val="009F480E"/>
    <w:rsid w:val="009F4863"/>
    <w:rsid w:val="009F48ED"/>
    <w:rsid w:val="009F4975"/>
    <w:rsid w:val="009F4991"/>
    <w:rsid w:val="009F4A98"/>
    <w:rsid w:val="009F4C1C"/>
    <w:rsid w:val="009F4D67"/>
    <w:rsid w:val="009F4E55"/>
    <w:rsid w:val="009F4F38"/>
    <w:rsid w:val="009F4FFA"/>
    <w:rsid w:val="009F506E"/>
    <w:rsid w:val="009F5203"/>
    <w:rsid w:val="009F5221"/>
    <w:rsid w:val="009F5396"/>
    <w:rsid w:val="009F562D"/>
    <w:rsid w:val="009F5673"/>
    <w:rsid w:val="009F57E9"/>
    <w:rsid w:val="009F5881"/>
    <w:rsid w:val="009F5961"/>
    <w:rsid w:val="009F5AA5"/>
    <w:rsid w:val="009F5AAE"/>
    <w:rsid w:val="009F5ABB"/>
    <w:rsid w:val="009F5AD9"/>
    <w:rsid w:val="009F5B51"/>
    <w:rsid w:val="009F5B5C"/>
    <w:rsid w:val="009F5C11"/>
    <w:rsid w:val="009F5CF2"/>
    <w:rsid w:val="009F5DB6"/>
    <w:rsid w:val="009F5ED9"/>
    <w:rsid w:val="009F5F43"/>
    <w:rsid w:val="009F617C"/>
    <w:rsid w:val="009F62AB"/>
    <w:rsid w:val="009F6389"/>
    <w:rsid w:val="009F64EC"/>
    <w:rsid w:val="009F6537"/>
    <w:rsid w:val="009F6811"/>
    <w:rsid w:val="009F6901"/>
    <w:rsid w:val="009F6979"/>
    <w:rsid w:val="009F6A5C"/>
    <w:rsid w:val="009F6C72"/>
    <w:rsid w:val="009F6D19"/>
    <w:rsid w:val="009F6EC1"/>
    <w:rsid w:val="009F711F"/>
    <w:rsid w:val="009F71F9"/>
    <w:rsid w:val="009F7206"/>
    <w:rsid w:val="009F72B6"/>
    <w:rsid w:val="009F72EF"/>
    <w:rsid w:val="009F74AC"/>
    <w:rsid w:val="009F7505"/>
    <w:rsid w:val="009F766E"/>
    <w:rsid w:val="009F769E"/>
    <w:rsid w:val="009F76ED"/>
    <w:rsid w:val="009F7CB1"/>
    <w:rsid w:val="009F7DF6"/>
    <w:rsid w:val="009F7E4E"/>
    <w:rsid w:val="009F7F69"/>
    <w:rsid w:val="00A002BE"/>
    <w:rsid w:val="00A0030F"/>
    <w:rsid w:val="00A0032B"/>
    <w:rsid w:val="00A003EB"/>
    <w:rsid w:val="00A003F1"/>
    <w:rsid w:val="00A006D5"/>
    <w:rsid w:val="00A0087B"/>
    <w:rsid w:val="00A008B6"/>
    <w:rsid w:val="00A00A18"/>
    <w:rsid w:val="00A00A65"/>
    <w:rsid w:val="00A00AD5"/>
    <w:rsid w:val="00A00B0E"/>
    <w:rsid w:val="00A00E9C"/>
    <w:rsid w:val="00A00FCD"/>
    <w:rsid w:val="00A0104E"/>
    <w:rsid w:val="00A01118"/>
    <w:rsid w:val="00A011F4"/>
    <w:rsid w:val="00A01380"/>
    <w:rsid w:val="00A0141A"/>
    <w:rsid w:val="00A016C1"/>
    <w:rsid w:val="00A016E6"/>
    <w:rsid w:val="00A01801"/>
    <w:rsid w:val="00A01873"/>
    <w:rsid w:val="00A0189A"/>
    <w:rsid w:val="00A018CC"/>
    <w:rsid w:val="00A019E3"/>
    <w:rsid w:val="00A019F0"/>
    <w:rsid w:val="00A01AE2"/>
    <w:rsid w:val="00A01B6E"/>
    <w:rsid w:val="00A01BC7"/>
    <w:rsid w:val="00A01C1C"/>
    <w:rsid w:val="00A01C8E"/>
    <w:rsid w:val="00A01EB9"/>
    <w:rsid w:val="00A01F84"/>
    <w:rsid w:val="00A0201D"/>
    <w:rsid w:val="00A020EA"/>
    <w:rsid w:val="00A02243"/>
    <w:rsid w:val="00A022AF"/>
    <w:rsid w:val="00A0237E"/>
    <w:rsid w:val="00A023F4"/>
    <w:rsid w:val="00A024DB"/>
    <w:rsid w:val="00A02887"/>
    <w:rsid w:val="00A02C11"/>
    <w:rsid w:val="00A02D33"/>
    <w:rsid w:val="00A02D46"/>
    <w:rsid w:val="00A02DAE"/>
    <w:rsid w:val="00A02DE3"/>
    <w:rsid w:val="00A02F24"/>
    <w:rsid w:val="00A030BD"/>
    <w:rsid w:val="00A0326D"/>
    <w:rsid w:val="00A032BB"/>
    <w:rsid w:val="00A0330A"/>
    <w:rsid w:val="00A0360C"/>
    <w:rsid w:val="00A03755"/>
    <w:rsid w:val="00A03796"/>
    <w:rsid w:val="00A03798"/>
    <w:rsid w:val="00A03834"/>
    <w:rsid w:val="00A03986"/>
    <w:rsid w:val="00A03BC5"/>
    <w:rsid w:val="00A03D81"/>
    <w:rsid w:val="00A03E14"/>
    <w:rsid w:val="00A03EAA"/>
    <w:rsid w:val="00A03F2C"/>
    <w:rsid w:val="00A03FB8"/>
    <w:rsid w:val="00A03FF2"/>
    <w:rsid w:val="00A0403B"/>
    <w:rsid w:val="00A04112"/>
    <w:rsid w:val="00A04284"/>
    <w:rsid w:val="00A042A2"/>
    <w:rsid w:val="00A0443C"/>
    <w:rsid w:val="00A04475"/>
    <w:rsid w:val="00A044FD"/>
    <w:rsid w:val="00A04574"/>
    <w:rsid w:val="00A04679"/>
    <w:rsid w:val="00A0467B"/>
    <w:rsid w:val="00A046DA"/>
    <w:rsid w:val="00A046F6"/>
    <w:rsid w:val="00A047B4"/>
    <w:rsid w:val="00A04810"/>
    <w:rsid w:val="00A048B0"/>
    <w:rsid w:val="00A04A92"/>
    <w:rsid w:val="00A04B1D"/>
    <w:rsid w:val="00A04CD5"/>
    <w:rsid w:val="00A04D6D"/>
    <w:rsid w:val="00A04D97"/>
    <w:rsid w:val="00A04F2F"/>
    <w:rsid w:val="00A04F80"/>
    <w:rsid w:val="00A050F9"/>
    <w:rsid w:val="00A0565D"/>
    <w:rsid w:val="00A0566F"/>
    <w:rsid w:val="00A05678"/>
    <w:rsid w:val="00A05844"/>
    <w:rsid w:val="00A05993"/>
    <w:rsid w:val="00A059CE"/>
    <w:rsid w:val="00A059D1"/>
    <w:rsid w:val="00A06165"/>
    <w:rsid w:val="00A06231"/>
    <w:rsid w:val="00A0634B"/>
    <w:rsid w:val="00A063ED"/>
    <w:rsid w:val="00A064BE"/>
    <w:rsid w:val="00A06599"/>
    <w:rsid w:val="00A066A3"/>
    <w:rsid w:val="00A066D1"/>
    <w:rsid w:val="00A066DD"/>
    <w:rsid w:val="00A06755"/>
    <w:rsid w:val="00A067B6"/>
    <w:rsid w:val="00A0683B"/>
    <w:rsid w:val="00A06853"/>
    <w:rsid w:val="00A06A70"/>
    <w:rsid w:val="00A06CDC"/>
    <w:rsid w:val="00A06D8F"/>
    <w:rsid w:val="00A06E37"/>
    <w:rsid w:val="00A06FC3"/>
    <w:rsid w:val="00A070B8"/>
    <w:rsid w:val="00A0728D"/>
    <w:rsid w:val="00A07304"/>
    <w:rsid w:val="00A07352"/>
    <w:rsid w:val="00A074A1"/>
    <w:rsid w:val="00A07578"/>
    <w:rsid w:val="00A07849"/>
    <w:rsid w:val="00A079FD"/>
    <w:rsid w:val="00A07A77"/>
    <w:rsid w:val="00A07AD8"/>
    <w:rsid w:val="00A07C77"/>
    <w:rsid w:val="00A1000F"/>
    <w:rsid w:val="00A10138"/>
    <w:rsid w:val="00A101C3"/>
    <w:rsid w:val="00A103C8"/>
    <w:rsid w:val="00A1046F"/>
    <w:rsid w:val="00A1085A"/>
    <w:rsid w:val="00A1091A"/>
    <w:rsid w:val="00A10975"/>
    <w:rsid w:val="00A10A75"/>
    <w:rsid w:val="00A10B5B"/>
    <w:rsid w:val="00A10CF9"/>
    <w:rsid w:val="00A10DED"/>
    <w:rsid w:val="00A10F3F"/>
    <w:rsid w:val="00A10FD1"/>
    <w:rsid w:val="00A110FB"/>
    <w:rsid w:val="00A1114D"/>
    <w:rsid w:val="00A11266"/>
    <w:rsid w:val="00A1144A"/>
    <w:rsid w:val="00A114F1"/>
    <w:rsid w:val="00A115F7"/>
    <w:rsid w:val="00A11657"/>
    <w:rsid w:val="00A116BD"/>
    <w:rsid w:val="00A117A2"/>
    <w:rsid w:val="00A11822"/>
    <w:rsid w:val="00A11A37"/>
    <w:rsid w:val="00A11A5C"/>
    <w:rsid w:val="00A11A66"/>
    <w:rsid w:val="00A11B98"/>
    <w:rsid w:val="00A11D16"/>
    <w:rsid w:val="00A11E06"/>
    <w:rsid w:val="00A11E2A"/>
    <w:rsid w:val="00A11F5D"/>
    <w:rsid w:val="00A11F69"/>
    <w:rsid w:val="00A12212"/>
    <w:rsid w:val="00A12329"/>
    <w:rsid w:val="00A123E8"/>
    <w:rsid w:val="00A1244D"/>
    <w:rsid w:val="00A1247F"/>
    <w:rsid w:val="00A124B6"/>
    <w:rsid w:val="00A12563"/>
    <w:rsid w:val="00A1268C"/>
    <w:rsid w:val="00A127B9"/>
    <w:rsid w:val="00A128EA"/>
    <w:rsid w:val="00A1294C"/>
    <w:rsid w:val="00A129BF"/>
    <w:rsid w:val="00A12AA7"/>
    <w:rsid w:val="00A12BD6"/>
    <w:rsid w:val="00A12DE9"/>
    <w:rsid w:val="00A12E6C"/>
    <w:rsid w:val="00A12F59"/>
    <w:rsid w:val="00A12FAD"/>
    <w:rsid w:val="00A12FCB"/>
    <w:rsid w:val="00A1324F"/>
    <w:rsid w:val="00A1328A"/>
    <w:rsid w:val="00A13303"/>
    <w:rsid w:val="00A133E0"/>
    <w:rsid w:val="00A134E5"/>
    <w:rsid w:val="00A138B5"/>
    <w:rsid w:val="00A138C3"/>
    <w:rsid w:val="00A13B63"/>
    <w:rsid w:val="00A13BC3"/>
    <w:rsid w:val="00A13BF9"/>
    <w:rsid w:val="00A13CBB"/>
    <w:rsid w:val="00A13DDF"/>
    <w:rsid w:val="00A13EE2"/>
    <w:rsid w:val="00A140B3"/>
    <w:rsid w:val="00A142A8"/>
    <w:rsid w:val="00A145D8"/>
    <w:rsid w:val="00A14632"/>
    <w:rsid w:val="00A14727"/>
    <w:rsid w:val="00A14778"/>
    <w:rsid w:val="00A1477D"/>
    <w:rsid w:val="00A147E8"/>
    <w:rsid w:val="00A148F6"/>
    <w:rsid w:val="00A14A3D"/>
    <w:rsid w:val="00A14C6A"/>
    <w:rsid w:val="00A14E1D"/>
    <w:rsid w:val="00A14E54"/>
    <w:rsid w:val="00A14EA2"/>
    <w:rsid w:val="00A14FE1"/>
    <w:rsid w:val="00A150FC"/>
    <w:rsid w:val="00A151E4"/>
    <w:rsid w:val="00A1528E"/>
    <w:rsid w:val="00A15846"/>
    <w:rsid w:val="00A15A7E"/>
    <w:rsid w:val="00A15B95"/>
    <w:rsid w:val="00A15C84"/>
    <w:rsid w:val="00A15D75"/>
    <w:rsid w:val="00A15DA3"/>
    <w:rsid w:val="00A15DBF"/>
    <w:rsid w:val="00A15E89"/>
    <w:rsid w:val="00A15F3E"/>
    <w:rsid w:val="00A1604E"/>
    <w:rsid w:val="00A16273"/>
    <w:rsid w:val="00A163FF"/>
    <w:rsid w:val="00A16570"/>
    <w:rsid w:val="00A16793"/>
    <w:rsid w:val="00A1689D"/>
    <w:rsid w:val="00A168E0"/>
    <w:rsid w:val="00A169D0"/>
    <w:rsid w:val="00A16B08"/>
    <w:rsid w:val="00A16D7B"/>
    <w:rsid w:val="00A16DFA"/>
    <w:rsid w:val="00A16DFD"/>
    <w:rsid w:val="00A16E27"/>
    <w:rsid w:val="00A16F7D"/>
    <w:rsid w:val="00A16F85"/>
    <w:rsid w:val="00A1716C"/>
    <w:rsid w:val="00A1718F"/>
    <w:rsid w:val="00A17220"/>
    <w:rsid w:val="00A17615"/>
    <w:rsid w:val="00A176B2"/>
    <w:rsid w:val="00A1771D"/>
    <w:rsid w:val="00A177E4"/>
    <w:rsid w:val="00A17859"/>
    <w:rsid w:val="00A17A6F"/>
    <w:rsid w:val="00A17ADD"/>
    <w:rsid w:val="00A17BF3"/>
    <w:rsid w:val="00A17CAC"/>
    <w:rsid w:val="00A17FA6"/>
    <w:rsid w:val="00A17FEB"/>
    <w:rsid w:val="00A17FEF"/>
    <w:rsid w:val="00A201E1"/>
    <w:rsid w:val="00A2042B"/>
    <w:rsid w:val="00A205BA"/>
    <w:rsid w:val="00A20960"/>
    <w:rsid w:val="00A20B81"/>
    <w:rsid w:val="00A20C52"/>
    <w:rsid w:val="00A20D5A"/>
    <w:rsid w:val="00A20DC4"/>
    <w:rsid w:val="00A210A2"/>
    <w:rsid w:val="00A212EE"/>
    <w:rsid w:val="00A213DE"/>
    <w:rsid w:val="00A2144E"/>
    <w:rsid w:val="00A2148E"/>
    <w:rsid w:val="00A214D5"/>
    <w:rsid w:val="00A21637"/>
    <w:rsid w:val="00A2163F"/>
    <w:rsid w:val="00A21C6E"/>
    <w:rsid w:val="00A21D93"/>
    <w:rsid w:val="00A21F44"/>
    <w:rsid w:val="00A221E8"/>
    <w:rsid w:val="00A2229B"/>
    <w:rsid w:val="00A22447"/>
    <w:rsid w:val="00A226B5"/>
    <w:rsid w:val="00A226B7"/>
    <w:rsid w:val="00A22735"/>
    <w:rsid w:val="00A22784"/>
    <w:rsid w:val="00A22A98"/>
    <w:rsid w:val="00A22AB8"/>
    <w:rsid w:val="00A22E69"/>
    <w:rsid w:val="00A22FBA"/>
    <w:rsid w:val="00A2307C"/>
    <w:rsid w:val="00A23180"/>
    <w:rsid w:val="00A2339B"/>
    <w:rsid w:val="00A23405"/>
    <w:rsid w:val="00A236C2"/>
    <w:rsid w:val="00A23AAD"/>
    <w:rsid w:val="00A23AF2"/>
    <w:rsid w:val="00A23B43"/>
    <w:rsid w:val="00A23C93"/>
    <w:rsid w:val="00A23D00"/>
    <w:rsid w:val="00A23DDF"/>
    <w:rsid w:val="00A23DF1"/>
    <w:rsid w:val="00A240E6"/>
    <w:rsid w:val="00A24173"/>
    <w:rsid w:val="00A241EE"/>
    <w:rsid w:val="00A24208"/>
    <w:rsid w:val="00A24285"/>
    <w:rsid w:val="00A244F5"/>
    <w:rsid w:val="00A248C3"/>
    <w:rsid w:val="00A249AD"/>
    <w:rsid w:val="00A24C1B"/>
    <w:rsid w:val="00A24D76"/>
    <w:rsid w:val="00A24E1D"/>
    <w:rsid w:val="00A24E2C"/>
    <w:rsid w:val="00A24FB0"/>
    <w:rsid w:val="00A2508D"/>
    <w:rsid w:val="00A251D2"/>
    <w:rsid w:val="00A252C9"/>
    <w:rsid w:val="00A252CC"/>
    <w:rsid w:val="00A2542C"/>
    <w:rsid w:val="00A25528"/>
    <w:rsid w:val="00A25626"/>
    <w:rsid w:val="00A257B1"/>
    <w:rsid w:val="00A257E7"/>
    <w:rsid w:val="00A2593C"/>
    <w:rsid w:val="00A25A3D"/>
    <w:rsid w:val="00A25A81"/>
    <w:rsid w:val="00A260AF"/>
    <w:rsid w:val="00A2610A"/>
    <w:rsid w:val="00A26245"/>
    <w:rsid w:val="00A26314"/>
    <w:rsid w:val="00A264BC"/>
    <w:rsid w:val="00A265C8"/>
    <w:rsid w:val="00A2660F"/>
    <w:rsid w:val="00A267BA"/>
    <w:rsid w:val="00A268AC"/>
    <w:rsid w:val="00A268C1"/>
    <w:rsid w:val="00A26AE5"/>
    <w:rsid w:val="00A26F14"/>
    <w:rsid w:val="00A2708A"/>
    <w:rsid w:val="00A2709C"/>
    <w:rsid w:val="00A27106"/>
    <w:rsid w:val="00A275F8"/>
    <w:rsid w:val="00A276C6"/>
    <w:rsid w:val="00A27705"/>
    <w:rsid w:val="00A27803"/>
    <w:rsid w:val="00A27919"/>
    <w:rsid w:val="00A27966"/>
    <w:rsid w:val="00A27C77"/>
    <w:rsid w:val="00A27CC7"/>
    <w:rsid w:val="00A27EF4"/>
    <w:rsid w:val="00A27FB7"/>
    <w:rsid w:val="00A30013"/>
    <w:rsid w:val="00A3017B"/>
    <w:rsid w:val="00A301B7"/>
    <w:rsid w:val="00A3023D"/>
    <w:rsid w:val="00A30287"/>
    <w:rsid w:val="00A302DE"/>
    <w:rsid w:val="00A3038A"/>
    <w:rsid w:val="00A30423"/>
    <w:rsid w:val="00A30525"/>
    <w:rsid w:val="00A306ED"/>
    <w:rsid w:val="00A30719"/>
    <w:rsid w:val="00A3095D"/>
    <w:rsid w:val="00A30985"/>
    <w:rsid w:val="00A309D2"/>
    <w:rsid w:val="00A30BA0"/>
    <w:rsid w:val="00A30C90"/>
    <w:rsid w:val="00A30D1B"/>
    <w:rsid w:val="00A30FB7"/>
    <w:rsid w:val="00A3114D"/>
    <w:rsid w:val="00A311A3"/>
    <w:rsid w:val="00A312CE"/>
    <w:rsid w:val="00A3179D"/>
    <w:rsid w:val="00A3187F"/>
    <w:rsid w:val="00A318D5"/>
    <w:rsid w:val="00A31AAF"/>
    <w:rsid w:val="00A31C8D"/>
    <w:rsid w:val="00A31CF9"/>
    <w:rsid w:val="00A31E17"/>
    <w:rsid w:val="00A31E74"/>
    <w:rsid w:val="00A31EF0"/>
    <w:rsid w:val="00A320CF"/>
    <w:rsid w:val="00A3215F"/>
    <w:rsid w:val="00A323A8"/>
    <w:rsid w:val="00A325F2"/>
    <w:rsid w:val="00A32666"/>
    <w:rsid w:val="00A32823"/>
    <w:rsid w:val="00A32857"/>
    <w:rsid w:val="00A3294B"/>
    <w:rsid w:val="00A32DAF"/>
    <w:rsid w:val="00A32E41"/>
    <w:rsid w:val="00A3302B"/>
    <w:rsid w:val="00A3308E"/>
    <w:rsid w:val="00A33097"/>
    <w:rsid w:val="00A330D9"/>
    <w:rsid w:val="00A330E9"/>
    <w:rsid w:val="00A3320F"/>
    <w:rsid w:val="00A3330F"/>
    <w:rsid w:val="00A3332F"/>
    <w:rsid w:val="00A3344E"/>
    <w:rsid w:val="00A33785"/>
    <w:rsid w:val="00A337F1"/>
    <w:rsid w:val="00A33931"/>
    <w:rsid w:val="00A3399E"/>
    <w:rsid w:val="00A33A84"/>
    <w:rsid w:val="00A33B4C"/>
    <w:rsid w:val="00A33BF2"/>
    <w:rsid w:val="00A33C31"/>
    <w:rsid w:val="00A33E1F"/>
    <w:rsid w:val="00A340EE"/>
    <w:rsid w:val="00A34196"/>
    <w:rsid w:val="00A34203"/>
    <w:rsid w:val="00A34230"/>
    <w:rsid w:val="00A344DD"/>
    <w:rsid w:val="00A34670"/>
    <w:rsid w:val="00A34802"/>
    <w:rsid w:val="00A348BA"/>
    <w:rsid w:val="00A34CF7"/>
    <w:rsid w:val="00A34DEB"/>
    <w:rsid w:val="00A34E62"/>
    <w:rsid w:val="00A34EBB"/>
    <w:rsid w:val="00A34EC8"/>
    <w:rsid w:val="00A35017"/>
    <w:rsid w:val="00A35074"/>
    <w:rsid w:val="00A3513F"/>
    <w:rsid w:val="00A35176"/>
    <w:rsid w:val="00A351DA"/>
    <w:rsid w:val="00A35234"/>
    <w:rsid w:val="00A35362"/>
    <w:rsid w:val="00A3536B"/>
    <w:rsid w:val="00A354F6"/>
    <w:rsid w:val="00A35842"/>
    <w:rsid w:val="00A35BC7"/>
    <w:rsid w:val="00A35E34"/>
    <w:rsid w:val="00A35FFB"/>
    <w:rsid w:val="00A36106"/>
    <w:rsid w:val="00A361A0"/>
    <w:rsid w:val="00A36360"/>
    <w:rsid w:val="00A36638"/>
    <w:rsid w:val="00A367F8"/>
    <w:rsid w:val="00A36880"/>
    <w:rsid w:val="00A36BCA"/>
    <w:rsid w:val="00A36C0F"/>
    <w:rsid w:val="00A36C4D"/>
    <w:rsid w:val="00A36C5F"/>
    <w:rsid w:val="00A36DEE"/>
    <w:rsid w:val="00A36E64"/>
    <w:rsid w:val="00A36E74"/>
    <w:rsid w:val="00A37110"/>
    <w:rsid w:val="00A3718A"/>
    <w:rsid w:val="00A37537"/>
    <w:rsid w:val="00A37660"/>
    <w:rsid w:val="00A37761"/>
    <w:rsid w:val="00A378F8"/>
    <w:rsid w:val="00A3794D"/>
    <w:rsid w:val="00A37AD7"/>
    <w:rsid w:val="00A37CC4"/>
    <w:rsid w:val="00A37F02"/>
    <w:rsid w:val="00A4019C"/>
    <w:rsid w:val="00A401DF"/>
    <w:rsid w:val="00A40246"/>
    <w:rsid w:val="00A402F8"/>
    <w:rsid w:val="00A403B5"/>
    <w:rsid w:val="00A403EF"/>
    <w:rsid w:val="00A4042D"/>
    <w:rsid w:val="00A405AC"/>
    <w:rsid w:val="00A40734"/>
    <w:rsid w:val="00A409C9"/>
    <w:rsid w:val="00A40B21"/>
    <w:rsid w:val="00A40BF6"/>
    <w:rsid w:val="00A40C8C"/>
    <w:rsid w:val="00A40CD0"/>
    <w:rsid w:val="00A40CF6"/>
    <w:rsid w:val="00A40F83"/>
    <w:rsid w:val="00A4105C"/>
    <w:rsid w:val="00A410ED"/>
    <w:rsid w:val="00A4115B"/>
    <w:rsid w:val="00A4117C"/>
    <w:rsid w:val="00A411BE"/>
    <w:rsid w:val="00A4126C"/>
    <w:rsid w:val="00A41388"/>
    <w:rsid w:val="00A4147B"/>
    <w:rsid w:val="00A41638"/>
    <w:rsid w:val="00A4164E"/>
    <w:rsid w:val="00A4165F"/>
    <w:rsid w:val="00A4175D"/>
    <w:rsid w:val="00A41AFD"/>
    <w:rsid w:val="00A41C54"/>
    <w:rsid w:val="00A41D29"/>
    <w:rsid w:val="00A41E35"/>
    <w:rsid w:val="00A41EE3"/>
    <w:rsid w:val="00A4213B"/>
    <w:rsid w:val="00A4218F"/>
    <w:rsid w:val="00A42368"/>
    <w:rsid w:val="00A4257E"/>
    <w:rsid w:val="00A4259B"/>
    <w:rsid w:val="00A42638"/>
    <w:rsid w:val="00A42733"/>
    <w:rsid w:val="00A4276A"/>
    <w:rsid w:val="00A4287D"/>
    <w:rsid w:val="00A4288E"/>
    <w:rsid w:val="00A42937"/>
    <w:rsid w:val="00A429B4"/>
    <w:rsid w:val="00A42B32"/>
    <w:rsid w:val="00A42B92"/>
    <w:rsid w:val="00A42CAC"/>
    <w:rsid w:val="00A42D50"/>
    <w:rsid w:val="00A42DE4"/>
    <w:rsid w:val="00A432D1"/>
    <w:rsid w:val="00A433D7"/>
    <w:rsid w:val="00A434DA"/>
    <w:rsid w:val="00A43610"/>
    <w:rsid w:val="00A436FC"/>
    <w:rsid w:val="00A43729"/>
    <w:rsid w:val="00A4376D"/>
    <w:rsid w:val="00A437CC"/>
    <w:rsid w:val="00A43803"/>
    <w:rsid w:val="00A43910"/>
    <w:rsid w:val="00A43932"/>
    <w:rsid w:val="00A43A2F"/>
    <w:rsid w:val="00A43A53"/>
    <w:rsid w:val="00A43A63"/>
    <w:rsid w:val="00A43AE9"/>
    <w:rsid w:val="00A43B0B"/>
    <w:rsid w:val="00A43C68"/>
    <w:rsid w:val="00A44247"/>
    <w:rsid w:val="00A442F5"/>
    <w:rsid w:val="00A44668"/>
    <w:rsid w:val="00A4473B"/>
    <w:rsid w:val="00A448B5"/>
    <w:rsid w:val="00A44F26"/>
    <w:rsid w:val="00A44F3F"/>
    <w:rsid w:val="00A44FF1"/>
    <w:rsid w:val="00A452BB"/>
    <w:rsid w:val="00A45306"/>
    <w:rsid w:val="00A45311"/>
    <w:rsid w:val="00A45398"/>
    <w:rsid w:val="00A454B5"/>
    <w:rsid w:val="00A45583"/>
    <w:rsid w:val="00A4564A"/>
    <w:rsid w:val="00A4596A"/>
    <w:rsid w:val="00A45A09"/>
    <w:rsid w:val="00A45BB4"/>
    <w:rsid w:val="00A45C11"/>
    <w:rsid w:val="00A45C59"/>
    <w:rsid w:val="00A45CB5"/>
    <w:rsid w:val="00A45D10"/>
    <w:rsid w:val="00A45F5C"/>
    <w:rsid w:val="00A45FDA"/>
    <w:rsid w:val="00A46113"/>
    <w:rsid w:val="00A465CA"/>
    <w:rsid w:val="00A4663B"/>
    <w:rsid w:val="00A46691"/>
    <w:rsid w:val="00A4670E"/>
    <w:rsid w:val="00A46860"/>
    <w:rsid w:val="00A469DD"/>
    <w:rsid w:val="00A46AE0"/>
    <w:rsid w:val="00A46F00"/>
    <w:rsid w:val="00A4704A"/>
    <w:rsid w:val="00A470B3"/>
    <w:rsid w:val="00A4714E"/>
    <w:rsid w:val="00A47321"/>
    <w:rsid w:val="00A473C1"/>
    <w:rsid w:val="00A4759E"/>
    <w:rsid w:val="00A47628"/>
    <w:rsid w:val="00A4770A"/>
    <w:rsid w:val="00A477A6"/>
    <w:rsid w:val="00A47861"/>
    <w:rsid w:val="00A478A5"/>
    <w:rsid w:val="00A478FF"/>
    <w:rsid w:val="00A47946"/>
    <w:rsid w:val="00A479B0"/>
    <w:rsid w:val="00A479BD"/>
    <w:rsid w:val="00A47AC2"/>
    <w:rsid w:val="00A47B19"/>
    <w:rsid w:val="00A47C3D"/>
    <w:rsid w:val="00A47CA4"/>
    <w:rsid w:val="00A47DB2"/>
    <w:rsid w:val="00A47DF9"/>
    <w:rsid w:val="00A50218"/>
    <w:rsid w:val="00A50300"/>
    <w:rsid w:val="00A5049D"/>
    <w:rsid w:val="00A5051A"/>
    <w:rsid w:val="00A50616"/>
    <w:rsid w:val="00A5083E"/>
    <w:rsid w:val="00A5099D"/>
    <w:rsid w:val="00A50A52"/>
    <w:rsid w:val="00A50A99"/>
    <w:rsid w:val="00A50B0D"/>
    <w:rsid w:val="00A51050"/>
    <w:rsid w:val="00A510A3"/>
    <w:rsid w:val="00A512F9"/>
    <w:rsid w:val="00A51360"/>
    <w:rsid w:val="00A5148F"/>
    <w:rsid w:val="00A514C6"/>
    <w:rsid w:val="00A5159D"/>
    <w:rsid w:val="00A516B6"/>
    <w:rsid w:val="00A51722"/>
    <w:rsid w:val="00A51723"/>
    <w:rsid w:val="00A51BF9"/>
    <w:rsid w:val="00A51DEB"/>
    <w:rsid w:val="00A51E0C"/>
    <w:rsid w:val="00A51E51"/>
    <w:rsid w:val="00A51EA2"/>
    <w:rsid w:val="00A521CE"/>
    <w:rsid w:val="00A52400"/>
    <w:rsid w:val="00A52477"/>
    <w:rsid w:val="00A52525"/>
    <w:rsid w:val="00A527FE"/>
    <w:rsid w:val="00A52917"/>
    <w:rsid w:val="00A52A57"/>
    <w:rsid w:val="00A52AFA"/>
    <w:rsid w:val="00A52B81"/>
    <w:rsid w:val="00A52BAB"/>
    <w:rsid w:val="00A52C24"/>
    <w:rsid w:val="00A52D3A"/>
    <w:rsid w:val="00A52D62"/>
    <w:rsid w:val="00A52E89"/>
    <w:rsid w:val="00A52EAF"/>
    <w:rsid w:val="00A52F24"/>
    <w:rsid w:val="00A531FA"/>
    <w:rsid w:val="00A532F6"/>
    <w:rsid w:val="00A5330A"/>
    <w:rsid w:val="00A53644"/>
    <w:rsid w:val="00A5369E"/>
    <w:rsid w:val="00A537CA"/>
    <w:rsid w:val="00A537CC"/>
    <w:rsid w:val="00A538DA"/>
    <w:rsid w:val="00A5391B"/>
    <w:rsid w:val="00A53970"/>
    <w:rsid w:val="00A5397F"/>
    <w:rsid w:val="00A53988"/>
    <w:rsid w:val="00A539FF"/>
    <w:rsid w:val="00A53A19"/>
    <w:rsid w:val="00A53BCE"/>
    <w:rsid w:val="00A53BF4"/>
    <w:rsid w:val="00A53C42"/>
    <w:rsid w:val="00A53C6B"/>
    <w:rsid w:val="00A53D3B"/>
    <w:rsid w:val="00A53E30"/>
    <w:rsid w:val="00A53EA1"/>
    <w:rsid w:val="00A53EC3"/>
    <w:rsid w:val="00A53EEC"/>
    <w:rsid w:val="00A54465"/>
    <w:rsid w:val="00A54619"/>
    <w:rsid w:val="00A54848"/>
    <w:rsid w:val="00A54871"/>
    <w:rsid w:val="00A54A9A"/>
    <w:rsid w:val="00A54AB1"/>
    <w:rsid w:val="00A54CB3"/>
    <w:rsid w:val="00A54CDE"/>
    <w:rsid w:val="00A54DD3"/>
    <w:rsid w:val="00A54E2C"/>
    <w:rsid w:val="00A54F6C"/>
    <w:rsid w:val="00A54F85"/>
    <w:rsid w:val="00A55086"/>
    <w:rsid w:val="00A55127"/>
    <w:rsid w:val="00A551C3"/>
    <w:rsid w:val="00A55277"/>
    <w:rsid w:val="00A5547D"/>
    <w:rsid w:val="00A55C28"/>
    <w:rsid w:val="00A55E3E"/>
    <w:rsid w:val="00A55E82"/>
    <w:rsid w:val="00A561CF"/>
    <w:rsid w:val="00A56247"/>
    <w:rsid w:val="00A562E1"/>
    <w:rsid w:val="00A56545"/>
    <w:rsid w:val="00A56616"/>
    <w:rsid w:val="00A5661C"/>
    <w:rsid w:val="00A567D5"/>
    <w:rsid w:val="00A5680D"/>
    <w:rsid w:val="00A56851"/>
    <w:rsid w:val="00A56873"/>
    <w:rsid w:val="00A56943"/>
    <w:rsid w:val="00A56C0B"/>
    <w:rsid w:val="00A56C10"/>
    <w:rsid w:val="00A56CCD"/>
    <w:rsid w:val="00A56DE5"/>
    <w:rsid w:val="00A56E78"/>
    <w:rsid w:val="00A56ECD"/>
    <w:rsid w:val="00A5702E"/>
    <w:rsid w:val="00A570C1"/>
    <w:rsid w:val="00A570EA"/>
    <w:rsid w:val="00A57326"/>
    <w:rsid w:val="00A57661"/>
    <w:rsid w:val="00A57787"/>
    <w:rsid w:val="00A57A1A"/>
    <w:rsid w:val="00A57A89"/>
    <w:rsid w:val="00A57ACF"/>
    <w:rsid w:val="00A57D28"/>
    <w:rsid w:val="00A57D47"/>
    <w:rsid w:val="00A57D9D"/>
    <w:rsid w:val="00A57E05"/>
    <w:rsid w:val="00A57F7A"/>
    <w:rsid w:val="00A603E1"/>
    <w:rsid w:val="00A60587"/>
    <w:rsid w:val="00A60589"/>
    <w:rsid w:val="00A60602"/>
    <w:rsid w:val="00A60618"/>
    <w:rsid w:val="00A607E2"/>
    <w:rsid w:val="00A6088E"/>
    <w:rsid w:val="00A609BC"/>
    <w:rsid w:val="00A60AB9"/>
    <w:rsid w:val="00A60CF1"/>
    <w:rsid w:val="00A60D9F"/>
    <w:rsid w:val="00A60DC4"/>
    <w:rsid w:val="00A60DD1"/>
    <w:rsid w:val="00A60E5A"/>
    <w:rsid w:val="00A60FA3"/>
    <w:rsid w:val="00A61090"/>
    <w:rsid w:val="00A613F3"/>
    <w:rsid w:val="00A61427"/>
    <w:rsid w:val="00A6166B"/>
    <w:rsid w:val="00A61754"/>
    <w:rsid w:val="00A617F0"/>
    <w:rsid w:val="00A61B6D"/>
    <w:rsid w:val="00A61BAA"/>
    <w:rsid w:val="00A61CE2"/>
    <w:rsid w:val="00A62270"/>
    <w:rsid w:val="00A62295"/>
    <w:rsid w:val="00A622BB"/>
    <w:rsid w:val="00A625AC"/>
    <w:rsid w:val="00A6274A"/>
    <w:rsid w:val="00A628D3"/>
    <w:rsid w:val="00A628E7"/>
    <w:rsid w:val="00A62A7E"/>
    <w:rsid w:val="00A62B00"/>
    <w:rsid w:val="00A62BE8"/>
    <w:rsid w:val="00A62C0A"/>
    <w:rsid w:val="00A62C79"/>
    <w:rsid w:val="00A62D14"/>
    <w:rsid w:val="00A62D7C"/>
    <w:rsid w:val="00A630CA"/>
    <w:rsid w:val="00A631BA"/>
    <w:rsid w:val="00A63458"/>
    <w:rsid w:val="00A63509"/>
    <w:rsid w:val="00A63627"/>
    <w:rsid w:val="00A6388F"/>
    <w:rsid w:val="00A638A8"/>
    <w:rsid w:val="00A638F2"/>
    <w:rsid w:val="00A638FB"/>
    <w:rsid w:val="00A6395C"/>
    <w:rsid w:val="00A639E6"/>
    <w:rsid w:val="00A63A67"/>
    <w:rsid w:val="00A63B06"/>
    <w:rsid w:val="00A63CBC"/>
    <w:rsid w:val="00A64189"/>
    <w:rsid w:val="00A6448E"/>
    <w:rsid w:val="00A64508"/>
    <w:rsid w:val="00A64684"/>
    <w:rsid w:val="00A64814"/>
    <w:rsid w:val="00A64C77"/>
    <w:rsid w:val="00A64CEC"/>
    <w:rsid w:val="00A64D22"/>
    <w:rsid w:val="00A64DC1"/>
    <w:rsid w:val="00A650B3"/>
    <w:rsid w:val="00A65185"/>
    <w:rsid w:val="00A651AB"/>
    <w:rsid w:val="00A652AB"/>
    <w:rsid w:val="00A65321"/>
    <w:rsid w:val="00A65336"/>
    <w:rsid w:val="00A6538C"/>
    <w:rsid w:val="00A65399"/>
    <w:rsid w:val="00A653F3"/>
    <w:rsid w:val="00A655F4"/>
    <w:rsid w:val="00A65616"/>
    <w:rsid w:val="00A656D8"/>
    <w:rsid w:val="00A65819"/>
    <w:rsid w:val="00A65A99"/>
    <w:rsid w:val="00A65B27"/>
    <w:rsid w:val="00A65B35"/>
    <w:rsid w:val="00A65B60"/>
    <w:rsid w:val="00A65C18"/>
    <w:rsid w:val="00A65DDD"/>
    <w:rsid w:val="00A65F13"/>
    <w:rsid w:val="00A6615B"/>
    <w:rsid w:val="00A66161"/>
    <w:rsid w:val="00A6633E"/>
    <w:rsid w:val="00A66757"/>
    <w:rsid w:val="00A6685F"/>
    <w:rsid w:val="00A66860"/>
    <w:rsid w:val="00A66952"/>
    <w:rsid w:val="00A66AD8"/>
    <w:rsid w:val="00A66C1D"/>
    <w:rsid w:val="00A66F34"/>
    <w:rsid w:val="00A670F4"/>
    <w:rsid w:val="00A67254"/>
    <w:rsid w:val="00A672C1"/>
    <w:rsid w:val="00A6731F"/>
    <w:rsid w:val="00A6744F"/>
    <w:rsid w:val="00A67610"/>
    <w:rsid w:val="00A6763E"/>
    <w:rsid w:val="00A67666"/>
    <w:rsid w:val="00A67807"/>
    <w:rsid w:val="00A67A93"/>
    <w:rsid w:val="00A67B37"/>
    <w:rsid w:val="00A67BBF"/>
    <w:rsid w:val="00A67BE1"/>
    <w:rsid w:val="00A67CC1"/>
    <w:rsid w:val="00A67CF7"/>
    <w:rsid w:val="00A70009"/>
    <w:rsid w:val="00A70175"/>
    <w:rsid w:val="00A7020F"/>
    <w:rsid w:val="00A70254"/>
    <w:rsid w:val="00A70323"/>
    <w:rsid w:val="00A7040C"/>
    <w:rsid w:val="00A704DD"/>
    <w:rsid w:val="00A7065C"/>
    <w:rsid w:val="00A7077B"/>
    <w:rsid w:val="00A707EC"/>
    <w:rsid w:val="00A7081A"/>
    <w:rsid w:val="00A70939"/>
    <w:rsid w:val="00A709AC"/>
    <w:rsid w:val="00A709F3"/>
    <w:rsid w:val="00A70B3F"/>
    <w:rsid w:val="00A70B9C"/>
    <w:rsid w:val="00A70C02"/>
    <w:rsid w:val="00A70C3F"/>
    <w:rsid w:val="00A70DFC"/>
    <w:rsid w:val="00A70F64"/>
    <w:rsid w:val="00A7127B"/>
    <w:rsid w:val="00A712EB"/>
    <w:rsid w:val="00A71499"/>
    <w:rsid w:val="00A71536"/>
    <w:rsid w:val="00A716C8"/>
    <w:rsid w:val="00A716CD"/>
    <w:rsid w:val="00A71BB0"/>
    <w:rsid w:val="00A71C05"/>
    <w:rsid w:val="00A71EB0"/>
    <w:rsid w:val="00A71EC3"/>
    <w:rsid w:val="00A71ED5"/>
    <w:rsid w:val="00A71F5A"/>
    <w:rsid w:val="00A72022"/>
    <w:rsid w:val="00A72031"/>
    <w:rsid w:val="00A720C0"/>
    <w:rsid w:val="00A721B9"/>
    <w:rsid w:val="00A7221B"/>
    <w:rsid w:val="00A72485"/>
    <w:rsid w:val="00A7253C"/>
    <w:rsid w:val="00A725F3"/>
    <w:rsid w:val="00A726E8"/>
    <w:rsid w:val="00A72708"/>
    <w:rsid w:val="00A72750"/>
    <w:rsid w:val="00A7279D"/>
    <w:rsid w:val="00A727BC"/>
    <w:rsid w:val="00A727E3"/>
    <w:rsid w:val="00A7280D"/>
    <w:rsid w:val="00A72879"/>
    <w:rsid w:val="00A728FF"/>
    <w:rsid w:val="00A729BF"/>
    <w:rsid w:val="00A72C03"/>
    <w:rsid w:val="00A72CB7"/>
    <w:rsid w:val="00A73040"/>
    <w:rsid w:val="00A731A8"/>
    <w:rsid w:val="00A731B7"/>
    <w:rsid w:val="00A7323B"/>
    <w:rsid w:val="00A732F0"/>
    <w:rsid w:val="00A736E8"/>
    <w:rsid w:val="00A73885"/>
    <w:rsid w:val="00A73975"/>
    <w:rsid w:val="00A739D4"/>
    <w:rsid w:val="00A73B2D"/>
    <w:rsid w:val="00A73CBC"/>
    <w:rsid w:val="00A73D99"/>
    <w:rsid w:val="00A73E2D"/>
    <w:rsid w:val="00A73E7B"/>
    <w:rsid w:val="00A73EE3"/>
    <w:rsid w:val="00A73FC5"/>
    <w:rsid w:val="00A74111"/>
    <w:rsid w:val="00A74188"/>
    <w:rsid w:val="00A74230"/>
    <w:rsid w:val="00A742C8"/>
    <w:rsid w:val="00A74315"/>
    <w:rsid w:val="00A7457E"/>
    <w:rsid w:val="00A745F0"/>
    <w:rsid w:val="00A7486E"/>
    <w:rsid w:val="00A748C1"/>
    <w:rsid w:val="00A74910"/>
    <w:rsid w:val="00A7491B"/>
    <w:rsid w:val="00A74C46"/>
    <w:rsid w:val="00A74CDA"/>
    <w:rsid w:val="00A74D08"/>
    <w:rsid w:val="00A74E86"/>
    <w:rsid w:val="00A74ED2"/>
    <w:rsid w:val="00A74F62"/>
    <w:rsid w:val="00A74F84"/>
    <w:rsid w:val="00A74FA6"/>
    <w:rsid w:val="00A74FD6"/>
    <w:rsid w:val="00A7511C"/>
    <w:rsid w:val="00A7520D"/>
    <w:rsid w:val="00A752A1"/>
    <w:rsid w:val="00A7530C"/>
    <w:rsid w:val="00A75342"/>
    <w:rsid w:val="00A7544B"/>
    <w:rsid w:val="00A75582"/>
    <w:rsid w:val="00A75638"/>
    <w:rsid w:val="00A756AD"/>
    <w:rsid w:val="00A756CB"/>
    <w:rsid w:val="00A757C4"/>
    <w:rsid w:val="00A757C6"/>
    <w:rsid w:val="00A757DB"/>
    <w:rsid w:val="00A7586A"/>
    <w:rsid w:val="00A75C2E"/>
    <w:rsid w:val="00A75D75"/>
    <w:rsid w:val="00A75E81"/>
    <w:rsid w:val="00A762A2"/>
    <w:rsid w:val="00A763D3"/>
    <w:rsid w:val="00A76455"/>
    <w:rsid w:val="00A76472"/>
    <w:rsid w:val="00A7648B"/>
    <w:rsid w:val="00A76551"/>
    <w:rsid w:val="00A76591"/>
    <w:rsid w:val="00A7678E"/>
    <w:rsid w:val="00A76989"/>
    <w:rsid w:val="00A769FB"/>
    <w:rsid w:val="00A76A49"/>
    <w:rsid w:val="00A76C39"/>
    <w:rsid w:val="00A76CBA"/>
    <w:rsid w:val="00A76D77"/>
    <w:rsid w:val="00A76EB7"/>
    <w:rsid w:val="00A77201"/>
    <w:rsid w:val="00A774C9"/>
    <w:rsid w:val="00A7781A"/>
    <w:rsid w:val="00A7786F"/>
    <w:rsid w:val="00A77B76"/>
    <w:rsid w:val="00A77BF3"/>
    <w:rsid w:val="00A77C12"/>
    <w:rsid w:val="00A77C84"/>
    <w:rsid w:val="00A77CB3"/>
    <w:rsid w:val="00A80204"/>
    <w:rsid w:val="00A8024F"/>
    <w:rsid w:val="00A8040E"/>
    <w:rsid w:val="00A8048A"/>
    <w:rsid w:val="00A804E6"/>
    <w:rsid w:val="00A8063E"/>
    <w:rsid w:val="00A80800"/>
    <w:rsid w:val="00A809D6"/>
    <w:rsid w:val="00A80A1A"/>
    <w:rsid w:val="00A80BD7"/>
    <w:rsid w:val="00A80CC1"/>
    <w:rsid w:val="00A80DC5"/>
    <w:rsid w:val="00A8116F"/>
    <w:rsid w:val="00A81203"/>
    <w:rsid w:val="00A8120B"/>
    <w:rsid w:val="00A8131D"/>
    <w:rsid w:val="00A8134E"/>
    <w:rsid w:val="00A813D3"/>
    <w:rsid w:val="00A81578"/>
    <w:rsid w:val="00A817A0"/>
    <w:rsid w:val="00A81872"/>
    <w:rsid w:val="00A819BF"/>
    <w:rsid w:val="00A81A2E"/>
    <w:rsid w:val="00A81A42"/>
    <w:rsid w:val="00A81C80"/>
    <w:rsid w:val="00A81D21"/>
    <w:rsid w:val="00A81D38"/>
    <w:rsid w:val="00A81D42"/>
    <w:rsid w:val="00A81ECB"/>
    <w:rsid w:val="00A824FD"/>
    <w:rsid w:val="00A82507"/>
    <w:rsid w:val="00A8252E"/>
    <w:rsid w:val="00A8258B"/>
    <w:rsid w:val="00A82750"/>
    <w:rsid w:val="00A8278D"/>
    <w:rsid w:val="00A827A7"/>
    <w:rsid w:val="00A82829"/>
    <w:rsid w:val="00A829C8"/>
    <w:rsid w:val="00A82A07"/>
    <w:rsid w:val="00A82B15"/>
    <w:rsid w:val="00A82CE3"/>
    <w:rsid w:val="00A82D59"/>
    <w:rsid w:val="00A830E9"/>
    <w:rsid w:val="00A832AA"/>
    <w:rsid w:val="00A834FF"/>
    <w:rsid w:val="00A835C6"/>
    <w:rsid w:val="00A835E8"/>
    <w:rsid w:val="00A8362F"/>
    <w:rsid w:val="00A839C8"/>
    <w:rsid w:val="00A83A41"/>
    <w:rsid w:val="00A83AF2"/>
    <w:rsid w:val="00A83B44"/>
    <w:rsid w:val="00A83D55"/>
    <w:rsid w:val="00A83DAE"/>
    <w:rsid w:val="00A83E8B"/>
    <w:rsid w:val="00A83FAB"/>
    <w:rsid w:val="00A8418B"/>
    <w:rsid w:val="00A84196"/>
    <w:rsid w:val="00A844A9"/>
    <w:rsid w:val="00A84544"/>
    <w:rsid w:val="00A84591"/>
    <w:rsid w:val="00A84606"/>
    <w:rsid w:val="00A847ED"/>
    <w:rsid w:val="00A8488D"/>
    <w:rsid w:val="00A84950"/>
    <w:rsid w:val="00A84ABB"/>
    <w:rsid w:val="00A84C8C"/>
    <w:rsid w:val="00A84D5C"/>
    <w:rsid w:val="00A84D91"/>
    <w:rsid w:val="00A84E5D"/>
    <w:rsid w:val="00A84EAB"/>
    <w:rsid w:val="00A85020"/>
    <w:rsid w:val="00A851D5"/>
    <w:rsid w:val="00A8520C"/>
    <w:rsid w:val="00A8527A"/>
    <w:rsid w:val="00A852A8"/>
    <w:rsid w:val="00A85448"/>
    <w:rsid w:val="00A854BD"/>
    <w:rsid w:val="00A8573D"/>
    <w:rsid w:val="00A85845"/>
    <w:rsid w:val="00A858D0"/>
    <w:rsid w:val="00A858DE"/>
    <w:rsid w:val="00A85F3A"/>
    <w:rsid w:val="00A8602E"/>
    <w:rsid w:val="00A86116"/>
    <w:rsid w:val="00A8614A"/>
    <w:rsid w:val="00A86182"/>
    <w:rsid w:val="00A86211"/>
    <w:rsid w:val="00A8621B"/>
    <w:rsid w:val="00A862DF"/>
    <w:rsid w:val="00A86332"/>
    <w:rsid w:val="00A86343"/>
    <w:rsid w:val="00A865C3"/>
    <w:rsid w:val="00A86624"/>
    <w:rsid w:val="00A86667"/>
    <w:rsid w:val="00A86765"/>
    <w:rsid w:val="00A86818"/>
    <w:rsid w:val="00A8684A"/>
    <w:rsid w:val="00A86A77"/>
    <w:rsid w:val="00A86B18"/>
    <w:rsid w:val="00A86B4C"/>
    <w:rsid w:val="00A86D42"/>
    <w:rsid w:val="00A86D59"/>
    <w:rsid w:val="00A86DF4"/>
    <w:rsid w:val="00A86F8D"/>
    <w:rsid w:val="00A87063"/>
    <w:rsid w:val="00A870B9"/>
    <w:rsid w:val="00A8717D"/>
    <w:rsid w:val="00A871FE"/>
    <w:rsid w:val="00A87278"/>
    <w:rsid w:val="00A87482"/>
    <w:rsid w:val="00A875C3"/>
    <w:rsid w:val="00A8761C"/>
    <w:rsid w:val="00A876DE"/>
    <w:rsid w:val="00A87711"/>
    <w:rsid w:val="00A87741"/>
    <w:rsid w:val="00A87A68"/>
    <w:rsid w:val="00A87B96"/>
    <w:rsid w:val="00A87BE6"/>
    <w:rsid w:val="00A87EC3"/>
    <w:rsid w:val="00A900C7"/>
    <w:rsid w:val="00A90135"/>
    <w:rsid w:val="00A90201"/>
    <w:rsid w:val="00A903AF"/>
    <w:rsid w:val="00A9042D"/>
    <w:rsid w:val="00A90446"/>
    <w:rsid w:val="00A90530"/>
    <w:rsid w:val="00A9057F"/>
    <w:rsid w:val="00A90707"/>
    <w:rsid w:val="00A90817"/>
    <w:rsid w:val="00A90843"/>
    <w:rsid w:val="00A908BF"/>
    <w:rsid w:val="00A90B35"/>
    <w:rsid w:val="00A90C90"/>
    <w:rsid w:val="00A91036"/>
    <w:rsid w:val="00A91066"/>
    <w:rsid w:val="00A910A1"/>
    <w:rsid w:val="00A91109"/>
    <w:rsid w:val="00A9110C"/>
    <w:rsid w:val="00A911A6"/>
    <w:rsid w:val="00A91361"/>
    <w:rsid w:val="00A91457"/>
    <w:rsid w:val="00A914B4"/>
    <w:rsid w:val="00A915F6"/>
    <w:rsid w:val="00A91667"/>
    <w:rsid w:val="00A91938"/>
    <w:rsid w:val="00A91982"/>
    <w:rsid w:val="00A91A4A"/>
    <w:rsid w:val="00A91A6A"/>
    <w:rsid w:val="00A91DC6"/>
    <w:rsid w:val="00A91DD8"/>
    <w:rsid w:val="00A91E33"/>
    <w:rsid w:val="00A9206C"/>
    <w:rsid w:val="00A9209C"/>
    <w:rsid w:val="00A92195"/>
    <w:rsid w:val="00A92277"/>
    <w:rsid w:val="00A92438"/>
    <w:rsid w:val="00A9244F"/>
    <w:rsid w:val="00A925EE"/>
    <w:rsid w:val="00A92700"/>
    <w:rsid w:val="00A92759"/>
    <w:rsid w:val="00A92856"/>
    <w:rsid w:val="00A928C7"/>
    <w:rsid w:val="00A928D2"/>
    <w:rsid w:val="00A92955"/>
    <w:rsid w:val="00A929F1"/>
    <w:rsid w:val="00A92A03"/>
    <w:rsid w:val="00A92A4A"/>
    <w:rsid w:val="00A92F32"/>
    <w:rsid w:val="00A93036"/>
    <w:rsid w:val="00A93064"/>
    <w:rsid w:val="00A93250"/>
    <w:rsid w:val="00A933B4"/>
    <w:rsid w:val="00A933D5"/>
    <w:rsid w:val="00A93472"/>
    <w:rsid w:val="00A93684"/>
    <w:rsid w:val="00A93725"/>
    <w:rsid w:val="00A93843"/>
    <w:rsid w:val="00A938A8"/>
    <w:rsid w:val="00A93AC5"/>
    <w:rsid w:val="00A93B88"/>
    <w:rsid w:val="00A93BB3"/>
    <w:rsid w:val="00A93BD9"/>
    <w:rsid w:val="00A93C1F"/>
    <w:rsid w:val="00A93C6D"/>
    <w:rsid w:val="00A93D5B"/>
    <w:rsid w:val="00A93D88"/>
    <w:rsid w:val="00A93E1C"/>
    <w:rsid w:val="00A94256"/>
    <w:rsid w:val="00A9431E"/>
    <w:rsid w:val="00A943D3"/>
    <w:rsid w:val="00A94516"/>
    <w:rsid w:val="00A9471D"/>
    <w:rsid w:val="00A94908"/>
    <w:rsid w:val="00A94990"/>
    <w:rsid w:val="00A94A3E"/>
    <w:rsid w:val="00A94BC1"/>
    <w:rsid w:val="00A94CFE"/>
    <w:rsid w:val="00A94DFB"/>
    <w:rsid w:val="00A95057"/>
    <w:rsid w:val="00A950E8"/>
    <w:rsid w:val="00A95103"/>
    <w:rsid w:val="00A95162"/>
    <w:rsid w:val="00A952E9"/>
    <w:rsid w:val="00A95307"/>
    <w:rsid w:val="00A9530B"/>
    <w:rsid w:val="00A9530D"/>
    <w:rsid w:val="00A953BE"/>
    <w:rsid w:val="00A95631"/>
    <w:rsid w:val="00A9568E"/>
    <w:rsid w:val="00A95923"/>
    <w:rsid w:val="00A95A7C"/>
    <w:rsid w:val="00A95A95"/>
    <w:rsid w:val="00A95B1E"/>
    <w:rsid w:val="00A95B49"/>
    <w:rsid w:val="00A95E2A"/>
    <w:rsid w:val="00A95F0D"/>
    <w:rsid w:val="00A963A5"/>
    <w:rsid w:val="00A96584"/>
    <w:rsid w:val="00A96681"/>
    <w:rsid w:val="00A96717"/>
    <w:rsid w:val="00A967C2"/>
    <w:rsid w:val="00A96802"/>
    <w:rsid w:val="00A96C01"/>
    <w:rsid w:val="00A96CF0"/>
    <w:rsid w:val="00A96D2E"/>
    <w:rsid w:val="00A96DD2"/>
    <w:rsid w:val="00A96E2D"/>
    <w:rsid w:val="00A96F4D"/>
    <w:rsid w:val="00A97044"/>
    <w:rsid w:val="00A970E5"/>
    <w:rsid w:val="00A97114"/>
    <w:rsid w:val="00A97202"/>
    <w:rsid w:val="00A97455"/>
    <w:rsid w:val="00A974DA"/>
    <w:rsid w:val="00A97542"/>
    <w:rsid w:val="00A97544"/>
    <w:rsid w:val="00A9754A"/>
    <w:rsid w:val="00A97609"/>
    <w:rsid w:val="00A9764D"/>
    <w:rsid w:val="00A9776F"/>
    <w:rsid w:val="00A977D3"/>
    <w:rsid w:val="00A97A6A"/>
    <w:rsid w:val="00A97A70"/>
    <w:rsid w:val="00A97B8F"/>
    <w:rsid w:val="00A97BE8"/>
    <w:rsid w:val="00A97E1B"/>
    <w:rsid w:val="00A97F06"/>
    <w:rsid w:val="00A97FEE"/>
    <w:rsid w:val="00AA0142"/>
    <w:rsid w:val="00AA01A0"/>
    <w:rsid w:val="00AA0336"/>
    <w:rsid w:val="00AA03FF"/>
    <w:rsid w:val="00AA044C"/>
    <w:rsid w:val="00AA04F8"/>
    <w:rsid w:val="00AA072F"/>
    <w:rsid w:val="00AA0786"/>
    <w:rsid w:val="00AA0BCD"/>
    <w:rsid w:val="00AA0D54"/>
    <w:rsid w:val="00AA10E8"/>
    <w:rsid w:val="00AA1171"/>
    <w:rsid w:val="00AA1316"/>
    <w:rsid w:val="00AA1650"/>
    <w:rsid w:val="00AA1931"/>
    <w:rsid w:val="00AA1ABC"/>
    <w:rsid w:val="00AA1B82"/>
    <w:rsid w:val="00AA1C3E"/>
    <w:rsid w:val="00AA1CBC"/>
    <w:rsid w:val="00AA1CD0"/>
    <w:rsid w:val="00AA1D08"/>
    <w:rsid w:val="00AA1D4E"/>
    <w:rsid w:val="00AA1E66"/>
    <w:rsid w:val="00AA2079"/>
    <w:rsid w:val="00AA24A0"/>
    <w:rsid w:val="00AA252D"/>
    <w:rsid w:val="00AA25AE"/>
    <w:rsid w:val="00AA2625"/>
    <w:rsid w:val="00AA28EC"/>
    <w:rsid w:val="00AA2A3B"/>
    <w:rsid w:val="00AA2A79"/>
    <w:rsid w:val="00AA2BBD"/>
    <w:rsid w:val="00AA2D35"/>
    <w:rsid w:val="00AA2D46"/>
    <w:rsid w:val="00AA2D53"/>
    <w:rsid w:val="00AA2F30"/>
    <w:rsid w:val="00AA2F4F"/>
    <w:rsid w:val="00AA2FBF"/>
    <w:rsid w:val="00AA3228"/>
    <w:rsid w:val="00AA32BC"/>
    <w:rsid w:val="00AA32DE"/>
    <w:rsid w:val="00AA3362"/>
    <w:rsid w:val="00AA3504"/>
    <w:rsid w:val="00AA350C"/>
    <w:rsid w:val="00AA3612"/>
    <w:rsid w:val="00AA38C0"/>
    <w:rsid w:val="00AA38E3"/>
    <w:rsid w:val="00AA3B19"/>
    <w:rsid w:val="00AA3BAB"/>
    <w:rsid w:val="00AA3BE8"/>
    <w:rsid w:val="00AA3C67"/>
    <w:rsid w:val="00AA3D10"/>
    <w:rsid w:val="00AA3E15"/>
    <w:rsid w:val="00AA4168"/>
    <w:rsid w:val="00AA425E"/>
    <w:rsid w:val="00AA439E"/>
    <w:rsid w:val="00AA43A4"/>
    <w:rsid w:val="00AA44BF"/>
    <w:rsid w:val="00AA44F7"/>
    <w:rsid w:val="00AA44FF"/>
    <w:rsid w:val="00AA485D"/>
    <w:rsid w:val="00AA48DC"/>
    <w:rsid w:val="00AA498D"/>
    <w:rsid w:val="00AA4ABD"/>
    <w:rsid w:val="00AA4AEA"/>
    <w:rsid w:val="00AA5113"/>
    <w:rsid w:val="00AA52B6"/>
    <w:rsid w:val="00AA5439"/>
    <w:rsid w:val="00AA56B6"/>
    <w:rsid w:val="00AA5732"/>
    <w:rsid w:val="00AA5763"/>
    <w:rsid w:val="00AA5776"/>
    <w:rsid w:val="00AA579B"/>
    <w:rsid w:val="00AA583E"/>
    <w:rsid w:val="00AA5856"/>
    <w:rsid w:val="00AA5A38"/>
    <w:rsid w:val="00AA5B06"/>
    <w:rsid w:val="00AA5B9B"/>
    <w:rsid w:val="00AA5E9F"/>
    <w:rsid w:val="00AA5FE7"/>
    <w:rsid w:val="00AA61A3"/>
    <w:rsid w:val="00AA61A8"/>
    <w:rsid w:val="00AA622D"/>
    <w:rsid w:val="00AA6245"/>
    <w:rsid w:val="00AA6707"/>
    <w:rsid w:val="00AA67C3"/>
    <w:rsid w:val="00AA680C"/>
    <w:rsid w:val="00AA6AB8"/>
    <w:rsid w:val="00AA6C64"/>
    <w:rsid w:val="00AA6C6F"/>
    <w:rsid w:val="00AA6C89"/>
    <w:rsid w:val="00AA6D64"/>
    <w:rsid w:val="00AA6DEA"/>
    <w:rsid w:val="00AA7001"/>
    <w:rsid w:val="00AA71A0"/>
    <w:rsid w:val="00AA71F1"/>
    <w:rsid w:val="00AA71F4"/>
    <w:rsid w:val="00AA7214"/>
    <w:rsid w:val="00AA72A0"/>
    <w:rsid w:val="00AA75B4"/>
    <w:rsid w:val="00AA765C"/>
    <w:rsid w:val="00AA76B0"/>
    <w:rsid w:val="00AA78A9"/>
    <w:rsid w:val="00AA7B79"/>
    <w:rsid w:val="00AA7BD1"/>
    <w:rsid w:val="00AA7EDA"/>
    <w:rsid w:val="00AA7EE5"/>
    <w:rsid w:val="00AB00E6"/>
    <w:rsid w:val="00AB01D8"/>
    <w:rsid w:val="00AB031D"/>
    <w:rsid w:val="00AB05A1"/>
    <w:rsid w:val="00AB05AA"/>
    <w:rsid w:val="00AB0668"/>
    <w:rsid w:val="00AB068B"/>
    <w:rsid w:val="00AB06FB"/>
    <w:rsid w:val="00AB085D"/>
    <w:rsid w:val="00AB0A50"/>
    <w:rsid w:val="00AB0BAF"/>
    <w:rsid w:val="00AB0C5C"/>
    <w:rsid w:val="00AB0CEF"/>
    <w:rsid w:val="00AB0D5C"/>
    <w:rsid w:val="00AB0E42"/>
    <w:rsid w:val="00AB0FF2"/>
    <w:rsid w:val="00AB1516"/>
    <w:rsid w:val="00AB152F"/>
    <w:rsid w:val="00AB164F"/>
    <w:rsid w:val="00AB1692"/>
    <w:rsid w:val="00AB16CA"/>
    <w:rsid w:val="00AB1758"/>
    <w:rsid w:val="00AB1936"/>
    <w:rsid w:val="00AB1C68"/>
    <w:rsid w:val="00AB1E61"/>
    <w:rsid w:val="00AB1F93"/>
    <w:rsid w:val="00AB2065"/>
    <w:rsid w:val="00AB225A"/>
    <w:rsid w:val="00AB2620"/>
    <w:rsid w:val="00AB26D1"/>
    <w:rsid w:val="00AB2896"/>
    <w:rsid w:val="00AB28D9"/>
    <w:rsid w:val="00AB28EC"/>
    <w:rsid w:val="00AB2B18"/>
    <w:rsid w:val="00AB2BCA"/>
    <w:rsid w:val="00AB2CD6"/>
    <w:rsid w:val="00AB2EDB"/>
    <w:rsid w:val="00AB2FB3"/>
    <w:rsid w:val="00AB31E6"/>
    <w:rsid w:val="00AB3346"/>
    <w:rsid w:val="00AB33B0"/>
    <w:rsid w:val="00AB3548"/>
    <w:rsid w:val="00AB354E"/>
    <w:rsid w:val="00AB3709"/>
    <w:rsid w:val="00AB38C0"/>
    <w:rsid w:val="00AB3929"/>
    <w:rsid w:val="00AB3C24"/>
    <w:rsid w:val="00AB3C57"/>
    <w:rsid w:val="00AB3D68"/>
    <w:rsid w:val="00AB3FCB"/>
    <w:rsid w:val="00AB40FE"/>
    <w:rsid w:val="00AB4227"/>
    <w:rsid w:val="00AB426F"/>
    <w:rsid w:val="00AB4279"/>
    <w:rsid w:val="00AB4349"/>
    <w:rsid w:val="00AB43EE"/>
    <w:rsid w:val="00AB441F"/>
    <w:rsid w:val="00AB47E2"/>
    <w:rsid w:val="00AB4850"/>
    <w:rsid w:val="00AB4854"/>
    <w:rsid w:val="00AB498D"/>
    <w:rsid w:val="00AB4A83"/>
    <w:rsid w:val="00AB4AA0"/>
    <w:rsid w:val="00AB4AA5"/>
    <w:rsid w:val="00AB4B1D"/>
    <w:rsid w:val="00AB4C45"/>
    <w:rsid w:val="00AB4CE5"/>
    <w:rsid w:val="00AB4D50"/>
    <w:rsid w:val="00AB50C6"/>
    <w:rsid w:val="00AB514E"/>
    <w:rsid w:val="00AB5360"/>
    <w:rsid w:val="00AB538B"/>
    <w:rsid w:val="00AB53F1"/>
    <w:rsid w:val="00AB56AB"/>
    <w:rsid w:val="00AB5866"/>
    <w:rsid w:val="00AB5C6F"/>
    <w:rsid w:val="00AB5D41"/>
    <w:rsid w:val="00AB5DC9"/>
    <w:rsid w:val="00AB5E07"/>
    <w:rsid w:val="00AB5E0F"/>
    <w:rsid w:val="00AB5E51"/>
    <w:rsid w:val="00AB63E5"/>
    <w:rsid w:val="00AB6629"/>
    <w:rsid w:val="00AB6920"/>
    <w:rsid w:val="00AB6B47"/>
    <w:rsid w:val="00AB6C5F"/>
    <w:rsid w:val="00AB6D9D"/>
    <w:rsid w:val="00AB6E4D"/>
    <w:rsid w:val="00AB6E53"/>
    <w:rsid w:val="00AB6EC5"/>
    <w:rsid w:val="00AB6ED9"/>
    <w:rsid w:val="00AB70EA"/>
    <w:rsid w:val="00AB715E"/>
    <w:rsid w:val="00AB730D"/>
    <w:rsid w:val="00AB7370"/>
    <w:rsid w:val="00AB766A"/>
    <w:rsid w:val="00AB7C53"/>
    <w:rsid w:val="00AB7C56"/>
    <w:rsid w:val="00AB7D3C"/>
    <w:rsid w:val="00AB7F55"/>
    <w:rsid w:val="00AB7F83"/>
    <w:rsid w:val="00AC0000"/>
    <w:rsid w:val="00AC00BA"/>
    <w:rsid w:val="00AC0171"/>
    <w:rsid w:val="00AC01D6"/>
    <w:rsid w:val="00AC0416"/>
    <w:rsid w:val="00AC0513"/>
    <w:rsid w:val="00AC066E"/>
    <w:rsid w:val="00AC0744"/>
    <w:rsid w:val="00AC07BE"/>
    <w:rsid w:val="00AC084D"/>
    <w:rsid w:val="00AC0934"/>
    <w:rsid w:val="00AC09F4"/>
    <w:rsid w:val="00AC0A05"/>
    <w:rsid w:val="00AC0A1C"/>
    <w:rsid w:val="00AC0D19"/>
    <w:rsid w:val="00AC0EDF"/>
    <w:rsid w:val="00AC0EF4"/>
    <w:rsid w:val="00AC137D"/>
    <w:rsid w:val="00AC1395"/>
    <w:rsid w:val="00AC13BD"/>
    <w:rsid w:val="00AC13E1"/>
    <w:rsid w:val="00AC146E"/>
    <w:rsid w:val="00AC1500"/>
    <w:rsid w:val="00AC1620"/>
    <w:rsid w:val="00AC1744"/>
    <w:rsid w:val="00AC17F3"/>
    <w:rsid w:val="00AC17F9"/>
    <w:rsid w:val="00AC19AF"/>
    <w:rsid w:val="00AC1C0D"/>
    <w:rsid w:val="00AC1D2B"/>
    <w:rsid w:val="00AC1EA2"/>
    <w:rsid w:val="00AC1F92"/>
    <w:rsid w:val="00AC2006"/>
    <w:rsid w:val="00AC208F"/>
    <w:rsid w:val="00AC2183"/>
    <w:rsid w:val="00AC2224"/>
    <w:rsid w:val="00AC2260"/>
    <w:rsid w:val="00AC25BE"/>
    <w:rsid w:val="00AC25C5"/>
    <w:rsid w:val="00AC2640"/>
    <w:rsid w:val="00AC271A"/>
    <w:rsid w:val="00AC2781"/>
    <w:rsid w:val="00AC2B58"/>
    <w:rsid w:val="00AC2BA6"/>
    <w:rsid w:val="00AC2C19"/>
    <w:rsid w:val="00AC2CBA"/>
    <w:rsid w:val="00AC2DA6"/>
    <w:rsid w:val="00AC2E1A"/>
    <w:rsid w:val="00AC2E20"/>
    <w:rsid w:val="00AC2E4D"/>
    <w:rsid w:val="00AC2E75"/>
    <w:rsid w:val="00AC2FED"/>
    <w:rsid w:val="00AC3030"/>
    <w:rsid w:val="00AC31C9"/>
    <w:rsid w:val="00AC325A"/>
    <w:rsid w:val="00AC33A9"/>
    <w:rsid w:val="00AC33E6"/>
    <w:rsid w:val="00AC3470"/>
    <w:rsid w:val="00AC366D"/>
    <w:rsid w:val="00AC3674"/>
    <w:rsid w:val="00AC379F"/>
    <w:rsid w:val="00AC3913"/>
    <w:rsid w:val="00AC39D1"/>
    <w:rsid w:val="00AC3BE1"/>
    <w:rsid w:val="00AC3BEE"/>
    <w:rsid w:val="00AC3D27"/>
    <w:rsid w:val="00AC4166"/>
    <w:rsid w:val="00AC4244"/>
    <w:rsid w:val="00AC42A9"/>
    <w:rsid w:val="00AC42B9"/>
    <w:rsid w:val="00AC4326"/>
    <w:rsid w:val="00AC43B3"/>
    <w:rsid w:val="00AC4425"/>
    <w:rsid w:val="00AC44B0"/>
    <w:rsid w:val="00AC4631"/>
    <w:rsid w:val="00AC469C"/>
    <w:rsid w:val="00AC4723"/>
    <w:rsid w:val="00AC47C7"/>
    <w:rsid w:val="00AC496A"/>
    <w:rsid w:val="00AC4A6D"/>
    <w:rsid w:val="00AC4B67"/>
    <w:rsid w:val="00AC4C1B"/>
    <w:rsid w:val="00AC4C34"/>
    <w:rsid w:val="00AC4C5D"/>
    <w:rsid w:val="00AC4CEF"/>
    <w:rsid w:val="00AC4D77"/>
    <w:rsid w:val="00AC52A9"/>
    <w:rsid w:val="00AC54D0"/>
    <w:rsid w:val="00AC564E"/>
    <w:rsid w:val="00AC591F"/>
    <w:rsid w:val="00AC5956"/>
    <w:rsid w:val="00AC5B00"/>
    <w:rsid w:val="00AC5CB9"/>
    <w:rsid w:val="00AC5E36"/>
    <w:rsid w:val="00AC5F00"/>
    <w:rsid w:val="00AC5F9F"/>
    <w:rsid w:val="00AC6057"/>
    <w:rsid w:val="00AC61FF"/>
    <w:rsid w:val="00AC623E"/>
    <w:rsid w:val="00AC623F"/>
    <w:rsid w:val="00AC62AE"/>
    <w:rsid w:val="00AC62B3"/>
    <w:rsid w:val="00AC62DB"/>
    <w:rsid w:val="00AC63C2"/>
    <w:rsid w:val="00AC6544"/>
    <w:rsid w:val="00AC6708"/>
    <w:rsid w:val="00AC670D"/>
    <w:rsid w:val="00AC6772"/>
    <w:rsid w:val="00AC6798"/>
    <w:rsid w:val="00AC67C7"/>
    <w:rsid w:val="00AC6A37"/>
    <w:rsid w:val="00AC6A3F"/>
    <w:rsid w:val="00AC6A97"/>
    <w:rsid w:val="00AC6CB1"/>
    <w:rsid w:val="00AC6DC4"/>
    <w:rsid w:val="00AC6E12"/>
    <w:rsid w:val="00AC6E62"/>
    <w:rsid w:val="00AC7197"/>
    <w:rsid w:val="00AC71BF"/>
    <w:rsid w:val="00AC71FD"/>
    <w:rsid w:val="00AC742D"/>
    <w:rsid w:val="00AC7487"/>
    <w:rsid w:val="00AC7675"/>
    <w:rsid w:val="00AC784C"/>
    <w:rsid w:val="00AC7881"/>
    <w:rsid w:val="00AC7997"/>
    <w:rsid w:val="00AC7A21"/>
    <w:rsid w:val="00AC7ACD"/>
    <w:rsid w:val="00AC7C62"/>
    <w:rsid w:val="00AC7CAB"/>
    <w:rsid w:val="00AC7CC3"/>
    <w:rsid w:val="00AC7DC1"/>
    <w:rsid w:val="00AC7DCE"/>
    <w:rsid w:val="00AC7E00"/>
    <w:rsid w:val="00AC7EB5"/>
    <w:rsid w:val="00AD030B"/>
    <w:rsid w:val="00AD0413"/>
    <w:rsid w:val="00AD04FB"/>
    <w:rsid w:val="00AD056F"/>
    <w:rsid w:val="00AD05D5"/>
    <w:rsid w:val="00AD05FB"/>
    <w:rsid w:val="00AD0753"/>
    <w:rsid w:val="00AD0907"/>
    <w:rsid w:val="00AD0A13"/>
    <w:rsid w:val="00AD0A4A"/>
    <w:rsid w:val="00AD0E3A"/>
    <w:rsid w:val="00AD0FB1"/>
    <w:rsid w:val="00AD0FDB"/>
    <w:rsid w:val="00AD1049"/>
    <w:rsid w:val="00AD1207"/>
    <w:rsid w:val="00AD1253"/>
    <w:rsid w:val="00AD1397"/>
    <w:rsid w:val="00AD1A3F"/>
    <w:rsid w:val="00AD1BB6"/>
    <w:rsid w:val="00AD1CDE"/>
    <w:rsid w:val="00AD1D7C"/>
    <w:rsid w:val="00AD1E8C"/>
    <w:rsid w:val="00AD24D3"/>
    <w:rsid w:val="00AD257E"/>
    <w:rsid w:val="00AD25D2"/>
    <w:rsid w:val="00AD2640"/>
    <w:rsid w:val="00AD2805"/>
    <w:rsid w:val="00AD2824"/>
    <w:rsid w:val="00AD2985"/>
    <w:rsid w:val="00AD2BBE"/>
    <w:rsid w:val="00AD2C4D"/>
    <w:rsid w:val="00AD2CF9"/>
    <w:rsid w:val="00AD2D55"/>
    <w:rsid w:val="00AD2F1C"/>
    <w:rsid w:val="00AD2F84"/>
    <w:rsid w:val="00AD2FA8"/>
    <w:rsid w:val="00AD3034"/>
    <w:rsid w:val="00AD30D4"/>
    <w:rsid w:val="00AD317D"/>
    <w:rsid w:val="00AD340C"/>
    <w:rsid w:val="00AD3491"/>
    <w:rsid w:val="00AD356C"/>
    <w:rsid w:val="00AD367B"/>
    <w:rsid w:val="00AD38B5"/>
    <w:rsid w:val="00AD3951"/>
    <w:rsid w:val="00AD3BA1"/>
    <w:rsid w:val="00AD4015"/>
    <w:rsid w:val="00AD409C"/>
    <w:rsid w:val="00AD40A9"/>
    <w:rsid w:val="00AD40E5"/>
    <w:rsid w:val="00AD453C"/>
    <w:rsid w:val="00AD4540"/>
    <w:rsid w:val="00AD4691"/>
    <w:rsid w:val="00AD4694"/>
    <w:rsid w:val="00AD4A51"/>
    <w:rsid w:val="00AD4CA2"/>
    <w:rsid w:val="00AD4CC7"/>
    <w:rsid w:val="00AD4D88"/>
    <w:rsid w:val="00AD4DBC"/>
    <w:rsid w:val="00AD4ECA"/>
    <w:rsid w:val="00AD4F2F"/>
    <w:rsid w:val="00AD5043"/>
    <w:rsid w:val="00AD5181"/>
    <w:rsid w:val="00AD52B7"/>
    <w:rsid w:val="00AD52F6"/>
    <w:rsid w:val="00AD53F0"/>
    <w:rsid w:val="00AD55E6"/>
    <w:rsid w:val="00AD5696"/>
    <w:rsid w:val="00AD56E1"/>
    <w:rsid w:val="00AD5860"/>
    <w:rsid w:val="00AD5876"/>
    <w:rsid w:val="00AD58B0"/>
    <w:rsid w:val="00AD5991"/>
    <w:rsid w:val="00AD59D8"/>
    <w:rsid w:val="00AD5BE1"/>
    <w:rsid w:val="00AD5C32"/>
    <w:rsid w:val="00AD5C3F"/>
    <w:rsid w:val="00AD5D8A"/>
    <w:rsid w:val="00AD5E87"/>
    <w:rsid w:val="00AD5EF3"/>
    <w:rsid w:val="00AD5F29"/>
    <w:rsid w:val="00AD5FC4"/>
    <w:rsid w:val="00AD6386"/>
    <w:rsid w:val="00AD6521"/>
    <w:rsid w:val="00AD68B1"/>
    <w:rsid w:val="00AD68DA"/>
    <w:rsid w:val="00AD6C78"/>
    <w:rsid w:val="00AD6CA5"/>
    <w:rsid w:val="00AD6D48"/>
    <w:rsid w:val="00AD7093"/>
    <w:rsid w:val="00AD70CA"/>
    <w:rsid w:val="00AD712C"/>
    <w:rsid w:val="00AD725E"/>
    <w:rsid w:val="00AD7279"/>
    <w:rsid w:val="00AD72C3"/>
    <w:rsid w:val="00AD7374"/>
    <w:rsid w:val="00AD73CF"/>
    <w:rsid w:val="00AD7823"/>
    <w:rsid w:val="00AD7859"/>
    <w:rsid w:val="00AD7D79"/>
    <w:rsid w:val="00AE00CE"/>
    <w:rsid w:val="00AE0129"/>
    <w:rsid w:val="00AE020C"/>
    <w:rsid w:val="00AE0259"/>
    <w:rsid w:val="00AE02C9"/>
    <w:rsid w:val="00AE0478"/>
    <w:rsid w:val="00AE04A7"/>
    <w:rsid w:val="00AE04DE"/>
    <w:rsid w:val="00AE0525"/>
    <w:rsid w:val="00AE0651"/>
    <w:rsid w:val="00AE0657"/>
    <w:rsid w:val="00AE07A1"/>
    <w:rsid w:val="00AE07CB"/>
    <w:rsid w:val="00AE095F"/>
    <w:rsid w:val="00AE09D1"/>
    <w:rsid w:val="00AE0A2C"/>
    <w:rsid w:val="00AE0B08"/>
    <w:rsid w:val="00AE0B13"/>
    <w:rsid w:val="00AE0BE3"/>
    <w:rsid w:val="00AE0C87"/>
    <w:rsid w:val="00AE0CD3"/>
    <w:rsid w:val="00AE0D00"/>
    <w:rsid w:val="00AE0D77"/>
    <w:rsid w:val="00AE0DE1"/>
    <w:rsid w:val="00AE0FD4"/>
    <w:rsid w:val="00AE1012"/>
    <w:rsid w:val="00AE1063"/>
    <w:rsid w:val="00AE1239"/>
    <w:rsid w:val="00AE12E7"/>
    <w:rsid w:val="00AE1454"/>
    <w:rsid w:val="00AE1668"/>
    <w:rsid w:val="00AE17D7"/>
    <w:rsid w:val="00AE1949"/>
    <w:rsid w:val="00AE19D3"/>
    <w:rsid w:val="00AE19DE"/>
    <w:rsid w:val="00AE1A46"/>
    <w:rsid w:val="00AE1CBA"/>
    <w:rsid w:val="00AE1D6A"/>
    <w:rsid w:val="00AE1E13"/>
    <w:rsid w:val="00AE1EAB"/>
    <w:rsid w:val="00AE1F40"/>
    <w:rsid w:val="00AE20BC"/>
    <w:rsid w:val="00AE21EF"/>
    <w:rsid w:val="00AE22D7"/>
    <w:rsid w:val="00AE234F"/>
    <w:rsid w:val="00AE2369"/>
    <w:rsid w:val="00AE23A4"/>
    <w:rsid w:val="00AE25D6"/>
    <w:rsid w:val="00AE265B"/>
    <w:rsid w:val="00AE26F7"/>
    <w:rsid w:val="00AE280E"/>
    <w:rsid w:val="00AE2837"/>
    <w:rsid w:val="00AE2872"/>
    <w:rsid w:val="00AE2932"/>
    <w:rsid w:val="00AE2A82"/>
    <w:rsid w:val="00AE2C8D"/>
    <w:rsid w:val="00AE2D1E"/>
    <w:rsid w:val="00AE2D8A"/>
    <w:rsid w:val="00AE2E3A"/>
    <w:rsid w:val="00AE2E51"/>
    <w:rsid w:val="00AE2FBC"/>
    <w:rsid w:val="00AE31C9"/>
    <w:rsid w:val="00AE3365"/>
    <w:rsid w:val="00AE3594"/>
    <w:rsid w:val="00AE3829"/>
    <w:rsid w:val="00AE3995"/>
    <w:rsid w:val="00AE3C2E"/>
    <w:rsid w:val="00AE3D02"/>
    <w:rsid w:val="00AE3EE6"/>
    <w:rsid w:val="00AE3F89"/>
    <w:rsid w:val="00AE3FDB"/>
    <w:rsid w:val="00AE41F0"/>
    <w:rsid w:val="00AE42DA"/>
    <w:rsid w:val="00AE45FD"/>
    <w:rsid w:val="00AE4917"/>
    <w:rsid w:val="00AE4995"/>
    <w:rsid w:val="00AE4A1F"/>
    <w:rsid w:val="00AE4A7B"/>
    <w:rsid w:val="00AE4B6A"/>
    <w:rsid w:val="00AE4B79"/>
    <w:rsid w:val="00AE4CAF"/>
    <w:rsid w:val="00AE4DFD"/>
    <w:rsid w:val="00AE5371"/>
    <w:rsid w:val="00AE55B6"/>
    <w:rsid w:val="00AE55E1"/>
    <w:rsid w:val="00AE566B"/>
    <w:rsid w:val="00AE5742"/>
    <w:rsid w:val="00AE58DA"/>
    <w:rsid w:val="00AE5917"/>
    <w:rsid w:val="00AE59A1"/>
    <w:rsid w:val="00AE5A3F"/>
    <w:rsid w:val="00AE5A56"/>
    <w:rsid w:val="00AE5C27"/>
    <w:rsid w:val="00AE5C8D"/>
    <w:rsid w:val="00AE5CEA"/>
    <w:rsid w:val="00AE5CF3"/>
    <w:rsid w:val="00AE5CF7"/>
    <w:rsid w:val="00AE5D62"/>
    <w:rsid w:val="00AE61C9"/>
    <w:rsid w:val="00AE6209"/>
    <w:rsid w:val="00AE63C7"/>
    <w:rsid w:val="00AE6439"/>
    <w:rsid w:val="00AE64B2"/>
    <w:rsid w:val="00AE674F"/>
    <w:rsid w:val="00AE694D"/>
    <w:rsid w:val="00AE6B2C"/>
    <w:rsid w:val="00AE6B76"/>
    <w:rsid w:val="00AE6F14"/>
    <w:rsid w:val="00AE716E"/>
    <w:rsid w:val="00AE762B"/>
    <w:rsid w:val="00AE781A"/>
    <w:rsid w:val="00AE784C"/>
    <w:rsid w:val="00AE78B7"/>
    <w:rsid w:val="00AE78E6"/>
    <w:rsid w:val="00AE7BFC"/>
    <w:rsid w:val="00AE7D53"/>
    <w:rsid w:val="00AE7F59"/>
    <w:rsid w:val="00AF005B"/>
    <w:rsid w:val="00AF01AD"/>
    <w:rsid w:val="00AF01C4"/>
    <w:rsid w:val="00AF03B1"/>
    <w:rsid w:val="00AF040A"/>
    <w:rsid w:val="00AF043E"/>
    <w:rsid w:val="00AF049B"/>
    <w:rsid w:val="00AF055D"/>
    <w:rsid w:val="00AF06B3"/>
    <w:rsid w:val="00AF085B"/>
    <w:rsid w:val="00AF0DBB"/>
    <w:rsid w:val="00AF0FDB"/>
    <w:rsid w:val="00AF10AC"/>
    <w:rsid w:val="00AF1392"/>
    <w:rsid w:val="00AF155C"/>
    <w:rsid w:val="00AF15DF"/>
    <w:rsid w:val="00AF15EC"/>
    <w:rsid w:val="00AF15F8"/>
    <w:rsid w:val="00AF1669"/>
    <w:rsid w:val="00AF1916"/>
    <w:rsid w:val="00AF1B11"/>
    <w:rsid w:val="00AF201F"/>
    <w:rsid w:val="00AF20FE"/>
    <w:rsid w:val="00AF2191"/>
    <w:rsid w:val="00AF2312"/>
    <w:rsid w:val="00AF2321"/>
    <w:rsid w:val="00AF2443"/>
    <w:rsid w:val="00AF24D5"/>
    <w:rsid w:val="00AF2687"/>
    <w:rsid w:val="00AF2775"/>
    <w:rsid w:val="00AF2865"/>
    <w:rsid w:val="00AF29ED"/>
    <w:rsid w:val="00AF2A56"/>
    <w:rsid w:val="00AF2BFD"/>
    <w:rsid w:val="00AF2BFE"/>
    <w:rsid w:val="00AF2E61"/>
    <w:rsid w:val="00AF2EA1"/>
    <w:rsid w:val="00AF2EAA"/>
    <w:rsid w:val="00AF2F1D"/>
    <w:rsid w:val="00AF2F8E"/>
    <w:rsid w:val="00AF2FF7"/>
    <w:rsid w:val="00AF3144"/>
    <w:rsid w:val="00AF3244"/>
    <w:rsid w:val="00AF326C"/>
    <w:rsid w:val="00AF3285"/>
    <w:rsid w:val="00AF35B1"/>
    <w:rsid w:val="00AF35E8"/>
    <w:rsid w:val="00AF39A6"/>
    <w:rsid w:val="00AF3B34"/>
    <w:rsid w:val="00AF3DC6"/>
    <w:rsid w:val="00AF40A4"/>
    <w:rsid w:val="00AF4141"/>
    <w:rsid w:val="00AF4218"/>
    <w:rsid w:val="00AF428F"/>
    <w:rsid w:val="00AF4406"/>
    <w:rsid w:val="00AF44A5"/>
    <w:rsid w:val="00AF451B"/>
    <w:rsid w:val="00AF45DA"/>
    <w:rsid w:val="00AF46B2"/>
    <w:rsid w:val="00AF476F"/>
    <w:rsid w:val="00AF4910"/>
    <w:rsid w:val="00AF4918"/>
    <w:rsid w:val="00AF493E"/>
    <w:rsid w:val="00AF4A72"/>
    <w:rsid w:val="00AF4C5C"/>
    <w:rsid w:val="00AF4E85"/>
    <w:rsid w:val="00AF5092"/>
    <w:rsid w:val="00AF5797"/>
    <w:rsid w:val="00AF57A9"/>
    <w:rsid w:val="00AF585A"/>
    <w:rsid w:val="00AF5A39"/>
    <w:rsid w:val="00AF5CD8"/>
    <w:rsid w:val="00AF5DB2"/>
    <w:rsid w:val="00AF5F2D"/>
    <w:rsid w:val="00AF5FF1"/>
    <w:rsid w:val="00AF6116"/>
    <w:rsid w:val="00AF6123"/>
    <w:rsid w:val="00AF6431"/>
    <w:rsid w:val="00AF6449"/>
    <w:rsid w:val="00AF6496"/>
    <w:rsid w:val="00AF6613"/>
    <w:rsid w:val="00AF67EA"/>
    <w:rsid w:val="00AF6AD7"/>
    <w:rsid w:val="00AF6B81"/>
    <w:rsid w:val="00AF6E52"/>
    <w:rsid w:val="00AF6E75"/>
    <w:rsid w:val="00AF6FA1"/>
    <w:rsid w:val="00AF6FA9"/>
    <w:rsid w:val="00AF6FD5"/>
    <w:rsid w:val="00AF7043"/>
    <w:rsid w:val="00AF709C"/>
    <w:rsid w:val="00AF70C0"/>
    <w:rsid w:val="00AF7206"/>
    <w:rsid w:val="00AF73B1"/>
    <w:rsid w:val="00AF7425"/>
    <w:rsid w:val="00AF7449"/>
    <w:rsid w:val="00AF7513"/>
    <w:rsid w:val="00AF772F"/>
    <w:rsid w:val="00AF7A30"/>
    <w:rsid w:val="00AF7AAD"/>
    <w:rsid w:val="00AF7DC7"/>
    <w:rsid w:val="00AF7F03"/>
    <w:rsid w:val="00B000B8"/>
    <w:rsid w:val="00B002E6"/>
    <w:rsid w:val="00B0032D"/>
    <w:rsid w:val="00B00336"/>
    <w:rsid w:val="00B0088E"/>
    <w:rsid w:val="00B00BC6"/>
    <w:rsid w:val="00B00DF3"/>
    <w:rsid w:val="00B00F5C"/>
    <w:rsid w:val="00B00F7F"/>
    <w:rsid w:val="00B00FBA"/>
    <w:rsid w:val="00B0146F"/>
    <w:rsid w:val="00B0150B"/>
    <w:rsid w:val="00B01563"/>
    <w:rsid w:val="00B0195D"/>
    <w:rsid w:val="00B019F2"/>
    <w:rsid w:val="00B01A30"/>
    <w:rsid w:val="00B01B3A"/>
    <w:rsid w:val="00B01B83"/>
    <w:rsid w:val="00B01CB0"/>
    <w:rsid w:val="00B01D38"/>
    <w:rsid w:val="00B01D4A"/>
    <w:rsid w:val="00B020C9"/>
    <w:rsid w:val="00B02101"/>
    <w:rsid w:val="00B022FC"/>
    <w:rsid w:val="00B023B7"/>
    <w:rsid w:val="00B023FF"/>
    <w:rsid w:val="00B024D4"/>
    <w:rsid w:val="00B02915"/>
    <w:rsid w:val="00B029E7"/>
    <w:rsid w:val="00B02E69"/>
    <w:rsid w:val="00B03315"/>
    <w:rsid w:val="00B0331D"/>
    <w:rsid w:val="00B0334A"/>
    <w:rsid w:val="00B03591"/>
    <w:rsid w:val="00B03BCD"/>
    <w:rsid w:val="00B03C72"/>
    <w:rsid w:val="00B03CBA"/>
    <w:rsid w:val="00B03CE5"/>
    <w:rsid w:val="00B03E1B"/>
    <w:rsid w:val="00B03E1D"/>
    <w:rsid w:val="00B04013"/>
    <w:rsid w:val="00B040D8"/>
    <w:rsid w:val="00B0419D"/>
    <w:rsid w:val="00B041F6"/>
    <w:rsid w:val="00B043F4"/>
    <w:rsid w:val="00B04846"/>
    <w:rsid w:val="00B04890"/>
    <w:rsid w:val="00B04A09"/>
    <w:rsid w:val="00B04A87"/>
    <w:rsid w:val="00B04C4E"/>
    <w:rsid w:val="00B04D17"/>
    <w:rsid w:val="00B04E11"/>
    <w:rsid w:val="00B04E6B"/>
    <w:rsid w:val="00B04ECF"/>
    <w:rsid w:val="00B04FAD"/>
    <w:rsid w:val="00B05117"/>
    <w:rsid w:val="00B05164"/>
    <w:rsid w:val="00B051A6"/>
    <w:rsid w:val="00B0526E"/>
    <w:rsid w:val="00B0545B"/>
    <w:rsid w:val="00B05801"/>
    <w:rsid w:val="00B05837"/>
    <w:rsid w:val="00B05885"/>
    <w:rsid w:val="00B05986"/>
    <w:rsid w:val="00B059A3"/>
    <w:rsid w:val="00B05A5A"/>
    <w:rsid w:val="00B05C23"/>
    <w:rsid w:val="00B05DC4"/>
    <w:rsid w:val="00B06315"/>
    <w:rsid w:val="00B06327"/>
    <w:rsid w:val="00B06648"/>
    <w:rsid w:val="00B06A94"/>
    <w:rsid w:val="00B06AB4"/>
    <w:rsid w:val="00B06ABE"/>
    <w:rsid w:val="00B06B7E"/>
    <w:rsid w:val="00B06B8B"/>
    <w:rsid w:val="00B06BF3"/>
    <w:rsid w:val="00B06BF7"/>
    <w:rsid w:val="00B06C1A"/>
    <w:rsid w:val="00B06CB0"/>
    <w:rsid w:val="00B06CE7"/>
    <w:rsid w:val="00B070ED"/>
    <w:rsid w:val="00B073C6"/>
    <w:rsid w:val="00B073CC"/>
    <w:rsid w:val="00B07461"/>
    <w:rsid w:val="00B07524"/>
    <w:rsid w:val="00B0785D"/>
    <w:rsid w:val="00B07880"/>
    <w:rsid w:val="00B07940"/>
    <w:rsid w:val="00B07A16"/>
    <w:rsid w:val="00B07AF7"/>
    <w:rsid w:val="00B07B11"/>
    <w:rsid w:val="00B07BED"/>
    <w:rsid w:val="00B07C60"/>
    <w:rsid w:val="00B07CBF"/>
    <w:rsid w:val="00B07D0A"/>
    <w:rsid w:val="00B1001B"/>
    <w:rsid w:val="00B10028"/>
    <w:rsid w:val="00B10118"/>
    <w:rsid w:val="00B101A3"/>
    <w:rsid w:val="00B101D4"/>
    <w:rsid w:val="00B10282"/>
    <w:rsid w:val="00B10294"/>
    <w:rsid w:val="00B103C4"/>
    <w:rsid w:val="00B103CE"/>
    <w:rsid w:val="00B105FE"/>
    <w:rsid w:val="00B10642"/>
    <w:rsid w:val="00B106B8"/>
    <w:rsid w:val="00B1077A"/>
    <w:rsid w:val="00B107B4"/>
    <w:rsid w:val="00B10A51"/>
    <w:rsid w:val="00B10A90"/>
    <w:rsid w:val="00B10AF3"/>
    <w:rsid w:val="00B10B50"/>
    <w:rsid w:val="00B10BFA"/>
    <w:rsid w:val="00B10C2A"/>
    <w:rsid w:val="00B10FB7"/>
    <w:rsid w:val="00B110EC"/>
    <w:rsid w:val="00B11133"/>
    <w:rsid w:val="00B1113C"/>
    <w:rsid w:val="00B113D2"/>
    <w:rsid w:val="00B11567"/>
    <w:rsid w:val="00B115D7"/>
    <w:rsid w:val="00B1166E"/>
    <w:rsid w:val="00B116E1"/>
    <w:rsid w:val="00B11703"/>
    <w:rsid w:val="00B11769"/>
    <w:rsid w:val="00B1182C"/>
    <w:rsid w:val="00B11A01"/>
    <w:rsid w:val="00B11AE2"/>
    <w:rsid w:val="00B11CAA"/>
    <w:rsid w:val="00B11ED1"/>
    <w:rsid w:val="00B12384"/>
    <w:rsid w:val="00B123A3"/>
    <w:rsid w:val="00B123C9"/>
    <w:rsid w:val="00B124EE"/>
    <w:rsid w:val="00B1264E"/>
    <w:rsid w:val="00B12682"/>
    <w:rsid w:val="00B127D3"/>
    <w:rsid w:val="00B12894"/>
    <w:rsid w:val="00B12928"/>
    <w:rsid w:val="00B12A34"/>
    <w:rsid w:val="00B12B57"/>
    <w:rsid w:val="00B12C10"/>
    <w:rsid w:val="00B12D6D"/>
    <w:rsid w:val="00B12E8A"/>
    <w:rsid w:val="00B12F2A"/>
    <w:rsid w:val="00B1302A"/>
    <w:rsid w:val="00B130F2"/>
    <w:rsid w:val="00B1328D"/>
    <w:rsid w:val="00B133F9"/>
    <w:rsid w:val="00B13568"/>
    <w:rsid w:val="00B1360B"/>
    <w:rsid w:val="00B13957"/>
    <w:rsid w:val="00B13B22"/>
    <w:rsid w:val="00B13B4A"/>
    <w:rsid w:val="00B13B98"/>
    <w:rsid w:val="00B13C45"/>
    <w:rsid w:val="00B13CB9"/>
    <w:rsid w:val="00B13D7A"/>
    <w:rsid w:val="00B13FA2"/>
    <w:rsid w:val="00B142AD"/>
    <w:rsid w:val="00B144DD"/>
    <w:rsid w:val="00B1479D"/>
    <w:rsid w:val="00B1481F"/>
    <w:rsid w:val="00B14888"/>
    <w:rsid w:val="00B14899"/>
    <w:rsid w:val="00B14A12"/>
    <w:rsid w:val="00B14ACC"/>
    <w:rsid w:val="00B14C70"/>
    <w:rsid w:val="00B14CEB"/>
    <w:rsid w:val="00B14CF7"/>
    <w:rsid w:val="00B14E74"/>
    <w:rsid w:val="00B14F8B"/>
    <w:rsid w:val="00B15084"/>
    <w:rsid w:val="00B150AA"/>
    <w:rsid w:val="00B150F9"/>
    <w:rsid w:val="00B15148"/>
    <w:rsid w:val="00B15230"/>
    <w:rsid w:val="00B152AF"/>
    <w:rsid w:val="00B15367"/>
    <w:rsid w:val="00B15736"/>
    <w:rsid w:val="00B15770"/>
    <w:rsid w:val="00B157A1"/>
    <w:rsid w:val="00B159D0"/>
    <w:rsid w:val="00B15B54"/>
    <w:rsid w:val="00B15DA0"/>
    <w:rsid w:val="00B15DB5"/>
    <w:rsid w:val="00B15E8F"/>
    <w:rsid w:val="00B1610A"/>
    <w:rsid w:val="00B16131"/>
    <w:rsid w:val="00B16173"/>
    <w:rsid w:val="00B16184"/>
    <w:rsid w:val="00B162BD"/>
    <w:rsid w:val="00B16383"/>
    <w:rsid w:val="00B16541"/>
    <w:rsid w:val="00B16762"/>
    <w:rsid w:val="00B167C7"/>
    <w:rsid w:val="00B169FF"/>
    <w:rsid w:val="00B16BFD"/>
    <w:rsid w:val="00B16C67"/>
    <w:rsid w:val="00B16CAD"/>
    <w:rsid w:val="00B16D01"/>
    <w:rsid w:val="00B16D6A"/>
    <w:rsid w:val="00B16D7C"/>
    <w:rsid w:val="00B16E4A"/>
    <w:rsid w:val="00B16E86"/>
    <w:rsid w:val="00B171A2"/>
    <w:rsid w:val="00B1784D"/>
    <w:rsid w:val="00B178D4"/>
    <w:rsid w:val="00B1792D"/>
    <w:rsid w:val="00B179D8"/>
    <w:rsid w:val="00B17A04"/>
    <w:rsid w:val="00B17A1D"/>
    <w:rsid w:val="00B17B7D"/>
    <w:rsid w:val="00B17B8F"/>
    <w:rsid w:val="00B17DAD"/>
    <w:rsid w:val="00B17E5B"/>
    <w:rsid w:val="00B17E97"/>
    <w:rsid w:val="00B200A5"/>
    <w:rsid w:val="00B2059B"/>
    <w:rsid w:val="00B206C6"/>
    <w:rsid w:val="00B20C4E"/>
    <w:rsid w:val="00B20E4F"/>
    <w:rsid w:val="00B20E92"/>
    <w:rsid w:val="00B21014"/>
    <w:rsid w:val="00B21088"/>
    <w:rsid w:val="00B21182"/>
    <w:rsid w:val="00B211B8"/>
    <w:rsid w:val="00B212A5"/>
    <w:rsid w:val="00B213AB"/>
    <w:rsid w:val="00B213E5"/>
    <w:rsid w:val="00B214AA"/>
    <w:rsid w:val="00B21651"/>
    <w:rsid w:val="00B216C3"/>
    <w:rsid w:val="00B216F4"/>
    <w:rsid w:val="00B21811"/>
    <w:rsid w:val="00B218D3"/>
    <w:rsid w:val="00B219EF"/>
    <w:rsid w:val="00B21B0E"/>
    <w:rsid w:val="00B21D09"/>
    <w:rsid w:val="00B21DC4"/>
    <w:rsid w:val="00B21E58"/>
    <w:rsid w:val="00B22113"/>
    <w:rsid w:val="00B22241"/>
    <w:rsid w:val="00B2225A"/>
    <w:rsid w:val="00B222F5"/>
    <w:rsid w:val="00B223E0"/>
    <w:rsid w:val="00B223FC"/>
    <w:rsid w:val="00B2256D"/>
    <w:rsid w:val="00B225BB"/>
    <w:rsid w:val="00B2260C"/>
    <w:rsid w:val="00B2265B"/>
    <w:rsid w:val="00B22B2E"/>
    <w:rsid w:val="00B22DB2"/>
    <w:rsid w:val="00B22E26"/>
    <w:rsid w:val="00B22F5F"/>
    <w:rsid w:val="00B22FC0"/>
    <w:rsid w:val="00B23038"/>
    <w:rsid w:val="00B230BF"/>
    <w:rsid w:val="00B231BC"/>
    <w:rsid w:val="00B231FA"/>
    <w:rsid w:val="00B23347"/>
    <w:rsid w:val="00B2335A"/>
    <w:rsid w:val="00B233BE"/>
    <w:rsid w:val="00B23421"/>
    <w:rsid w:val="00B234AD"/>
    <w:rsid w:val="00B23518"/>
    <w:rsid w:val="00B235DD"/>
    <w:rsid w:val="00B2379C"/>
    <w:rsid w:val="00B239E5"/>
    <w:rsid w:val="00B239F5"/>
    <w:rsid w:val="00B23B17"/>
    <w:rsid w:val="00B23C47"/>
    <w:rsid w:val="00B23CBE"/>
    <w:rsid w:val="00B23E2D"/>
    <w:rsid w:val="00B241D4"/>
    <w:rsid w:val="00B2424D"/>
    <w:rsid w:val="00B242ED"/>
    <w:rsid w:val="00B243C0"/>
    <w:rsid w:val="00B2441C"/>
    <w:rsid w:val="00B2453F"/>
    <w:rsid w:val="00B245AD"/>
    <w:rsid w:val="00B2463B"/>
    <w:rsid w:val="00B24657"/>
    <w:rsid w:val="00B24A4E"/>
    <w:rsid w:val="00B24AA1"/>
    <w:rsid w:val="00B24C2F"/>
    <w:rsid w:val="00B24DDE"/>
    <w:rsid w:val="00B24E32"/>
    <w:rsid w:val="00B25173"/>
    <w:rsid w:val="00B252C2"/>
    <w:rsid w:val="00B2535A"/>
    <w:rsid w:val="00B253BA"/>
    <w:rsid w:val="00B2541B"/>
    <w:rsid w:val="00B254F2"/>
    <w:rsid w:val="00B25622"/>
    <w:rsid w:val="00B25B7F"/>
    <w:rsid w:val="00B25DFD"/>
    <w:rsid w:val="00B25E32"/>
    <w:rsid w:val="00B25E94"/>
    <w:rsid w:val="00B260BD"/>
    <w:rsid w:val="00B26135"/>
    <w:rsid w:val="00B26383"/>
    <w:rsid w:val="00B263E5"/>
    <w:rsid w:val="00B266BC"/>
    <w:rsid w:val="00B267FD"/>
    <w:rsid w:val="00B26919"/>
    <w:rsid w:val="00B26ADD"/>
    <w:rsid w:val="00B26C0C"/>
    <w:rsid w:val="00B26C68"/>
    <w:rsid w:val="00B26CED"/>
    <w:rsid w:val="00B26E12"/>
    <w:rsid w:val="00B26EB5"/>
    <w:rsid w:val="00B2701D"/>
    <w:rsid w:val="00B270B4"/>
    <w:rsid w:val="00B271AA"/>
    <w:rsid w:val="00B2725F"/>
    <w:rsid w:val="00B27262"/>
    <w:rsid w:val="00B2731C"/>
    <w:rsid w:val="00B276C0"/>
    <w:rsid w:val="00B27719"/>
    <w:rsid w:val="00B2772D"/>
    <w:rsid w:val="00B27873"/>
    <w:rsid w:val="00B27A0D"/>
    <w:rsid w:val="00B27A62"/>
    <w:rsid w:val="00B27DFB"/>
    <w:rsid w:val="00B27F55"/>
    <w:rsid w:val="00B27F87"/>
    <w:rsid w:val="00B30132"/>
    <w:rsid w:val="00B301D5"/>
    <w:rsid w:val="00B3042E"/>
    <w:rsid w:val="00B30432"/>
    <w:rsid w:val="00B306DC"/>
    <w:rsid w:val="00B30728"/>
    <w:rsid w:val="00B30954"/>
    <w:rsid w:val="00B30ADB"/>
    <w:rsid w:val="00B30CA8"/>
    <w:rsid w:val="00B30D55"/>
    <w:rsid w:val="00B30DEB"/>
    <w:rsid w:val="00B31104"/>
    <w:rsid w:val="00B31452"/>
    <w:rsid w:val="00B31533"/>
    <w:rsid w:val="00B31557"/>
    <w:rsid w:val="00B31680"/>
    <w:rsid w:val="00B3175A"/>
    <w:rsid w:val="00B3190A"/>
    <w:rsid w:val="00B3199D"/>
    <w:rsid w:val="00B319B3"/>
    <w:rsid w:val="00B31B1A"/>
    <w:rsid w:val="00B31BE9"/>
    <w:rsid w:val="00B31F95"/>
    <w:rsid w:val="00B3224B"/>
    <w:rsid w:val="00B3229B"/>
    <w:rsid w:val="00B322F1"/>
    <w:rsid w:val="00B3249C"/>
    <w:rsid w:val="00B325C6"/>
    <w:rsid w:val="00B32750"/>
    <w:rsid w:val="00B327CC"/>
    <w:rsid w:val="00B32801"/>
    <w:rsid w:val="00B329F5"/>
    <w:rsid w:val="00B32A3B"/>
    <w:rsid w:val="00B32BE9"/>
    <w:rsid w:val="00B32C9B"/>
    <w:rsid w:val="00B32D10"/>
    <w:rsid w:val="00B32D81"/>
    <w:rsid w:val="00B32F3E"/>
    <w:rsid w:val="00B32FE3"/>
    <w:rsid w:val="00B33058"/>
    <w:rsid w:val="00B33066"/>
    <w:rsid w:val="00B3313C"/>
    <w:rsid w:val="00B33173"/>
    <w:rsid w:val="00B331A0"/>
    <w:rsid w:val="00B331F1"/>
    <w:rsid w:val="00B33253"/>
    <w:rsid w:val="00B33295"/>
    <w:rsid w:val="00B33521"/>
    <w:rsid w:val="00B335E4"/>
    <w:rsid w:val="00B33636"/>
    <w:rsid w:val="00B33901"/>
    <w:rsid w:val="00B339D1"/>
    <w:rsid w:val="00B33AEA"/>
    <w:rsid w:val="00B33B75"/>
    <w:rsid w:val="00B33D50"/>
    <w:rsid w:val="00B33E6B"/>
    <w:rsid w:val="00B33E79"/>
    <w:rsid w:val="00B33ECB"/>
    <w:rsid w:val="00B33F2B"/>
    <w:rsid w:val="00B33F41"/>
    <w:rsid w:val="00B33F62"/>
    <w:rsid w:val="00B340C5"/>
    <w:rsid w:val="00B341DB"/>
    <w:rsid w:val="00B3439F"/>
    <w:rsid w:val="00B344E2"/>
    <w:rsid w:val="00B34860"/>
    <w:rsid w:val="00B3487B"/>
    <w:rsid w:val="00B3494E"/>
    <w:rsid w:val="00B34960"/>
    <w:rsid w:val="00B349C0"/>
    <w:rsid w:val="00B34AEE"/>
    <w:rsid w:val="00B34B06"/>
    <w:rsid w:val="00B34D68"/>
    <w:rsid w:val="00B34F59"/>
    <w:rsid w:val="00B35001"/>
    <w:rsid w:val="00B35040"/>
    <w:rsid w:val="00B350DD"/>
    <w:rsid w:val="00B353BF"/>
    <w:rsid w:val="00B353C9"/>
    <w:rsid w:val="00B353F5"/>
    <w:rsid w:val="00B353FA"/>
    <w:rsid w:val="00B35504"/>
    <w:rsid w:val="00B35590"/>
    <w:rsid w:val="00B35704"/>
    <w:rsid w:val="00B3582E"/>
    <w:rsid w:val="00B35A48"/>
    <w:rsid w:val="00B35AE1"/>
    <w:rsid w:val="00B35B02"/>
    <w:rsid w:val="00B35B6C"/>
    <w:rsid w:val="00B35B88"/>
    <w:rsid w:val="00B35C2D"/>
    <w:rsid w:val="00B35D17"/>
    <w:rsid w:val="00B35D4B"/>
    <w:rsid w:val="00B35F96"/>
    <w:rsid w:val="00B3618C"/>
    <w:rsid w:val="00B36196"/>
    <w:rsid w:val="00B36328"/>
    <w:rsid w:val="00B36594"/>
    <w:rsid w:val="00B3659C"/>
    <w:rsid w:val="00B3694C"/>
    <w:rsid w:val="00B36981"/>
    <w:rsid w:val="00B36AE9"/>
    <w:rsid w:val="00B36AEC"/>
    <w:rsid w:val="00B36B96"/>
    <w:rsid w:val="00B36BD1"/>
    <w:rsid w:val="00B36BFA"/>
    <w:rsid w:val="00B36D25"/>
    <w:rsid w:val="00B36DE5"/>
    <w:rsid w:val="00B36E14"/>
    <w:rsid w:val="00B36E1E"/>
    <w:rsid w:val="00B36F1E"/>
    <w:rsid w:val="00B36F69"/>
    <w:rsid w:val="00B3709F"/>
    <w:rsid w:val="00B370D4"/>
    <w:rsid w:val="00B371C9"/>
    <w:rsid w:val="00B372A9"/>
    <w:rsid w:val="00B3732A"/>
    <w:rsid w:val="00B37476"/>
    <w:rsid w:val="00B374BC"/>
    <w:rsid w:val="00B3765C"/>
    <w:rsid w:val="00B3782E"/>
    <w:rsid w:val="00B37890"/>
    <w:rsid w:val="00B378E5"/>
    <w:rsid w:val="00B37AB5"/>
    <w:rsid w:val="00B37ABD"/>
    <w:rsid w:val="00B37C5E"/>
    <w:rsid w:val="00B37EE7"/>
    <w:rsid w:val="00B37FE4"/>
    <w:rsid w:val="00B40061"/>
    <w:rsid w:val="00B40269"/>
    <w:rsid w:val="00B4029F"/>
    <w:rsid w:val="00B40379"/>
    <w:rsid w:val="00B40519"/>
    <w:rsid w:val="00B405FC"/>
    <w:rsid w:val="00B4061B"/>
    <w:rsid w:val="00B4069E"/>
    <w:rsid w:val="00B406D5"/>
    <w:rsid w:val="00B4071E"/>
    <w:rsid w:val="00B4076C"/>
    <w:rsid w:val="00B4083C"/>
    <w:rsid w:val="00B40848"/>
    <w:rsid w:val="00B40896"/>
    <w:rsid w:val="00B409CB"/>
    <w:rsid w:val="00B409F6"/>
    <w:rsid w:val="00B40C6C"/>
    <w:rsid w:val="00B40DB3"/>
    <w:rsid w:val="00B40DCA"/>
    <w:rsid w:val="00B40F94"/>
    <w:rsid w:val="00B41067"/>
    <w:rsid w:val="00B41129"/>
    <w:rsid w:val="00B4118E"/>
    <w:rsid w:val="00B411E6"/>
    <w:rsid w:val="00B41765"/>
    <w:rsid w:val="00B41804"/>
    <w:rsid w:val="00B41812"/>
    <w:rsid w:val="00B418BB"/>
    <w:rsid w:val="00B419F5"/>
    <w:rsid w:val="00B41AD6"/>
    <w:rsid w:val="00B41BCC"/>
    <w:rsid w:val="00B41BE3"/>
    <w:rsid w:val="00B41C5C"/>
    <w:rsid w:val="00B41CF0"/>
    <w:rsid w:val="00B41E30"/>
    <w:rsid w:val="00B42071"/>
    <w:rsid w:val="00B4208A"/>
    <w:rsid w:val="00B4219D"/>
    <w:rsid w:val="00B422C0"/>
    <w:rsid w:val="00B424BB"/>
    <w:rsid w:val="00B426C9"/>
    <w:rsid w:val="00B426E9"/>
    <w:rsid w:val="00B42777"/>
    <w:rsid w:val="00B42858"/>
    <w:rsid w:val="00B42874"/>
    <w:rsid w:val="00B4287A"/>
    <w:rsid w:val="00B428B8"/>
    <w:rsid w:val="00B429C3"/>
    <w:rsid w:val="00B429CC"/>
    <w:rsid w:val="00B42B17"/>
    <w:rsid w:val="00B42F07"/>
    <w:rsid w:val="00B43014"/>
    <w:rsid w:val="00B430FB"/>
    <w:rsid w:val="00B4312F"/>
    <w:rsid w:val="00B43302"/>
    <w:rsid w:val="00B4353F"/>
    <w:rsid w:val="00B435E2"/>
    <w:rsid w:val="00B435EA"/>
    <w:rsid w:val="00B43685"/>
    <w:rsid w:val="00B436C5"/>
    <w:rsid w:val="00B438B7"/>
    <w:rsid w:val="00B43B0C"/>
    <w:rsid w:val="00B43D3E"/>
    <w:rsid w:val="00B43D77"/>
    <w:rsid w:val="00B44078"/>
    <w:rsid w:val="00B441DE"/>
    <w:rsid w:val="00B44291"/>
    <w:rsid w:val="00B4441B"/>
    <w:rsid w:val="00B44434"/>
    <w:rsid w:val="00B4444D"/>
    <w:rsid w:val="00B44482"/>
    <w:rsid w:val="00B44934"/>
    <w:rsid w:val="00B449E0"/>
    <w:rsid w:val="00B449FE"/>
    <w:rsid w:val="00B44A23"/>
    <w:rsid w:val="00B44C73"/>
    <w:rsid w:val="00B44D06"/>
    <w:rsid w:val="00B44F29"/>
    <w:rsid w:val="00B44FCA"/>
    <w:rsid w:val="00B44FD3"/>
    <w:rsid w:val="00B450EC"/>
    <w:rsid w:val="00B451AF"/>
    <w:rsid w:val="00B452FB"/>
    <w:rsid w:val="00B4549D"/>
    <w:rsid w:val="00B457D1"/>
    <w:rsid w:val="00B4589B"/>
    <w:rsid w:val="00B45A17"/>
    <w:rsid w:val="00B45A97"/>
    <w:rsid w:val="00B45B99"/>
    <w:rsid w:val="00B45BF6"/>
    <w:rsid w:val="00B46122"/>
    <w:rsid w:val="00B461BB"/>
    <w:rsid w:val="00B462C3"/>
    <w:rsid w:val="00B463E2"/>
    <w:rsid w:val="00B46630"/>
    <w:rsid w:val="00B466DA"/>
    <w:rsid w:val="00B4679A"/>
    <w:rsid w:val="00B4690B"/>
    <w:rsid w:val="00B46965"/>
    <w:rsid w:val="00B46A1E"/>
    <w:rsid w:val="00B46B17"/>
    <w:rsid w:val="00B46B58"/>
    <w:rsid w:val="00B46E4F"/>
    <w:rsid w:val="00B47107"/>
    <w:rsid w:val="00B47420"/>
    <w:rsid w:val="00B47442"/>
    <w:rsid w:val="00B475A2"/>
    <w:rsid w:val="00B47614"/>
    <w:rsid w:val="00B477FE"/>
    <w:rsid w:val="00B478C1"/>
    <w:rsid w:val="00B4798A"/>
    <w:rsid w:val="00B479A0"/>
    <w:rsid w:val="00B479C0"/>
    <w:rsid w:val="00B47A8C"/>
    <w:rsid w:val="00B47A8E"/>
    <w:rsid w:val="00B47BC5"/>
    <w:rsid w:val="00B47E31"/>
    <w:rsid w:val="00B50277"/>
    <w:rsid w:val="00B502E1"/>
    <w:rsid w:val="00B503C9"/>
    <w:rsid w:val="00B5058F"/>
    <w:rsid w:val="00B505FC"/>
    <w:rsid w:val="00B50636"/>
    <w:rsid w:val="00B50A35"/>
    <w:rsid w:val="00B50A5D"/>
    <w:rsid w:val="00B50BF8"/>
    <w:rsid w:val="00B50C80"/>
    <w:rsid w:val="00B50E48"/>
    <w:rsid w:val="00B50E73"/>
    <w:rsid w:val="00B50F45"/>
    <w:rsid w:val="00B51103"/>
    <w:rsid w:val="00B5134A"/>
    <w:rsid w:val="00B51570"/>
    <w:rsid w:val="00B51610"/>
    <w:rsid w:val="00B51673"/>
    <w:rsid w:val="00B51684"/>
    <w:rsid w:val="00B51723"/>
    <w:rsid w:val="00B5194B"/>
    <w:rsid w:val="00B51983"/>
    <w:rsid w:val="00B51B86"/>
    <w:rsid w:val="00B51BB7"/>
    <w:rsid w:val="00B51C23"/>
    <w:rsid w:val="00B51DF9"/>
    <w:rsid w:val="00B520AF"/>
    <w:rsid w:val="00B52128"/>
    <w:rsid w:val="00B524D5"/>
    <w:rsid w:val="00B524E8"/>
    <w:rsid w:val="00B524ED"/>
    <w:rsid w:val="00B525AE"/>
    <w:rsid w:val="00B526CB"/>
    <w:rsid w:val="00B52719"/>
    <w:rsid w:val="00B528F6"/>
    <w:rsid w:val="00B52958"/>
    <w:rsid w:val="00B52BDA"/>
    <w:rsid w:val="00B52C11"/>
    <w:rsid w:val="00B52C44"/>
    <w:rsid w:val="00B52CCC"/>
    <w:rsid w:val="00B52D41"/>
    <w:rsid w:val="00B52F77"/>
    <w:rsid w:val="00B530AB"/>
    <w:rsid w:val="00B532A0"/>
    <w:rsid w:val="00B5357E"/>
    <w:rsid w:val="00B5361F"/>
    <w:rsid w:val="00B5368A"/>
    <w:rsid w:val="00B53722"/>
    <w:rsid w:val="00B537C1"/>
    <w:rsid w:val="00B53855"/>
    <w:rsid w:val="00B538AD"/>
    <w:rsid w:val="00B53A35"/>
    <w:rsid w:val="00B53B8A"/>
    <w:rsid w:val="00B53BD8"/>
    <w:rsid w:val="00B53BE6"/>
    <w:rsid w:val="00B53C44"/>
    <w:rsid w:val="00B53D3E"/>
    <w:rsid w:val="00B53EC5"/>
    <w:rsid w:val="00B53F47"/>
    <w:rsid w:val="00B540D1"/>
    <w:rsid w:val="00B541EA"/>
    <w:rsid w:val="00B54274"/>
    <w:rsid w:val="00B5428E"/>
    <w:rsid w:val="00B5437D"/>
    <w:rsid w:val="00B5440A"/>
    <w:rsid w:val="00B5441B"/>
    <w:rsid w:val="00B54452"/>
    <w:rsid w:val="00B545E1"/>
    <w:rsid w:val="00B54795"/>
    <w:rsid w:val="00B547CE"/>
    <w:rsid w:val="00B547D2"/>
    <w:rsid w:val="00B5484C"/>
    <w:rsid w:val="00B548F9"/>
    <w:rsid w:val="00B54B4E"/>
    <w:rsid w:val="00B54BBF"/>
    <w:rsid w:val="00B54EA4"/>
    <w:rsid w:val="00B54FB7"/>
    <w:rsid w:val="00B54FFC"/>
    <w:rsid w:val="00B55070"/>
    <w:rsid w:val="00B55244"/>
    <w:rsid w:val="00B554A1"/>
    <w:rsid w:val="00B5559A"/>
    <w:rsid w:val="00B557B3"/>
    <w:rsid w:val="00B559B0"/>
    <w:rsid w:val="00B55A2A"/>
    <w:rsid w:val="00B55A7B"/>
    <w:rsid w:val="00B55B20"/>
    <w:rsid w:val="00B55C64"/>
    <w:rsid w:val="00B55D48"/>
    <w:rsid w:val="00B56332"/>
    <w:rsid w:val="00B56341"/>
    <w:rsid w:val="00B5638B"/>
    <w:rsid w:val="00B564B4"/>
    <w:rsid w:val="00B5675F"/>
    <w:rsid w:val="00B56863"/>
    <w:rsid w:val="00B56A72"/>
    <w:rsid w:val="00B56A97"/>
    <w:rsid w:val="00B56E6A"/>
    <w:rsid w:val="00B56F44"/>
    <w:rsid w:val="00B56FB9"/>
    <w:rsid w:val="00B5727C"/>
    <w:rsid w:val="00B5740E"/>
    <w:rsid w:val="00B57698"/>
    <w:rsid w:val="00B57798"/>
    <w:rsid w:val="00B577B8"/>
    <w:rsid w:val="00B57875"/>
    <w:rsid w:val="00B57CE4"/>
    <w:rsid w:val="00B57DAB"/>
    <w:rsid w:val="00B57E71"/>
    <w:rsid w:val="00B57F0E"/>
    <w:rsid w:val="00B57FFD"/>
    <w:rsid w:val="00B60132"/>
    <w:rsid w:val="00B6027A"/>
    <w:rsid w:val="00B60282"/>
    <w:rsid w:val="00B603E8"/>
    <w:rsid w:val="00B604A6"/>
    <w:rsid w:val="00B604F9"/>
    <w:rsid w:val="00B60652"/>
    <w:rsid w:val="00B60692"/>
    <w:rsid w:val="00B60695"/>
    <w:rsid w:val="00B607E6"/>
    <w:rsid w:val="00B6082C"/>
    <w:rsid w:val="00B608B2"/>
    <w:rsid w:val="00B609FC"/>
    <w:rsid w:val="00B60A44"/>
    <w:rsid w:val="00B60B49"/>
    <w:rsid w:val="00B60E60"/>
    <w:rsid w:val="00B60E6C"/>
    <w:rsid w:val="00B60F25"/>
    <w:rsid w:val="00B61084"/>
    <w:rsid w:val="00B610BB"/>
    <w:rsid w:val="00B610D6"/>
    <w:rsid w:val="00B61161"/>
    <w:rsid w:val="00B611D4"/>
    <w:rsid w:val="00B6125E"/>
    <w:rsid w:val="00B612B3"/>
    <w:rsid w:val="00B612BA"/>
    <w:rsid w:val="00B613D5"/>
    <w:rsid w:val="00B615F9"/>
    <w:rsid w:val="00B616F5"/>
    <w:rsid w:val="00B61746"/>
    <w:rsid w:val="00B6174D"/>
    <w:rsid w:val="00B61856"/>
    <w:rsid w:val="00B618E6"/>
    <w:rsid w:val="00B619AA"/>
    <w:rsid w:val="00B619DE"/>
    <w:rsid w:val="00B61A6F"/>
    <w:rsid w:val="00B61A99"/>
    <w:rsid w:val="00B61C2E"/>
    <w:rsid w:val="00B61D5A"/>
    <w:rsid w:val="00B62223"/>
    <w:rsid w:val="00B62243"/>
    <w:rsid w:val="00B623C3"/>
    <w:rsid w:val="00B6243D"/>
    <w:rsid w:val="00B62572"/>
    <w:rsid w:val="00B62676"/>
    <w:rsid w:val="00B62722"/>
    <w:rsid w:val="00B629CC"/>
    <w:rsid w:val="00B62B10"/>
    <w:rsid w:val="00B62B9F"/>
    <w:rsid w:val="00B62C55"/>
    <w:rsid w:val="00B62D04"/>
    <w:rsid w:val="00B62E36"/>
    <w:rsid w:val="00B62ED2"/>
    <w:rsid w:val="00B630D8"/>
    <w:rsid w:val="00B6312C"/>
    <w:rsid w:val="00B6318A"/>
    <w:rsid w:val="00B632D8"/>
    <w:rsid w:val="00B63538"/>
    <w:rsid w:val="00B6356F"/>
    <w:rsid w:val="00B63714"/>
    <w:rsid w:val="00B63772"/>
    <w:rsid w:val="00B63871"/>
    <w:rsid w:val="00B63BD3"/>
    <w:rsid w:val="00B641C5"/>
    <w:rsid w:val="00B64297"/>
    <w:rsid w:val="00B642B1"/>
    <w:rsid w:val="00B643EB"/>
    <w:rsid w:val="00B6445A"/>
    <w:rsid w:val="00B6477E"/>
    <w:rsid w:val="00B647A6"/>
    <w:rsid w:val="00B647D8"/>
    <w:rsid w:val="00B6497C"/>
    <w:rsid w:val="00B64A44"/>
    <w:rsid w:val="00B64A7D"/>
    <w:rsid w:val="00B64AA0"/>
    <w:rsid w:val="00B64BA5"/>
    <w:rsid w:val="00B64C1D"/>
    <w:rsid w:val="00B64CE3"/>
    <w:rsid w:val="00B64D16"/>
    <w:rsid w:val="00B64EC9"/>
    <w:rsid w:val="00B6518D"/>
    <w:rsid w:val="00B656D8"/>
    <w:rsid w:val="00B65803"/>
    <w:rsid w:val="00B65852"/>
    <w:rsid w:val="00B65896"/>
    <w:rsid w:val="00B65911"/>
    <w:rsid w:val="00B65936"/>
    <w:rsid w:val="00B6594A"/>
    <w:rsid w:val="00B6594B"/>
    <w:rsid w:val="00B65A7D"/>
    <w:rsid w:val="00B65AC8"/>
    <w:rsid w:val="00B65D06"/>
    <w:rsid w:val="00B65DEB"/>
    <w:rsid w:val="00B65E4D"/>
    <w:rsid w:val="00B65E8C"/>
    <w:rsid w:val="00B65EE0"/>
    <w:rsid w:val="00B66074"/>
    <w:rsid w:val="00B66209"/>
    <w:rsid w:val="00B66247"/>
    <w:rsid w:val="00B66368"/>
    <w:rsid w:val="00B6637C"/>
    <w:rsid w:val="00B663EB"/>
    <w:rsid w:val="00B66411"/>
    <w:rsid w:val="00B664DB"/>
    <w:rsid w:val="00B6666B"/>
    <w:rsid w:val="00B66988"/>
    <w:rsid w:val="00B669F7"/>
    <w:rsid w:val="00B66D6D"/>
    <w:rsid w:val="00B66D99"/>
    <w:rsid w:val="00B66DA1"/>
    <w:rsid w:val="00B66DB9"/>
    <w:rsid w:val="00B66DC7"/>
    <w:rsid w:val="00B66F4D"/>
    <w:rsid w:val="00B67257"/>
    <w:rsid w:val="00B6729B"/>
    <w:rsid w:val="00B6729C"/>
    <w:rsid w:val="00B672B5"/>
    <w:rsid w:val="00B67417"/>
    <w:rsid w:val="00B67433"/>
    <w:rsid w:val="00B6747F"/>
    <w:rsid w:val="00B6748F"/>
    <w:rsid w:val="00B675AB"/>
    <w:rsid w:val="00B67660"/>
    <w:rsid w:val="00B67808"/>
    <w:rsid w:val="00B679CA"/>
    <w:rsid w:val="00B67ABD"/>
    <w:rsid w:val="00B67B35"/>
    <w:rsid w:val="00B67EF7"/>
    <w:rsid w:val="00B67FB8"/>
    <w:rsid w:val="00B7004B"/>
    <w:rsid w:val="00B7021A"/>
    <w:rsid w:val="00B70256"/>
    <w:rsid w:val="00B7025E"/>
    <w:rsid w:val="00B70305"/>
    <w:rsid w:val="00B703BC"/>
    <w:rsid w:val="00B704D8"/>
    <w:rsid w:val="00B7057B"/>
    <w:rsid w:val="00B70580"/>
    <w:rsid w:val="00B70873"/>
    <w:rsid w:val="00B70897"/>
    <w:rsid w:val="00B708D3"/>
    <w:rsid w:val="00B70CAC"/>
    <w:rsid w:val="00B70E41"/>
    <w:rsid w:val="00B70FC4"/>
    <w:rsid w:val="00B7109B"/>
    <w:rsid w:val="00B71391"/>
    <w:rsid w:val="00B715DA"/>
    <w:rsid w:val="00B715FC"/>
    <w:rsid w:val="00B7176E"/>
    <w:rsid w:val="00B717B8"/>
    <w:rsid w:val="00B719DF"/>
    <w:rsid w:val="00B71B5A"/>
    <w:rsid w:val="00B71BC2"/>
    <w:rsid w:val="00B71D31"/>
    <w:rsid w:val="00B71E9F"/>
    <w:rsid w:val="00B71EBC"/>
    <w:rsid w:val="00B720B9"/>
    <w:rsid w:val="00B720D5"/>
    <w:rsid w:val="00B720E2"/>
    <w:rsid w:val="00B725CC"/>
    <w:rsid w:val="00B725E5"/>
    <w:rsid w:val="00B7287E"/>
    <w:rsid w:val="00B728DB"/>
    <w:rsid w:val="00B72923"/>
    <w:rsid w:val="00B729DA"/>
    <w:rsid w:val="00B72BE5"/>
    <w:rsid w:val="00B72C06"/>
    <w:rsid w:val="00B72F51"/>
    <w:rsid w:val="00B732B6"/>
    <w:rsid w:val="00B735C5"/>
    <w:rsid w:val="00B73650"/>
    <w:rsid w:val="00B7371B"/>
    <w:rsid w:val="00B73779"/>
    <w:rsid w:val="00B737A5"/>
    <w:rsid w:val="00B737EC"/>
    <w:rsid w:val="00B73867"/>
    <w:rsid w:val="00B73916"/>
    <w:rsid w:val="00B739F7"/>
    <w:rsid w:val="00B73A42"/>
    <w:rsid w:val="00B73AF1"/>
    <w:rsid w:val="00B73B1C"/>
    <w:rsid w:val="00B73B5B"/>
    <w:rsid w:val="00B73F6B"/>
    <w:rsid w:val="00B73FED"/>
    <w:rsid w:val="00B7416D"/>
    <w:rsid w:val="00B74202"/>
    <w:rsid w:val="00B7423B"/>
    <w:rsid w:val="00B742DA"/>
    <w:rsid w:val="00B742E3"/>
    <w:rsid w:val="00B742FE"/>
    <w:rsid w:val="00B7463D"/>
    <w:rsid w:val="00B746CC"/>
    <w:rsid w:val="00B7496A"/>
    <w:rsid w:val="00B74BA2"/>
    <w:rsid w:val="00B74BDB"/>
    <w:rsid w:val="00B74CA6"/>
    <w:rsid w:val="00B74D37"/>
    <w:rsid w:val="00B74D68"/>
    <w:rsid w:val="00B75011"/>
    <w:rsid w:val="00B7502E"/>
    <w:rsid w:val="00B7519C"/>
    <w:rsid w:val="00B751AE"/>
    <w:rsid w:val="00B751B6"/>
    <w:rsid w:val="00B751D3"/>
    <w:rsid w:val="00B75254"/>
    <w:rsid w:val="00B7525E"/>
    <w:rsid w:val="00B752AD"/>
    <w:rsid w:val="00B753A0"/>
    <w:rsid w:val="00B75499"/>
    <w:rsid w:val="00B754C3"/>
    <w:rsid w:val="00B756D2"/>
    <w:rsid w:val="00B757AE"/>
    <w:rsid w:val="00B757CD"/>
    <w:rsid w:val="00B75873"/>
    <w:rsid w:val="00B759A3"/>
    <w:rsid w:val="00B75DE2"/>
    <w:rsid w:val="00B75E1D"/>
    <w:rsid w:val="00B75ED2"/>
    <w:rsid w:val="00B760E9"/>
    <w:rsid w:val="00B7619E"/>
    <w:rsid w:val="00B761CA"/>
    <w:rsid w:val="00B7621E"/>
    <w:rsid w:val="00B76248"/>
    <w:rsid w:val="00B76257"/>
    <w:rsid w:val="00B7627B"/>
    <w:rsid w:val="00B762DA"/>
    <w:rsid w:val="00B76427"/>
    <w:rsid w:val="00B7648B"/>
    <w:rsid w:val="00B7657D"/>
    <w:rsid w:val="00B765B9"/>
    <w:rsid w:val="00B766E7"/>
    <w:rsid w:val="00B769EA"/>
    <w:rsid w:val="00B76CBE"/>
    <w:rsid w:val="00B76D25"/>
    <w:rsid w:val="00B76D27"/>
    <w:rsid w:val="00B76E10"/>
    <w:rsid w:val="00B77164"/>
    <w:rsid w:val="00B7722B"/>
    <w:rsid w:val="00B77352"/>
    <w:rsid w:val="00B7753A"/>
    <w:rsid w:val="00B7754A"/>
    <w:rsid w:val="00B775E8"/>
    <w:rsid w:val="00B77735"/>
    <w:rsid w:val="00B77739"/>
    <w:rsid w:val="00B77C00"/>
    <w:rsid w:val="00B77CBB"/>
    <w:rsid w:val="00B77DFC"/>
    <w:rsid w:val="00B80072"/>
    <w:rsid w:val="00B8013E"/>
    <w:rsid w:val="00B80233"/>
    <w:rsid w:val="00B80340"/>
    <w:rsid w:val="00B80369"/>
    <w:rsid w:val="00B804BB"/>
    <w:rsid w:val="00B804BD"/>
    <w:rsid w:val="00B806E4"/>
    <w:rsid w:val="00B807EA"/>
    <w:rsid w:val="00B807FC"/>
    <w:rsid w:val="00B807FF"/>
    <w:rsid w:val="00B80966"/>
    <w:rsid w:val="00B80ACE"/>
    <w:rsid w:val="00B80B20"/>
    <w:rsid w:val="00B80B4D"/>
    <w:rsid w:val="00B80B4F"/>
    <w:rsid w:val="00B80BFE"/>
    <w:rsid w:val="00B80C13"/>
    <w:rsid w:val="00B80CE7"/>
    <w:rsid w:val="00B80D47"/>
    <w:rsid w:val="00B80D54"/>
    <w:rsid w:val="00B80D84"/>
    <w:rsid w:val="00B80D9A"/>
    <w:rsid w:val="00B81069"/>
    <w:rsid w:val="00B811C8"/>
    <w:rsid w:val="00B8130A"/>
    <w:rsid w:val="00B81492"/>
    <w:rsid w:val="00B814DC"/>
    <w:rsid w:val="00B815FC"/>
    <w:rsid w:val="00B815FE"/>
    <w:rsid w:val="00B81668"/>
    <w:rsid w:val="00B817B8"/>
    <w:rsid w:val="00B81831"/>
    <w:rsid w:val="00B81B3B"/>
    <w:rsid w:val="00B81BB0"/>
    <w:rsid w:val="00B81FD7"/>
    <w:rsid w:val="00B822ED"/>
    <w:rsid w:val="00B822F1"/>
    <w:rsid w:val="00B8231B"/>
    <w:rsid w:val="00B82444"/>
    <w:rsid w:val="00B82505"/>
    <w:rsid w:val="00B8259B"/>
    <w:rsid w:val="00B825E4"/>
    <w:rsid w:val="00B82798"/>
    <w:rsid w:val="00B82898"/>
    <w:rsid w:val="00B82902"/>
    <w:rsid w:val="00B82B17"/>
    <w:rsid w:val="00B82C80"/>
    <w:rsid w:val="00B82D29"/>
    <w:rsid w:val="00B82D4F"/>
    <w:rsid w:val="00B82D8E"/>
    <w:rsid w:val="00B82EC7"/>
    <w:rsid w:val="00B82ED4"/>
    <w:rsid w:val="00B82FCC"/>
    <w:rsid w:val="00B83170"/>
    <w:rsid w:val="00B8319F"/>
    <w:rsid w:val="00B831A1"/>
    <w:rsid w:val="00B831ED"/>
    <w:rsid w:val="00B8321A"/>
    <w:rsid w:val="00B832B7"/>
    <w:rsid w:val="00B83481"/>
    <w:rsid w:val="00B8351D"/>
    <w:rsid w:val="00B8352F"/>
    <w:rsid w:val="00B8357C"/>
    <w:rsid w:val="00B83594"/>
    <w:rsid w:val="00B835D4"/>
    <w:rsid w:val="00B83745"/>
    <w:rsid w:val="00B838AA"/>
    <w:rsid w:val="00B838D7"/>
    <w:rsid w:val="00B83A48"/>
    <w:rsid w:val="00B83B76"/>
    <w:rsid w:val="00B83DF7"/>
    <w:rsid w:val="00B83E2E"/>
    <w:rsid w:val="00B83FB3"/>
    <w:rsid w:val="00B83FB5"/>
    <w:rsid w:val="00B8433D"/>
    <w:rsid w:val="00B84723"/>
    <w:rsid w:val="00B84955"/>
    <w:rsid w:val="00B84A22"/>
    <w:rsid w:val="00B84AA5"/>
    <w:rsid w:val="00B84B40"/>
    <w:rsid w:val="00B84BD1"/>
    <w:rsid w:val="00B84C74"/>
    <w:rsid w:val="00B84C7E"/>
    <w:rsid w:val="00B84E06"/>
    <w:rsid w:val="00B84E16"/>
    <w:rsid w:val="00B84F82"/>
    <w:rsid w:val="00B8507A"/>
    <w:rsid w:val="00B85095"/>
    <w:rsid w:val="00B85152"/>
    <w:rsid w:val="00B85180"/>
    <w:rsid w:val="00B85211"/>
    <w:rsid w:val="00B85246"/>
    <w:rsid w:val="00B85456"/>
    <w:rsid w:val="00B85483"/>
    <w:rsid w:val="00B85587"/>
    <w:rsid w:val="00B85634"/>
    <w:rsid w:val="00B8566D"/>
    <w:rsid w:val="00B8590A"/>
    <w:rsid w:val="00B85954"/>
    <w:rsid w:val="00B859BE"/>
    <w:rsid w:val="00B85A69"/>
    <w:rsid w:val="00B85B1C"/>
    <w:rsid w:val="00B85BF0"/>
    <w:rsid w:val="00B85CC6"/>
    <w:rsid w:val="00B85E03"/>
    <w:rsid w:val="00B85E65"/>
    <w:rsid w:val="00B85EEA"/>
    <w:rsid w:val="00B86009"/>
    <w:rsid w:val="00B8602C"/>
    <w:rsid w:val="00B8613C"/>
    <w:rsid w:val="00B86172"/>
    <w:rsid w:val="00B86319"/>
    <w:rsid w:val="00B86427"/>
    <w:rsid w:val="00B86435"/>
    <w:rsid w:val="00B8648D"/>
    <w:rsid w:val="00B864D5"/>
    <w:rsid w:val="00B865AD"/>
    <w:rsid w:val="00B8660A"/>
    <w:rsid w:val="00B866AB"/>
    <w:rsid w:val="00B867B4"/>
    <w:rsid w:val="00B867B7"/>
    <w:rsid w:val="00B867FC"/>
    <w:rsid w:val="00B86810"/>
    <w:rsid w:val="00B86820"/>
    <w:rsid w:val="00B86AA3"/>
    <w:rsid w:val="00B86B8C"/>
    <w:rsid w:val="00B86C93"/>
    <w:rsid w:val="00B86E86"/>
    <w:rsid w:val="00B870E4"/>
    <w:rsid w:val="00B87239"/>
    <w:rsid w:val="00B8731A"/>
    <w:rsid w:val="00B8740B"/>
    <w:rsid w:val="00B87446"/>
    <w:rsid w:val="00B8754F"/>
    <w:rsid w:val="00B875CA"/>
    <w:rsid w:val="00B8781F"/>
    <w:rsid w:val="00B8789D"/>
    <w:rsid w:val="00B878BC"/>
    <w:rsid w:val="00B87AA4"/>
    <w:rsid w:val="00B87BE8"/>
    <w:rsid w:val="00B87C65"/>
    <w:rsid w:val="00B87C8E"/>
    <w:rsid w:val="00B87CF4"/>
    <w:rsid w:val="00B87D20"/>
    <w:rsid w:val="00B87E21"/>
    <w:rsid w:val="00B87E76"/>
    <w:rsid w:val="00B87F3A"/>
    <w:rsid w:val="00B9026B"/>
    <w:rsid w:val="00B902D6"/>
    <w:rsid w:val="00B904D5"/>
    <w:rsid w:val="00B9056F"/>
    <w:rsid w:val="00B905D1"/>
    <w:rsid w:val="00B906E7"/>
    <w:rsid w:val="00B90CD5"/>
    <w:rsid w:val="00B90E25"/>
    <w:rsid w:val="00B90E79"/>
    <w:rsid w:val="00B90F62"/>
    <w:rsid w:val="00B9105D"/>
    <w:rsid w:val="00B9106E"/>
    <w:rsid w:val="00B91087"/>
    <w:rsid w:val="00B911EA"/>
    <w:rsid w:val="00B913EF"/>
    <w:rsid w:val="00B91405"/>
    <w:rsid w:val="00B91424"/>
    <w:rsid w:val="00B91540"/>
    <w:rsid w:val="00B9169D"/>
    <w:rsid w:val="00B91762"/>
    <w:rsid w:val="00B917AA"/>
    <w:rsid w:val="00B91819"/>
    <w:rsid w:val="00B91A7B"/>
    <w:rsid w:val="00B91AED"/>
    <w:rsid w:val="00B91BBD"/>
    <w:rsid w:val="00B91CE0"/>
    <w:rsid w:val="00B91D9A"/>
    <w:rsid w:val="00B91DA2"/>
    <w:rsid w:val="00B91DFB"/>
    <w:rsid w:val="00B91ECD"/>
    <w:rsid w:val="00B92147"/>
    <w:rsid w:val="00B92233"/>
    <w:rsid w:val="00B9226C"/>
    <w:rsid w:val="00B92418"/>
    <w:rsid w:val="00B92440"/>
    <w:rsid w:val="00B924F9"/>
    <w:rsid w:val="00B92502"/>
    <w:rsid w:val="00B9259A"/>
    <w:rsid w:val="00B925E8"/>
    <w:rsid w:val="00B92628"/>
    <w:rsid w:val="00B927DF"/>
    <w:rsid w:val="00B927EB"/>
    <w:rsid w:val="00B92A58"/>
    <w:rsid w:val="00B92BE4"/>
    <w:rsid w:val="00B92BF1"/>
    <w:rsid w:val="00B93304"/>
    <w:rsid w:val="00B933E1"/>
    <w:rsid w:val="00B93433"/>
    <w:rsid w:val="00B934E2"/>
    <w:rsid w:val="00B936AD"/>
    <w:rsid w:val="00B936ED"/>
    <w:rsid w:val="00B9380D"/>
    <w:rsid w:val="00B9386D"/>
    <w:rsid w:val="00B93897"/>
    <w:rsid w:val="00B9389A"/>
    <w:rsid w:val="00B9390C"/>
    <w:rsid w:val="00B939C9"/>
    <w:rsid w:val="00B93A0D"/>
    <w:rsid w:val="00B93AF9"/>
    <w:rsid w:val="00B93B0D"/>
    <w:rsid w:val="00B93D10"/>
    <w:rsid w:val="00B941C7"/>
    <w:rsid w:val="00B941C8"/>
    <w:rsid w:val="00B9420E"/>
    <w:rsid w:val="00B942F1"/>
    <w:rsid w:val="00B942FC"/>
    <w:rsid w:val="00B94335"/>
    <w:rsid w:val="00B94360"/>
    <w:rsid w:val="00B9436C"/>
    <w:rsid w:val="00B945E7"/>
    <w:rsid w:val="00B94952"/>
    <w:rsid w:val="00B949AB"/>
    <w:rsid w:val="00B949EF"/>
    <w:rsid w:val="00B94B3B"/>
    <w:rsid w:val="00B94BA1"/>
    <w:rsid w:val="00B94C3C"/>
    <w:rsid w:val="00B94CFC"/>
    <w:rsid w:val="00B94E6D"/>
    <w:rsid w:val="00B94F6F"/>
    <w:rsid w:val="00B951C7"/>
    <w:rsid w:val="00B95257"/>
    <w:rsid w:val="00B953A4"/>
    <w:rsid w:val="00B95446"/>
    <w:rsid w:val="00B954C8"/>
    <w:rsid w:val="00B9558D"/>
    <w:rsid w:val="00B956DA"/>
    <w:rsid w:val="00B956DB"/>
    <w:rsid w:val="00B95788"/>
    <w:rsid w:val="00B95A27"/>
    <w:rsid w:val="00B95A83"/>
    <w:rsid w:val="00B95AC5"/>
    <w:rsid w:val="00B95C8A"/>
    <w:rsid w:val="00B95DEE"/>
    <w:rsid w:val="00B95FAD"/>
    <w:rsid w:val="00B96265"/>
    <w:rsid w:val="00B9629E"/>
    <w:rsid w:val="00B963FA"/>
    <w:rsid w:val="00B965E0"/>
    <w:rsid w:val="00B966F2"/>
    <w:rsid w:val="00B967D9"/>
    <w:rsid w:val="00B9681B"/>
    <w:rsid w:val="00B96830"/>
    <w:rsid w:val="00B9687F"/>
    <w:rsid w:val="00B96A23"/>
    <w:rsid w:val="00B96B86"/>
    <w:rsid w:val="00B96C63"/>
    <w:rsid w:val="00B96DF8"/>
    <w:rsid w:val="00B96E50"/>
    <w:rsid w:val="00B96EB5"/>
    <w:rsid w:val="00B97118"/>
    <w:rsid w:val="00B97199"/>
    <w:rsid w:val="00B971D6"/>
    <w:rsid w:val="00B97231"/>
    <w:rsid w:val="00B973B5"/>
    <w:rsid w:val="00B973C2"/>
    <w:rsid w:val="00B973E4"/>
    <w:rsid w:val="00B974FD"/>
    <w:rsid w:val="00B97524"/>
    <w:rsid w:val="00B975C7"/>
    <w:rsid w:val="00B9762F"/>
    <w:rsid w:val="00B979B0"/>
    <w:rsid w:val="00B97B2B"/>
    <w:rsid w:val="00B97B73"/>
    <w:rsid w:val="00B97CF2"/>
    <w:rsid w:val="00B97E27"/>
    <w:rsid w:val="00B97F48"/>
    <w:rsid w:val="00B97FE5"/>
    <w:rsid w:val="00BA0056"/>
    <w:rsid w:val="00BA0103"/>
    <w:rsid w:val="00BA019D"/>
    <w:rsid w:val="00BA0213"/>
    <w:rsid w:val="00BA02C3"/>
    <w:rsid w:val="00BA042C"/>
    <w:rsid w:val="00BA05B1"/>
    <w:rsid w:val="00BA0719"/>
    <w:rsid w:val="00BA07C4"/>
    <w:rsid w:val="00BA0951"/>
    <w:rsid w:val="00BA09FE"/>
    <w:rsid w:val="00BA0A2A"/>
    <w:rsid w:val="00BA0B78"/>
    <w:rsid w:val="00BA0BAB"/>
    <w:rsid w:val="00BA0C9B"/>
    <w:rsid w:val="00BA0E37"/>
    <w:rsid w:val="00BA1257"/>
    <w:rsid w:val="00BA1324"/>
    <w:rsid w:val="00BA14E5"/>
    <w:rsid w:val="00BA1526"/>
    <w:rsid w:val="00BA154A"/>
    <w:rsid w:val="00BA162A"/>
    <w:rsid w:val="00BA164D"/>
    <w:rsid w:val="00BA16BC"/>
    <w:rsid w:val="00BA1839"/>
    <w:rsid w:val="00BA1914"/>
    <w:rsid w:val="00BA1951"/>
    <w:rsid w:val="00BA19D6"/>
    <w:rsid w:val="00BA1B13"/>
    <w:rsid w:val="00BA1D54"/>
    <w:rsid w:val="00BA1DB0"/>
    <w:rsid w:val="00BA1EFD"/>
    <w:rsid w:val="00BA1F37"/>
    <w:rsid w:val="00BA20C5"/>
    <w:rsid w:val="00BA224F"/>
    <w:rsid w:val="00BA2315"/>
    <w:rsid w:val="00BA2530"/>
    <w:rsid w:val="00BA27E5"/>
    <w:rsid w:val="00BA27E7"/>
    <w:rsid w:val="00BA2911"/>
    <w:rsid w:val="00BA2922"/>
    <w:rsid w:val="00BA2AD8"/>
    <w:rsid w:val="00BA2C62"/>
    <w:rsid w:val="00BA2E14"/>
    <w:rsid w:val="00BA30E4"/>
    <w:rsid w:val="00BA3174"/>
    <w:rsid w:val="00BA3257"/>
    <w:rsid w:val="00BA32A7"/>
    <w:rsid w:val="00BA339C"/>
    <w:rsid w:val="00BA33A1"/>
    <w:rsid w:val="00BA33CA"/>
    <w:rsid w:val="00BA3417"/>
    <w:rsid w:val="00BA3604"/>
    <w:rsid w:val="00BA366E"/>
    <w:rsid w:val="00BA371B"/>
    <w:rsid w:val="00BA3721"/>
    <w:rsid w:val="00BA373B"/>
    <w:rsid w:val="00BA381E"/>
    <w:rsid w:val="00BA3A67"/>
    <w:rsid w:val="00BA3A7B"/>
    <w:rsid w:val="00BA3C23"/>
    <w:rsid w:val="00BA3DD6"/>
    <w:rsid w:val="00BA3E1E"/>
    <w:rsid w:val="00BA3E63"/>
    <w:rsid w:val="00BA3E9B"/>
    <w:rsid w:val="00BA3FB6"/>
    <w:rsid w:val="00BA4021"/>
    <w:rsid w:val="00BA41F3"/>
    <w:rsid w:val="00BA429C"/>
    <w:rsid w:val="00BA42A2"/>
    <w:rsid w:val="00BA42CE"/>
    <w:rsid w:val="00BA433D"/>
    <w:rsid w:val="00BA4350"/>
    <w:rsid w:val="00BA43EE"/>
    <w:rsid w:val="00BA44C9"/>
    <w:rsid w:val="00BA4545"/>
    <w:rsid w:val="00BA45E1"/>
    <w:rsid w:val="00BA486C"/>
    <w:rsid w:val="00BA4A84"/>
    <w:rsid w:val="00BA4ACF"/>
    <w:rsid w:val="00BA4C3A"/>
    <w:rsid w:val="00BA4DEE"/>
    <w:rsid w:val="00BA4E0B"/>
    <w:rsid w:val="00BA4EC3"/>
    <w:rsid w:val="00BA5236"/>
    <w:rsid w:val="00BA5302"/>
    <w:rsid w:val="00BA5527"/>
    <w:rsid w:val="00BA555C"/>
    <w:rsid w:val="00BA5704"/>
    <w:rsid w:val="00BA5AD3"/>
    <w:rsid w:val="00BA5E31"/>
    <w:rsid w:val="00BA5FBD"/>
    <w:rsid w:val="00BA601E"/>
    <w:rsid w:val="00BA6203"/>
    <w:rsid w:val="00BA646A"/>
    <w:rsid w:val="00BA65AB"/>
    <w:rsid w:val="00BA66B6"/>
    <w:rsid w:val="00BA67FC"/>
    <w:rsid w:val="00BA69FE"/>
    <w:rsid w:val="00BA6A91"/>
    <w:rsid w:val="00BA6B46"/>
    <w:rsid w:val="00BA6B69"/>
    <w:rsid w:val="00BA6B94"/>
    <w:rsid w:val="00BA6C97"/>
    <w:rsid w:val="00BA6CEB"/>
    <w:rsid w:val="00BA7175"/>
    <w:rsid w:val="00BA7189"/>
    <w:rsid w:val="00BA7246"/>
    <w:rsid w:val="00BA77FC"/>
    <w:rsid w:val="00BA7844"/>
    <w:rsid w:val="00BA7A0F"/>
    <w:rsid w:val="00BA7A78"/>
    <w:rsid w:val="00BA7AA3"/>
    <w:rsid w:val="00BA7C14"/>
    <w:rsid w:val="00BA7C37"/>
    <w:rsid w:val="00BB032C"/>
    <w:rsid w:val="00BB0679"/>
    <w:rsid w:val="00BB08FD"/>
    <w:rsid w:val="00BB0B00"/>
    <w:rsid w:val="00BB0CB7"/>
    <w:rsid w:val="00BB0D6C"/>
    <w:rsid w:val="00BB0E09"/>
    <w:rsid w:val="00BB0E41"/>
    <w:rsid w:val="00BB10A8"/>
    <w:rsid w:val="00BB1402"/>
    <w:rsid w:val="00BB1409"/>
    <w:rsid w:val="00BB151B"/>
    <w:rsid w:val="00BB1530"/>
    <w:rsid w:val="00BB155C"/>
    <w:rsid w:val="00BB16A5"/>
    <w:rsid w:val="00BB188E"/>
    <w:rsid w:val="00BB1891"/>
    <w:rsid w:val="00BB1960"/>
    <w:rsid w:val="00BB19AD"/>
    <w:rsid w:val="00BB1C07"/>
    <w:rsid w:val="00BB1C0B"/>
    <w:rsid w:val="00BB1D8C"/>
    <w:rsid w:val="00BB1E52"/>
    <w:rsid w:val="00BB1F09"/>
    <w:rsid w:val="00BB1F11"/>
    <w:rsid w:val="00BB1F5A"/>
    <w:rsid w:val="00BB207D"/>
    <w:rsid w:val="00BB21B4"/>
    <w:rsid w:val="00BB21EC"/>
    <w:rsid w:val="00BB2599"/>
    <w:rsid w:val="00BB2645"/>
    <w:rsid w:val="00BB27C2"/>
    <w:rsid w:val="00BB288D"/>
    <w:rsid w:val="00BB292F"/>
    <w:rsid w:val="00BB295D"/>
    <w:rsid w:val="00BB2B20"/>
    <w:rsid w:val="00BB2B4E"/>
    <w:rsid w:val="00BB2C0B"/>
    <w:rsid w:val="00BB2C5D"/>
    <w:rsid w:val="00BB2E04"/>
    <w:rsid w:val="00BB2E21"/>
    <w:rsid w:val="00BB31B9"/>
    <w:rsid w:val="00BB324F"/>
    <w:rsid w:val="00BB3432"/>
    <w:rsid w:val="00BB34D7"/>
    <w:rsid w:val="00BB39F4"/>
    <w:rsid w:val="00BB3B6B"/>
    <w:rsid w:val="00BB3BE8"/>
    <w:rsid w:val="00BB3BFE"/>
    <w:rsid w:val="00BB3D86"/>
    <w:rsid w:val="00BB3E2A"/>
    <w:rsid w:val="00BB40C9"/>
    <w:rsid w:val="00BB40D2"/>
    <w:rsid w:val="00BB420B"/>
    <w:rsid w:val="00BB45BE"/>
    <w:rsid w:val="00BB461F"/>
    <w:rsid w:val="00BB476E"/>
    <w:rsid w:val="00BB4770"/>
    <w:rsid w:val="00BB4928"/>
    <w:rsid w:val="00BB492E"/>
    <w:rsid w:val="00BB495A"/>
    <w:rsid w:val="00BB4A12"/>
    <w:rsid w:val="00BB4AB5"/>
    <w:rsid w:val="00BB4DD8"/>
    <w:rsid w:val="00BB502D"/>
    <w:rsid w:val="00BB51A8"/>
    <w:rsid w:val="00BB52EC"/>
    <w:rsid w:val="00BB530F"/>
    <w:rsid w:val="00BB5319"/>
    <w:rsid w:val="00BB53D3"/>
    <w:rsid w:val="00BB5406"/>
    <w:rsid w:val="00BB5478"/>
    <w:rsid w:val="00BB5494"/>
    <w:rsid w:val="00BB54E3"/>
    <w:rsid w:val="00BB56E1"/>
    <w:rsid w:val="00BB58AD"/>
    <w:rsid w:val="00BB596D"/>
    <w:rsid w:val="00BB59FA"/>
    <w:rsid w:val="00BB5B61"/>
    <w:rsid w:val="00BB5BE1"/>
    <w:rsid w:val="00BB5C8E"/>
    <w:rsid w:val="00BB5E8C"/>
    <w:rsid w:val="00BB5F2F"/>
    <w:rsid w:val="00BB600C"/>
    <w:rsid w:val="00BB607F"/>
    <w:rsid w:val="00BB6357"/>
    <w:rsid w:val="00BB63C6"/>
    <w:rsid w:val="00BB6461"/>
    <w:rsid w:val="00BB65E7"/>
    <w:rsid w:val="00BB6704"/>
    <w:rsid w:val="00BB6921"/>
    <w:rsid w:val="00BB6A9C"/>
    <w:rsid w:val="00BB6B13"/>
    <w:rsid w:val="00BB6B45"/>
    <w:rsid w:val="00BB6BA1"/>
    <w:rsid w:val="00BB6C02"/>
    <w:rsid w:val="00BB6CE4"/>
    <w:rsid w:val="00BB6D17"/>
    <w:rsid w:val="00BB6F8D"/>
    <w:rsid w:val="00BB7233"/>
    <w:rsid w:val="00BB736D"/>
    <w:rsid w:val="00BB7487"/>
    <w:rsid w:val="00BB7531"/>
    <w:rsid w:val="00BB755E"/>
    <w:rsid w:val="00BB7754"/>
    <w:rsid w:val="00BB7964"/>
    <w:rsid w:val="00BB79E1"/>
    <w:rsid w:val="00BB7A60"/>
    <w:rsid w:val="00BB7B84"/>
    <w:rsid w:val="00BB7DE5"/>
    <w:rsid w:val="00BB7EB8"/>
    <w:rsid w:val="00BB7F10"/>
    <w:rsid w:val="00BB7F30"/>
    <w:rsid w:val="00BC0034"/>
    <w:rsid w:val="00BC0092"/>
    <w:rsid w:val="00BC0233"/>
    <w:rsid w:val="00BC02B3"/>
    <w:rsid w:val="00BC02E3"/>
    <w:rsid w:val="00BC0314"/>
    <w:rsid w:val="00BC0349"/>
    <w:rsid w:val="00BC07C8"/>
    <w:rsid w:val="00BC0BB6"/>
    <w:rsid w:val="00BC0F27"/>
    <w:rsid w:val="00BC1368"/>
    <w:rsid w:val="00BC145F"/>
    <w:rsid w:val="00BC1549"/>
    <w:rsid w:val="00BC154D"/>
    <w:rsid w:val="00BC191D"/>
    <w:rsid w:val="00BC199E"/>
    <w:rsid w:val="00BC1A79"/>
    <w:rsid w:val="00BC1DB2"/>
    <w:rsid w:val="00BC1EAE"/>
    <w:rsid w:val="00BC1F2A"/>
    <w:rsid w:val="00BC2062"/>
    <w:rsid w:val="00BC2121"/>
    <w:rsid w:val="00BC2209"/>
    <w:rsid w:val="00BC224D"/>
    <w:rsid w:val="00BC24A5"/>
    <w:rsid w:val="00BC2525"/>
    <w:rsid w:val="00BC2532"/>
    <w:rsid w:val="00BC25B0"/>
    <w:rsid w:val="00BC27F2"/>
    <w:rsid w:val="00BC282A"/>
    <w:rsid w:val="00BC2834"/>
    <w:rsid w:val="00BC2948"/>
    <w:rsid w:val="00BC2957"/>
    <w:rsid w:val="00BC2A9B"/>
    <w:rsid w:val="00BC2DF4"/>
    <w:rsid w:val="00BC2E9B"/>
    <w:rsid w:val="00BC2FC3"/>
    <w:rsid w:val="00BC30C9"/>
    <w:rsid w:val="00BC3286"/>
    <w:rsid w:val="00BC3466"/>
    <w:rsid w:val="00BC34E4"/>
    <w:rsid w:val="00BC37B1"/>
    <w:rsid w:val="00BC38A0"/>
    <w:rsid w:val="00BC392F"/>
    <w:rsid w:val="00BC3BE0"/>
    <w:rsid w:val="00BC3BE6"/>
    <w:rsid w:val="00BC3CC1"/>
    <w:rsid w:val="00BC3D4C"/>
    <w:rsid w:val="00BC3EB9"/>
    <w:rsid w:val="00BC3F22"/>
    <w:rsid w:val="00BC3F48"/>
    <w:rsid w:val="00BC3F8E"/>
    <w:rsid w:val="00BC3FC3"/>
    <w:rsid w:val="00BC4064"/>
    <w:rsid w:val="00BC40B1"/>
    <w:rsid w:val="00BC4388"/>
    <w:rsid w:val="00BC43FD"/>
    <w:rsid w:val="00BC460F"/>
    <w:rsid w:val="00BC4699"/>
    <w:rsid w:val="00BC46EB"/>
    <w:rsid w:val="00BC46EC"/>
    <w:rsid w:val="00BC47C3"/>
    <w:rsid w:val="00BC49B4"/>
    <w:rsid w:val="00BC49BA"/>
    <w:rsid w:val="00BC4A53"/>
    <w:rsid w:val="00BC4E02"/>
    <w:rsid w:val="00BC4E72"/>
    <w:rsid w:val="00BC4FFD"/>
    <w:rsid w:val="00BC5071"/>
    <w:rsid w:val="00BC5469"/>
    <w:rsid w:val="00BC54A7"/>
    <w:rsid w:val="00BC5524"/>
    <w:rsid w:val="00BC5914"/>
    <w:rsid w:val="00BC5954"/>
    <w:rsid w:val="00BC59C9"/>
    <w:rsid w:val="00BC5AAE"/>
    <w:rsid w:val="00BC5B0C"/>
    <w:rsid w:val="00BC5C5E"/>
    <w:rsid w:val="00BC5E8A"/>
    <w:rsid w:val="00BC5ED4"/>
    <w:rsid w:val="00BC5F8C"/>
    <w:rsid w:val="00BC5FB8"/>
    <w:rsid w:val="00BC609E"/>
    <w:rsid w:val="00BC60E1"/>
    <w:rsid w:val="00BC6146"/>
    <w:rsid w:val="00BC6259"/>
    <w:rsid w:val="00BC629F"/>
    <w:rsid w:val="00BC62DC"/>
    <w:rsid w:val="00BC6304"/>
    <w:rsid w:val="00BC65D5"/>
    <w:rsid w:val="00BC67F9"/>
    <w:rsid w:val="00BC6864"/>
    <w:rsid w:val="00BC69DE"/>
    <w:rsid w:val="00BC6B54"/>
    <w:rsid w:val="00BC6BC1"/>
    <w:rsid w:val="00BC7003"/>
    <w:rsid w:val="00BC713D"/>
    <w:rsid w:val="00BC7211"/>
    <w:rsid w:val="00BC7374"/>
    <w:rsid w:val="00BC7601"/>
    <w:rsid w:val="00BC760B"/>
    <w:rsid w:val="00BC76E6"/>
    <w:rsid w:val="00BC7700"/>
    <w:rsid w:val="00BC77A3"/>
    <w:rsid w:val="00BC79A6"/>
    <w:rsid w:val="00BC7B1D"/>
    <w:rsid w:val="00BC7B74"/>
    <w:rsid w:val="00BC7B9B"/>
    <w:rsid w:val="00BC7DB5"/>
    <w:rsid w:val="00BD0066"/>
    <w:rsid w:val="00BD0279"/>
    <w:rsid w:val="00BD02F0"/>
    <w:rsid w:val="00BD03C2"/>
    <w:rsid w:val="00BD03DC"/>
    <w:rsid w:val="00BD05E8"/>
    <w:rsid w:val="00BD07F4"/>
    <w:rsid w:val="00BD093B"/>
    <w:rsid w:val="00BD09A9"/>
    <w:rsid w:val="00BD0A2B"/>
    <w:rsid w:val="00BD0C25"/>
    <w:rsid w:val="00BD0CA8"/>
    <w:rsid w:val="00BD0E37"/>
    <w:rsid w:val="00BD0F17"/>
    <w:rsid w:val="00BD0F2B"/>
    <w:rsid w:val="00BD0FA6"/>
    <w:rsid w:val="00BD1154"/>
    <w:rsid w:val="00BD1340"/>
    <w:rsid w:val="00BD1539"/>
    <w:rsid w:val="00BD164F"/>
    <w:rsid w:val="00BD1706"/>
    <w:rsid w:val="00BD187A"/>
    <w:rsid w:val="00BD1910"/>
    <w:rsid w:val="00BD1CC8"/>
    <w:rsid w:val="00BD1D7A"/>
    <w:rsid w:val="00BD206E"/>
    <w:rsid w:val="00BD20A0"/>
    <w:rsid w:val="00BD23F0"/>
    <w:rsid w:val="00BD2460"/>
    <w:rsid w:val="00BD26BB"/>
    <w:rsid w:val="00BD2705"/>
    <w:rsid w:val="00BD2855"/>
    <w:rsid w:val="00BD29DB"/>
    <w:rsid w:val="00BD2BFD"/>
    <w:rsid w:val="00BD2C42"/>
    <w:rsid w:val="00BD2DD3"/>
    <w:rsid w:val="00BD2DD6"/>
    <w:rsid w:val="00BD2EAB"/>
    <w:rsid w:val="00BD2F1E"/>
    <w:rsid w:val="00BD31C0"/>
    <w:rsid w:val="00BD3286"/>
    <w:rsid w:val="00BD328C"/>
    <w:rsid w:val="00BD3461"/>
    <w:rsid w:val="00BD349C"/>
    <w:rsid w:val="00BD3517"/>
    <w:rsid w:val="00BD355E"/>
    <w:rsid w:val="00BD363E"/>
    <w:rsid w:val="00BD397E"/>
    <w:rsid w:val="00BD39DC"/>
    <w:rsid w:val="00BD3BCC"/>
    <w:rsid w:val="00BD3C2D"/>
    <w:rsid w:val="00BD3CD4"/>
    <w:rsid w:val="00BD3CE2"/>
    <w:rsid w:val="00BD3D34"/>
    <w:rsid w:val="00BD3FA9"/>
    <w:rsid w:val="00BD3FDC"/>
    <w:rsid w:val="00BD4026"/>
    <w:rsid w:val="00BD4240"/>
    <w:rsid w:val="00BD42B3"/>
    <w:rsid w:val="00BD442B"/>
    <w:rsid w:val="00BD443E"/>
    <w:rsid w:val="00BD4458"/>
    <w:rsid w:val="00BD44AD"/>
    <w:rsid w:val="00BD4544"/>
    <w:rsid w:val="00BD4547"/>
    <w:rsid w:val="00BD475D"/>
    <w:rsid w:val="00BD4768"/>
    <w:rsid w:val="00BD4851"/>
    <w:rsid w:val="00BD48CA"/>
    <w:rsid w:val="00BD4912"/>
    <w:rsid w:val="00BD49BF"/>
    <w:rsid w:val="00BD4A2D"/>
    <w:rsid w:val="00BD4AD4"/>
    <w:rsid w:val="00BD4BA3"/>
    <w:rsid w:val="00BD4C0B"/>
    <w:rsid w:val="00BD4E37"/>
    <w:rsid w:val="00BD4F39"/>
    <w:rsid w:val="00BD4F4A"/>
    <w:rsid w:val="00BD5033"/>
    <w:rsid w:val="00BD5139"/>
    <w:rsid w:val="00BD531A"/>
    <w:rsid w:val="00BD5341"/>
    <w:rsid w:val="00BD53C4"/>
    <w:rsid w:val="00BD5418"/>
    <w:rsid w:val="00BD54A1"/>
    <w:rsid w:val="00BD5510"/>
    <w:rsid w:val="00BD557D"/>
    <w:rsid w:val="00BD562E"/>
    <w:rsid w:val="00BD57C4"/>
    <w:rsid w:val="00BD58E8"/>
    <w:rsid w:val="00BD59BF"/>
    <w:rsid w:val="00BD59DB"/>
    <w:rsid w:val="00BD5A30"/>
    <w:rsid w:val="00BD5B3B"/>
    <w:rsid w:val="00BD5BFA"/>
    <w:rsid w:val="00BD5C5A"/>
    <w:rsid w:val="00BD5C70"/>
    <w:rsid w:val="00BD5CEA"/>
    <w:rsid w:val="00BD5E9B"/>
    <w:rsid w:val="00BD600E"/>
    <w:rsid w:val="00BD6106"/>
    <w:rsid w:val="00BD6221"/>
    <w:rsid w:val="00BD63FE"/>
    <w:rsid w:val="00BD646B"/>
    <w:rsid w:val="00BD64DB"/>
    <w:rsid w:val="00BD657A"/>
    <w:rsid w:val="00BD669B"/>
    <w:rsid w:val="00BD67FF"/>
    <w:rsid w:val="00BD6953"/>
    <w:rsid w:val="00BD69E2"/>
    <w:rsid w:val="00BD6C87"/>
    <w:rsid w:val="00BD6DFF"/>
    <w:rsid w:val="00BD6EEE"/>
    <w:rsid w:val="00BD6FE6"/>
    <w:rsid w:val="00BD7052"/>
    <w:rsid w:val="00BD71D7"/>
    <w:rsid w:val="00BD747E"/>
    <w:rsid w:val="00BD74B6"/>
    <w:rsid w:val="00BD759E"/>
    <w:rsid w:val="00BD75CD"/>
    <w:rsid w:val="00BD76DF"/>
    <w:rsid w:val="00BD776D"/>
    <w:rsid w:val="00BD784B"/>
    <w:rsid w:val="00BD7D0F"/>
    <w:rsid w:val="00BD7DAB"/>
    <w:rsid w:val="00BE00EA"/>
    <w:rsid w:val="00BE01DD"/>
    <w:rsid w:val="00BE029A"/>
    <w:rsid w:val="00BE03CE"/>
    <w:rsid w:val="00BE0649"/>
    <w:rsid w:val="00BE08D7"/>
    <w:rsid w:val="00BE0991"/>
    <w:rsid w:val="00BE09D9"/>
    <w:rsid w:val="00BE0B8A"/>
    <w:rsid w:val="00BE0BAB"/>
    <w:rsid w:val="00BE0C15"/>
    <w:rsid w:val="00BE0C37"/>
    <w:rsid w:val="00BE0D2D"/>
    <w:rsid w:val="00BE0F0C"/>
    <w:rsid w:val="00BE13BC"/>
    <w:rsid w:val="00BE13D2"/>
    <w:rsid w:val="00BE146D"/>
    <w:rsid w:val="00BE15E0"/>
    <w:rsid w:val="00BE1821"/>
    <w:rsid w:val="00BE18DA"/>
    <w:rsid w:val="00BE1909"/>
    <w:rsid w:val="00BE1978"/>
    <w:rsid w:val="00BE1DBC"/>
    <w:rsid w:val="00BE1E49"/>
    <w:rsid w:val="00BE1E97"/>
    <w:rsid w:val="00BE1EDC"/>
    <w:rsid w:val="00BE2058"/>
    <w:rsid w:val="00BE20D1"/>
    <w:rsid w:val="00BE20F3"/>
    <w:rsid w:val="00BE21CB"/>
    <w:rsid w:val="00BE2314"/>
    <w:rsid w:val="00BE2420"/>
    <w:rsid w:val="00BE24F7"/>
    <w:rsid w:val="00BE2752"/>
    <w:rsid w:val="00BE2788"/>
    <w:rsid w:val="00BE288D"/>
    <w:rsid w:val="00BE2A7B"/>
    <w:rsid w:val="00BE2B27"/>
    <w:rsid w:val="00BE2B74"/>
    <w:rsid w:val="00BE2B9D"/>
    <w:rsid w:val="00BE2B9E"/>
    <w:rsid w:val="00BE2CD1"/>
    <w:rsid w:val="00BE2EEF"/>
    <w:rsid w:val="00BE3083"/>
    <w:rsid w:val="00BE315C"/>
    <w:rsid w:val="00BE321E"/>
    <w:rsid w:val="00BE33E5"/>
    <w:rsid w:val="00BE3434"/>
    <w:rsid w:val="00BE344B"/>
    <w:rsid w:val="00BE3451"/>
    <w:rsid w:val="00BE34B1"/>
    <w:rsid w:val="00BE34CD"/>
    <w:rsid w:val="00BE3530"/>
    <w:rsid w:val="00BE359C"/>
    <w:rsid w:val="00BE364F"/>
    <w:rsid w:val="00BE399D"/>
    <w:rsid w:val="00BE3A10"/>
    <w:rsid w:val="00BE3B61"/>
    <w:rsid w:val="00BE3D7B"/>
    <w:rsid w:val="00BE3F04"/>
    <w:rsid w:val="00BE41A8"/>
    <w:rsid w:val="00BE4315"/>
    <w:rsid w:val="00BE4356"/>
    <w:rsid w:val="00BE439C"/>
    <w:rsid w:val="00BE443D"/>
    <w:rsid w:val="00BE457D"/>
    <w:rsid w:val="00BE4A99"/>
    <w:rsid w:val="00BE4C7B"/>
    <w:rsid w:val="00BE4CCA"/>
    <w:rsid w:val="00BE4E00"/>
    <w:rsid w:val="00BE4E44"/>
    <w:rsid w:val="00BE4EA3"/>
    <w:rsid w:val="00BE500B"/>
    <w:rsid w:val="00BE5018"/>
    <w:rsid w:val="00BE5265"/>
    <w:rsid w:val="00BE54A3"/>
    <w:rsid w:val="00BE54C4"/>
    <w:rsid w:val="00BE54D0"/>
    <w:rsid w:val="00BE5752"/>
    <w:rsid w:val="00BE575C"/>
    <w:rsid w:val="00BE594E"/>
    <w:rsid w:val="00BE5A25"/>
    <w:rsid w:val="00BE5AE8"/>
    <w:rsid w:val="00BE5BC1"/>
    <w:rsid w:val="00BE5CFD"/>
    <w:rsid w:val="00BE5D10"/>
    <w:rsid w:val="00BE5D62"/>
    <w:rsid w:val="00BE5DB6"/>
    <w:rsid w:val="00BE6115"/>
    <w:rsid w:val="00BE6250"/>
    <w:rsid w:val="00BE62DC"/>
    <w:rsid w:val="00BE653D"/>
    <w:rsid w:val="00BE661C"/>
    <w:rsid w:val="00BE6655"/>
    <w:rsid w:val="00BE6710"/>
    <w:rsid w:val="00BE6719"/>
    <w:rsid w:val="00BE6896"/>
    <w:rsid w:val="00BE6996"/>
    <w:rsid w:val="00BE6A4C"/>
    <w:rsid w:val="00BE6A62"/>
    <w:rsid w:val="00BE6B6A"/>
    <w:rsid w:val="00BE6CA9"/>
    <w:rsid w:val="00BE6D93"/>
    <w:rsid w:val="00BE6EF8"/>
    <w:rsid w:val="00BE712B"/>
    <w:rsid w:val="00BE714D"/>
    <w:rsid w:val="00BE72CD"/>
    <w:rsid w:val="00BE7336"/>
    <w:rsid w:val="00BE73CB"/>
    <w:rsid w:val="00BE7420"/>
    <w:rsid w:val="00BE7546"/>
    <w:rsid w:val="00BE7670"/>
    <w:rsid w:val="00BE77B4"/>
    <w:rsid w:val="00BE7828"/>
    <w:rsid w:val="00BE7864"/>
    <w:rsid w:val="00BE78BC"/>
    <w:rsid w:val="00BE796A"/>
    <w:rsid w:val="00BE79F9"/>
    <w:rsid w:val="00BE7B57"/>
    <w:rsid w:val="00BE7BCC"/>
    <w:rsid w:val="00BE7BE5"/>
    <w:rsid w:val="00BE7E29"/>
    <w:rsid w:val="00BE7E4A"/>
    <w:rsid w:val="00BE7F7E"/>
    <w:rsid w:val="00BF0087"/>
    <w:rsid w:val="00BF00E5"/>
    <w:rsid w:val="00BF03CB"/>
    <w:rsid w:val="00BF0450"/>
    <w:rsid w:val="00BF06B7"/>
    <w:rsid w:val="00BF0844"/>
    <w:rsid w:val="00BF091F"/>
    <w:rsid w:val="00BF0C3B"/>
    <w:rsid w:val="00BF0DF5"/>
    <w:rsid w:val="00BF0E9C"/>
    <w:rsid w:val="00BF0F39"/>
    <w:rsid w:val="00BF1361"/>
    <w:rsid w:val="00BF160E"/>
    <w:rsid w:val="00BF16CE"/>
    <w:rsid w:val="00BF1754"/>
    <w:rsid w:val="00BF1759"/>
    <w:rsid w:val="00BF17EC"/>
    <w:rsid w:val="00BF1801"/>
    <w:rsid w:val="00BF1876"/>
    <w:rsid w:val="00BF19E6"/>
    <w:rsid w:val="00BF1A0F"/>
    <w:rsid w:val="00BF1DCE"/>
    <w:rsid w:val="00BF1EA0"/>
    <w:rsid w:val="00BF1EC5"/>
    <w:rsid w:val="00BF1EE4"/>
    <w:rsid w:val="00BF220C"/>
    <w:rsid w:val="00BF2375"/>
    <w:rsid w:val="00BF255C"/>
    <w:rsid w:val="00BF2775"/>
    <w:rsid w:val="00BF277B"/>
    <w:rsid w:val="00BF2A11"/>
    <w:rsid w:val="00BF2A3B"/>
    <w:rsid w:val="00BF2ABC"/>
    <w:rsid w:val="00BF2AE5"/>
    <w:rsid w:val="00BF2B0A"/>
    <w:rsid w:val="00BF2B38"/>
    <w:rsid w:val="00BF2BCF"/>
    <w:rsid w:val="00BF2C12"/>
    <w:rsid w:val="00BF2D24"/>
    <w:rsid w:val="00BF2FC9"/>
    <w:rsid w:val="00BF2FD5"/>
    <w:rsid w:val="00BF3045"/>
    <w:rsid w:val="00BF3113"/>
    <w:rsid w:val="00BF316D"/>
    <w:rsid w:val="00BF31E6"/>
    <w:rsid w:val="00BF31FA"/>
    <w:rsid w:val="00BF32D9"/>
    <w:rsid w:val="00BF35D0"/>
    <w:rsid w:val="00BF3A23"/>
    <w:rsid w:val="00BF3A4C"/>
    <w:rsid w:val="00BF3BC1"/>
    <w:rsid w:val="00BF3BF8"/>
    <w:rsid w:val="00BF3CB3"/>
    <w:rsid w:val="00BF3E3B"/>
    <w:rsid w:val="00BF3F1F"/>
    <w:rsid w:val="00BF3F94"/>
    <w:rsid w:val="00BF3FD5"/>
    <w:rsid w:val="00BF42C1"/>
    <w:rsid w:val="00BF438C"/>
    <w:rsid w:val="00BF43DF"/>
    <w:rsid w:val="00BF4492"/>
    <w:rsid w:val="00BF4582"/>
    <w:rsid w:val="00BF4688"/>
    <w:rsid w:val="00BF4854"/>
    <w:rsid w:val="00BF490F"/>
    <w:rsid w:val="00BF49DF"/>
    <w:rsid w:val="00BF4AB4"/>
    <w:rsid w:val="00BF4B98"/>
    <w:rsid w:val="00BF4C59"/>
    <w:rsid w:val="00BF4DE7"/>
    <w:rsid w:val="00BF4DF2"/>
    <w:rsid w:val="00BF4E04"/>
    <w:rsid w:val="00BF4E10"/>
    <w:rsid w:val="00BF4E30"/>
    <w:rsid w:val="00BF50F2"/>
    <w:rsid w:val="00BF51C1"/>
    <w:rsid w:val="00BF51D9"/>
    <w:rsid w:val="00BF5307"/>
    <w:rsid w:val="00BF5667"/>
    <w:rsid w:val="00BF5674"/>
    <w:rsid w:val="00BF56AC"/>
    <w:rsid w:val="00BF56C5"/>
    <w:rsid w:val="00BF577B"/>
    <w:rsid w:val="00BF5853"/>
    <w:rsid w:val="00BF58AA"/>
    <w:rsid w:val="00BF59C7"/>
    <w:rsid w:val="00BF5DAA"/>
    <w:rsid w:val="00BF5DF6"/>
    <w:rsid w:val="00BF5E32"/>
    <w:rsid w:val="00BF5E80"/>
    <w:rsid w:val="00BF5E88"/>
    <w:rsid w:val="00BF5F45"/>
    <w:rsid w:val="00BF611C"/>
    <w:rsid w:val="00BF6122"/>
    <w:rsid w:val="00BF61E8"/>
    <w:rsid w:val="00BF6224"/>
    <w:rsid w:val="00BF62FF"/>
    <w:rsid w:val="00BF6356"/>
    <w:rsid w:val="00BF63BB"/>
    <w:rsid w:val="00BF63D2"/>
    <w:rsid w:val="00BF657A"/>
    <w:rsid w:val="00BF6657"/>
    <w:rsid w:val="00BF6698"/>
    <w:rsid w:val="00BF68B2"/>
    <w:rsid w:val="00BF6904"/>
    <w:rsid w:val="00BF69AB"/>
    <w:rsid w:val="00BF6A69"/>
    <w:rsid w:val="00BF6B34"/>
    <w:rsid w:val="00BF6BE2"/>
    <w:rsid w:val="00BF6C34"/>
    <w:rsid w:val="00BF72F3"/>
    <w:rsid w:val="00BF7516"/>
    <w:rsid w:val="00BF755D"/>
    <w:rsid w:val="00BF7621"/>
    <w:rsid w:val="00BF781A"/>
    <w:rsid w:val="00BF7839"/>
    <w:rsid w:val="00BF7843"/>
    <w:rsid w:val="00BF79FA"/>
    <w:rsid w:val="00BF7A10"/>
    <w:rsid w:val="00BF7A8D"/>
    <w:rsid w:val="00BF7CC6"/>
    <w:rsid w:val="00BF7CEC"/>
    <w:rsid w:val="00BF7F29"/>
    <w:rsid w:val="00C000CE"/>
    <w:rsid w:val="00C002FA"/>
    <w:rsid w:val="00C00402"/>
    <w:rsid w:val="00C0047F"/>
    <w:rsid w:val="00C0066F"/>
    <w:rsid w:val="00C0084F"/>
    <w:rsid w:val="00C008A3"/>
    <w:rsid w:val="00C00A6A"/>
    <w:rsid w:val="00C00D89"/>
    <w:rsid w:val="00C00ED8"/>
    <w:rsid w:val="00C0109C"/>
    <w:rsid w:val="00C011AC"/>
    <w:rsid w:val="00C011B9"/>
    <w:rsid w:val="00C0124F"/>
    <w:rsid w:val="00C0127C"/>
    <w:rsid w:val="00C012D2"/>
    <w:rsid w:val="00C01431"/>
    <w:rsid w:val="00C014E1"/>
    <w:rsid w:val="00C014F9"/>
    <w:rsid w:val="00C0161C"/>
    <w:rsid w:val="00C01682"/>
    <w:rsid w:val="00C016CD"/>
    <w:rsid w:val="00C0173D"/>
    <w:rsid w:val="00C0188B"/>
    <w:rsid w:val="00C01959"/>
    <w:rsid w:val="00C01996"/>
    <w:rsid w:val="00C01B08"/>
    <w:rsid w:val="00C01B1D"/>
    <w:rsid w:val="00C01D41"/>
    <w:rsid w:val="00C01EB6"/>
    <w:rsid w:val="00C021E3"/>
    <w:rsid w:val="00C0224D"/>
    <w:rsid w:val="00C0224F"/>
    <w:rsid w:val="00C02485"/>
    <w:rsid w:val="00C02806"/>
    <w:rsid w:val="00C0290C"/>
    <w:rsid w:val="00C0290E"/>
    <w:rsid w:val="00C02A0E"/>
    <w:rsid w:val="00C02A6A"/>
    <w:rsid w:val="00C02C1E"/>
    <w:rsid w:val="00C02C5C"/>
    <w:rsid w:val="00C02D6A"/>
    <w:rsid w:val="00C02E29"/>
    <w:rsid w:val="00C02E3B"/>
    <w:rsid w:val="00C03132"/>
    <w:rsid w:val="00C03143"/>
    <w:rsid w:val="00C0320A"/>
    <w:rsid w:val="00C03212"/>
    <w:rsid w:val="00C0323F"/>
    <w:rsid w:val="00C03322"/>
    <w:rsid w:val="00C034C9"/>
    <w:rsid w:val="00C035D2"/>
    <w:rsid w:val="00C03775"/>
    <w:rsid w:val="00C03866"/>
    <w:rsid w:val="00C03917"/>
    <w:rsid w:val="00C03A4E"/>
    <w:rsid w:val="00C03A92"/>
    <w:rsid w:val="00C03AFA"/>
    <w:rsid w:val="00C03E95"/>
    <w:rsid w:val="00C03EDF"/>
    <w:rsid w:val="00C03FA5"/>
    <w:rsid w:val="00C0409B"/>
    <w:rsid w:val="00C040F9"/>
    <w:rsid w:val="00C04303"/>
    <w:rsid w:val="00C0430D"/>
    <w:rsid w:val="00C04464"/>
    <w:rsid w:val="00C0454B"/>
    <w:rsid w:val="00C0455E"/>
    <w:rsid w:val="00C045DC"/>
    <w:rsid w:val="00C046CA"/>
    <w:rsid w:val="00C04742"/>
    <w:rsid w:val="00C04820"/>
    <w:rsid w:val="00C048A8"/>
    <w:rsid w:val="00C04CB0"/>
    <w:rsid w:val="00C04CD9"/>
    <w:rsid w:val="00C04D72"/>
    <w:rsid w:val="00C0501B"/>
    <w:rsid w:val="00C05228"/>
    <w:rsid w:val="00C05242"/>
    <w:rsid w:val="00C05288"/>
    <w:rsid w:val="00C05376"/>
    <w:rsid w:val="00C05689"/>
    <w:rsid w:val="00C056B2"/>
    <w:rsid w:val="00C05858"/>
    <w:rsid w:val="00C0593D"/>
    <w:rsid w:val="00C05C10"/>
    <w:rsid w:val="00C05E63"/>
    <w:rsid w:val="00C05E95"/>
    <w:rsid w:val="00C05F23"/>
    <w:rsid w:val="00C06015"/>
    <w:rsid w:val="00C060D7"/>
    <w:rsid w:val="00C063A2"/>
    <w:rsid w:val="00C063F2"/>
    <w:rsid w:val="00C06408"/>
    <w:rsid w:val="00C0641B"/>
    <w:rsid w:val="00C06493"/>
    <w:rsid w:val="00C064B8"/>
    <w:rsid w:val="00C0655D"/>
    <w:rsid w:val="00C0656F"/>
    <w:rsid w:val="00C065D1"/>
    <w:rsid w:val="00C06A34"/>
    <w:rsid w:val="00C06CE3"/>
    <w:rsid w:val="00C07124"/>
    <w:rsid w:val="00C072D9"/>
    <w:rsid w:val="00C074ED"/>
    <w:rsid w:val="00C07537"/>
    <w:rsid w:val="00C075B5"/>
    <w:rsid w:val="00C075EE"/>
    <w:rsid w:val="00C07705"/>
    <w:rsid w:val="00C077A2"/>
    <w:rsid w:val="00C07875"/>
    <w:rsid w:val="00C07879"/>
    <w:rsid w:val="00C07897"/>
    <w:rsid w:val="00C07A68"/>
    <w:rsid w:val="00C07C01"/>
    <w:rsid w:val="00C07D4F"/>
    <w:rsid w:val="00C07EFF"/>
    <w:rsid w:val="00C1047F"/>
    <w:rsid w:val="00C104EC"/>
    <w:rsid w:val="00C1064C"/>
    <w:rsid w:val="00C1074E"/>
    <w:rsid w:val="00C107A6"/>
    <w:rsid w:val="00C10891"/>
    <w:rsid w:val="00C1089E"/>
    <w:rsid w:val="00C108C3"/>
    <w:rsid w:val="00C108D1"/>
    <w:rsid w:val="00C10B14"/>
    <w:rsid w:val="00C10B87"/>
    <w:rsid w:val="00C10BA1"/>
    <w:rsid w:val="00C111AA"/>
    <w:rsid w:val="00C113C3"/>
    <w:rsid w:val="00C1158C"/>
    <w:rsid w:val="00C11AEA"/>
    <w:rsid w:val="00C11BC1"/>
    <w:rsid w:val="00C11BCB"/>
    <w:rsid w:val="00C11E74"/>
    <w:rsid w:val="00C11E90"/>
    <w:rsid w:val="00C12041"/>
    <w:rsid w:val="00C12234"/>
    <w:rsid w:val="00C1237C"/>
    <w:rsid w:val="00C1252F"/>
    <w:rsid w:val="00C1264F"/>
    <w:rsid w:val="00C127AF"/>
    <w:rsid w:val="00C127B0"/>
    <w:rsid w:val="00C127CE"/>
    <w:rsid w:val="00C127DC"/>
    <w:rsid w:val="00C128B5"/>
    <w:rsid w:val="00C128ED"/>
    <w:rsid w:val="00C12B50"/>
    <w:rsid w:val="00C12C70"/>
    <w:rsid w:val="00C12E11"/>
    <w:rsid w:val="00C12EFD"/>
    <w:rsid w:val="00C1306A"/>
    <w:rsid w:val="00C13145"/>
    <w:rsid w:val="00C13ADB"/>
    <w:rsid w:val="00C13BFD"/>
    <w:rsid w:val="00C13C46"/>
    <w:rsid w:val="00C13C73"/>
    <w:rsid w:val="00C13C8B"/>
    <w:rsid w:val="00C13C9B"/>
    <w:rsid w:val="00C13E93"/>
    <w:rsid w:val="00C140CD"/>
    <w:rsid w:val="00C1416A"/>
    <w:rsid w:val="00C1420B"/>
    <w:rsid w:val="00C14305"/>
    <w:rsid w:val="00C14346"/>
    <w:rsid w:val="00C143E1"/>
    <w:rsid w:val="00C144B0"/>
    <w:rsid w:val="00C14517"/>
    <w:rsid w:val="00C147CC"/>
    <w:rsid w:val="00C14836"/>
    <w:rsid w:val="00C14B17"/>
    <w:rsid w:val="00C14D8E"/>
    <w:rsid w:val="00C14E7B"/>
    <w:rsid w:val="00C14EC2"/>
    <w:rsid w:val="00C14ED6"/>
    <w:rsid w:val="00C14F84"/>
    <w:rsid w:val="00C152A0"/>
    <w:rsid w:val="00C153B3"/>
    <w:rsid w:val="00C153CF"/>
    <w:rsid w:val="00C15690"/>
    <w:rsid w:val="00C15738"/>
    <w:rsid w:val="00C1577E"/>
    <w:rsid w:val="00C15A6F"/>
    <w:rsid w:val="00C15D2B"/>
    <w:rsid w:val="00C15D3D"/>
    <w:rsid w:val="00C15E3F"/>
    <w:rsid w:val="00C15F19"/>
    <w:rsid w:val="00C16016"/>
    <w:rsid w:val="00C160DB"/>
    <w:rsid w:val="00C1616A"/>
    <w:rsid w:val="00C1639C"/>
    <w:rsid w:val="00C16467"/>
    <w:rsid w:val="00C16478"/>
    <w:rsid w:val="00C16590"/>
    <w:rsid w:val="00C165A6"/>
    <w:rsid w:val="00C16681"/>
    <w:rsid w:val="00C16C58"/>
    <w:rsid w:val="00C16DED"/>
    <w:rsid w:val="00C16F62"/>
    <w:rsid w:val="00C16F77"/>
    <w:rsid w:val="00C16FA9"/>
    <w:rsid w:val="00C16FE9"/>
    <w:rsid w:val="00C17030"/>
    <w:rsid w:val="00C17206"/>
    <w:rsid w:val="00C1729B"/>
    <w:rsid w:val="00C17613"/>
    <w:rsid w:val="00C17723"/>
    <w:rsid w:val="00C17745"/>
    <w:rsid w:val="00C17751"/>
    <w:rsid w:val="00C178F1"/>
    <w:rsid w:val="00C17A5F"/>
    <w:rsid w:val="00C17C34"/>
    <w:rsid w:val="00C17E0C"/>
    <w:rsid w:val="00C17F90"/>
    <w:rsid w:val="00C20157"/>
    <w:rsid w:val="00C2025A"/>
    <w:rsid w:val="00C2032C"/>
    <w:rsid w:val="00C20509"/>
    <w:rsid w:val="00C20681"/>
    <w:rsid w:val="00C2088C"/>
    <w:rsid w:val="00C208BD"/>
    <w:rsid w:val="00C20A5C"/>
    <w:rsid w:val="00C20AA3"/>
    <w:rsid w:val="00C20BD8"/>
    <w:rsid w:val="00C20C82"/>
    <w:rsid w:val="00C20CC8"/>
    <w:rsid w:val="00C20F89"/>
    <w:rsid w:val="00C21110"/>
    <w:rsid w:val="00C21210"/>
    <w:rsid w:val="00C2121A"/>
    <w:rsid w:val="00C21326"/>
    <w:rsid w:val="00C2147B"/>
    <w:rsid w:val="00C21832"/>
    <w:rsid w:val="00C2189C"/>
    <w:rsid w:val="00C219CC"/>
    <w:rsid w:val="00C219F6"/>
    <w:rsid w:val="00C21A2A"/>
    <w:rsid w:val="00C21BBE"/>
    <w:rsid w:val="00C21C04"/>
    <w:rsid w:val="00C21C4B"/>
    <w:rsid w:val="00C21CE8"/>
    <w:rsid w:val="00C21E91"/>
    <w:rsid w:val="00C22005"/>
    <w:rsid w:val="00C2222D"/>
    <w:rsid w:val="00C2241C"/>
    <w:rsid w:val="00C2257F"/>
    <w:rsid w:val="00C22710"/>
    <w:rsid w:val="00C229FB"/>
    <w:rsid w:val="00C22A1E"/>
    <w:rsid w:val="00C22B52"/>
    <w:rsid w:val="00C22B8D"/>
    <w:rsid w:val="00C22CFF"/>
    <w:rsid w:val="00C22DE4"/>
    <w:rsid w:val="00C22E14"/>
    <w:rsid w:val="00C22E73"/>
    <w:rsid w:val="00C23355"/>
    <w:rsid w:val="00C23687"/>
    <w:rsid w:val="00C238E2"/>
    <w:rsid w:val="00C23AF8"/>
    <w:rsid w:val="00C23BA6"/>
    <w:rsid w:val="00C23BCC"/>
    <w:rsid w:val="00C23CC3"/>
    <w:rsid w:val="00C23DB2"/>
    <w:rsid w:val="00C23F46"/>
    <w:rsid w:val="00C242E5"/>
    <w:rsid w:val="00C243E6"/>
    <w:rsid w:val="00C24420"/>
    <w:rsid w:val="00C24611"/>
    <w:rsid w:val="00C2482A"/>
    <w:rsid w:val="00C24951"/>
    <w:rsid w:val="00C24AAE"/>
    <w:rsid w:val="00C24CD1"/>
    <w:rsid w:val="00C24CF1"/>
    <w:rsid w:val="00C24FAF"/>
    <w:rsid w:val="00C24FB5"/>
    <w:rsid w:val="00C25174"/>
    <w:rsid w:val="00C2535C"/>
    <w:rsid w:val="00C253EC"/>
    <w:rsid w:val="00C256A0"/>
    <w:rsid w:val="00C257BF"/>
    <w:rsid w:val="00C25805"/>
    <w:rsid w:val="00C25836"/>
    <w:rsid w:val="00C25886"/>
    <w:rsid w:val="00C25B84"/>
    <w:rsid w:val="00C25BC8"/>
    <w:rsid w:val="00C25BCE"/>
    <w:rsid w:val="00C25C5A"/>
    <w:rsid w:val="00C25D02"/>
    <w:rsid w:val="00C26138"/>
    <w:rsid w:val="00C262CD"/>
    <w:rsid w:val="00C2631E"/>
    <w:rsid w:val="00C2631F"/>
    <w:rsid w:val="00C2639A"/>
    <w:rsid w:val="00C26789"/>
    <w:rsid w:val="00C26800"/>
    <w:rsid w:val="00C26961"/>
    <w:rsid w:val="00C26D82"/>
    <w:rsid w:val="00C26E43"/>
    <w:rsid w:val="00C26F98"/>
    <w:rsid w:val="00C26FD3"/>
    <w:rsid w:val="00C2733E"/>
    <w:rsid w:val="00C274C1"/>
    <w:rsid w:val="00C274E6"/>
    <w:rsid w:val="00C27628"/>
    <w:rsid w:val="00C276B2"/>
    <w:rsid w:val="00C27B17"/>
    <w:rsid w:val="00C27B9B"/>
    <w:rsid w:val="00C27BE3"/>
    <w:rsid w:val="00C27CFE"/>
    <w:rsid w:val="00C27D2A"/>
    <w:rsid w:val="00C27D8A"/>
    <w:rsid w:val="00C30048"/>
    <w:rsid w:val="00C30096"/>
    <w:rsid w:val="00C30098"/>
    <w:rsid w:val="00C3011B"/>
    <w:rsid w:val="00C302CD"/>
    <w:rsid w:val="00C30418"/>
    <w:rsid w:val="00C30606"/>
    <w:rsid w:val="00C307B1"/>
    <w:rsid w:val="00C30816"/>
    <w:rsid w:val="00C309BF"/>
    <w:rsid w:val="00C30A90"/>
    <w:rsid w:val="00C30B5F"/>
    <w:rsid w:val="00C30B89"/>
    <w:rsid w:val="00C30D08"/>
    <w:rsid w:val="00C30F7A"/>
    <w:rsid w:val="00C30FE2"/>
    <w:rsid w:val="00C310EA"/>
    <w:rsid w:val="00C31345"/>
    <w:rsid w:val="00C3137D"/>
    <w:rsid w:val="00C3147C"/>
    <w:rsid w:val="00C31507"/>
    <w:rsid w:val="00C31629"/>
    <w:rsid w:val="00C317E8"/>
    <w:rsid w:val="00C3180D"/>
    <w:rsid w:val="00C31A90"/>
    <w:rsid w:val="00C31AF4"/>
    <w:rsid w:val="00C31BF1"/>
    <w:rsid w:val="00C31EC1"/>
    <w:rsid w:val="00C31F38"/>
    <w:rsid w:val="00C3211B"/>
    <w:rsid w:val="00C321D9"/>
    <w:rsid w:val="00C322AC"/>
    <w:rsid w:val="00C32625"/>
    <w:rsid w:val="00C326C5"/>
    <w:rsid w:val="00C3278D"/>
    <w:rsid w:val="00C32A51"/>
    <w:rsid w:val="00C32A5D"/>
    <w:rsid w:val="00C32B0D"/>
    <w:rsid w:val="00C32BB8"/>
    <w:rsid w:val="00C32CC5"/>
    <w:rsid w:val="00C32D46"/>
    <w:rsid w:val="00C32D7D"/>
    <w:rsid w:val="00C32F63"/>
    <w:rsid w:val="00C32F80"/>
    <w:rsid w:val="00C330FD"/>
    <w:rsid w:val="00C33129"/>
    <w:rsid w:val="00C33179"/>
    <w:rsid w:val="00C3319B"/>
    <w:rsid w:val="00C331AD"/>
    <w:rsid w:val="00C33324"/>
    <w:rsid w:val="00C3339E"/>
    <w:rsid w:val="00C33431"/>
    <w:rsid w:val="00C334DA"/>
    <w:rsid w:val="00C3350D"/>
    <w:rsid w:val="00C3384D"/>
    <w:rsid w:val="00C33994"/>
    <w:rsid w:val="00C33AAC"/>
    <w:rsid w:val="00C33DDB"/>
    <w:rsid w:val="00C33ECC"/>
    <w:rsid w:val="00C34021"/>
    <w:rsid w:val="00C3432F"/>
    <w:rsid w:val="00C344B4"/>
    <w:rsid w:val="00C346BF"/>
    <w:rsid w:val="00C347C4"/>
    <w:rsid w:val="00C34A03"/>
    <w:rsid w:val="00C34CE2"/>
    <w:rsid w:val="00C34D99"/>
    <w:rsid w:val="00C34F36"/>
    <w:rsid w:val="00C35147"/>
    <w:rsid w:val="00C35213"/>
    <w:rsid w:val="00C352A3"/>
    <w:rsid w:val="00C3548B"/>
    <w:rsid w:val="00C357B7"/>
    <w:rsid w:val="00C35C87"/>
    <w:rsid w:val="00C35D32"/>
    <w:rsid w:val="00C35EE7"/>
    <w:rsid w:val="00C35F80"/>
    <w:rsid w:val="00C35FDF"/>
    <w:rsid w:val="00C36125"/>
    <w:rsid w:val="00C36188"/>
    <w:rsid w:val="00C3635E"/>
    <w:rsid w:val="00C363B6"/>
    <w:rsid w:val="00C363BD"/>
    <w:rsid w:val="00C36481"/>
    <w:rsid w:val="00C364FB"/>
    <w:rsid w:val="00C36556"/>
    <w:rsid w:val="00C367EF"/>
    <w:rsid w:val="00C36891"/>
    <w:rsid w:val="00C36AAE"/>
    <w:rsid w:val="00C36BD1"/>
    <w:rsid w:val="00C36C3C"/>
    <w:rsid w:val="00C36F48"/>
    <w:rsid w:val="00C3702A"/>
    <w:rsid w:val="00C370E2"/>
    <w:rsid w:val="00C37138"/>
    <w:rsid w:val="00C3721C"/>
    <w:rsid w:val="00C372ED"/>
    <w:rsid w:val="00C37308"/>
    <w:rsid w:val="00C375F5"/>
    <w:rsid w:val="00C377F7"/>
    <w:rsid w:val="00C378FA"/>
    <w:rsid w:val="00C37C2D"/>
    <w:rsid w:val="00C37C2E"/>
    <w:rsid w:val="00C37C61"/>
    <w:rsid w:val="00C4027C"/>
    <w:rsid w:val="00C4043C"/>
    <w:rsid w:val="00C404DD"/>
    <w:rsid w:val="00C40524"/>
    <w:rsid w:val="00C40571"/>
    <w:rsid w:val="00C40701"/>
    <w:rsid w:val="00C40834"/>
    <w:rsid w:val="00C40894"/>
    <w:rsid w:val="00C408E1"/>
    <w:rsid w:val="00C40914"/>
    <w:rsid w:val="00C40922"/>
    <w:rsid w:val="00C40A60"/>
    <w:rsid w:val="00C40CD5"/>
    <w:rsid w:val="00C40D3E"/>
    <w:rsid w:val="00C40E36"/>
    <w:rsid w:val="00C40ED8"/>
    <w:rsid w:val="00C40EFC"/>
    <w:rsid w:val="00C41106"/>
    <w:rsid w:val="00C41112"/>
    <w:rsid w:val="00C412CE"/>
    <w:rsid w:val="00C41323"/>
    <w:rsid w:val="00C4135D"/>
    <w:rsid w:val="00C413FD"/>
    <w:rsid w:val="00C41565"/>
    <w:rsid w:val="00C416F7"/>
    <w:rsid w:val="00C41848"/>
    <w:rsid w:val="00C4187C"/>
    <w:rsid w:val="00C419D6"/>
    <w:rsid w:val="00C41A0E"/>
    <w:rsid w:val="00C41B1E"/>
    <w:rsid w:val="00C41B93"/>
    <w:rsid w:val="00C41BE3"/>
    <w:rsid w:val="00C41C08"/>
    <w:rsid w:val="00C41C4B"/>
    <w:rsid w:val="00C41D86"/>
    <w:rsid w:val="00C41DA3"/>
    <w:rsid w:val="00C41E98"/>
    <w:rsid w:val="00C42052"/>
    <w:rsid w:val="00C420D0"/>
    <w:rsid w:val="00C420EA"/>
    <w:rsid w:val="00C423C8"/>
    <w:rsid w:val="00C4259F"/>
    <w:rsid w:val="00C425AF"/>
    <w:rsid w:val="00C4268D"/>
    <w:rsid w:val="00C426D0"/>
    <w:rsid w:val="00C4281C"/>
    <w:rsid w:val="00C428AC"/>
    <w:rsid w:val="00C4292B"/>
    <w:rsid w:val="00C4292E"/>
    <w:rsid w:val="00C4293F"/>
    <w:rsid w:val="00C42985"/>
    <w:rsid w:val="00C429EB"/>
    <w:rsid w:val="00C42A0A"/>
    <w:rsid w:val="00C42B11"/>
    <w:rsid w:val="00C42C3D"/>
    <w:rsid w:val="00C42C84"/>
    <w:rsid w:val="00C43036"/>
    <w:rsid w:val="00C43092"/>
    <w:rsid w:val="00C43387"/>
    <w:rsid w:val="00C43553"/>
    <w:rsid w:val="00C4365C"/>
    <w:rsid w:val="00C436AD"/>
    <w:rsid w:val="00C436D4"/>
    <w:rsid w:val="00C43703"/>
    <w:rsid w:val="00C43A1A"/>
    <w:rsid w:val="00C43DAA"/>
    <w:rsid w:val="00C43E02"/>
    <w:rsid w:val="00C43E88"/>
    <w:rsid w:val="00C43F8F"/>
    <w:rsid w:val="00C440AA"/>
    <w:rsid w:val="00C44195"/>
    <w:rsid w:val="00C441AB"/>
    <w:rsid w:val="00C44215"/>
    <w:rsid w:val="00C44385"/>
    <w:rsid w:val="00C4450A"/>
    <w:rsid w:val="00C448D2"/>
    <w:rsid w:val="00C44906"/>
    <w:rsid w:val="00C44985"/>
    <w:rsid w:val="00C44BD3"/>
    <w:rsid w:val="00C44C98"/>
    <w:rsid w:val="00C44D13"/>
    <w:rsid w:val="00C44D16"/>
    <w:rsid w:val="00C44E2D"/>
    <w:rsid w:val="00C4524B"/>
    <w:rsid w:val="00C4529F"/>
    <w:rsid w:val="00C4550E"/>
    <w:rsid w:val="00C456F8"/>
    <w:rsid w:val="00C45739"/>
    <w:rsid w:val="00C45B36"/>
    <w:rsid w:val="00C45C42"/>
    <w:rsid w:val="00C45D7C"/>
    <w:rsid w:val="00C45DB6"/>
    <w:rsid w:val="00C4606B"/>
    <w:rsid w:val="00C4606C"/>
    <w:rsid w:val="00C46083"/>
    <w:rsid w:val="00C460C1"/>
    <w:rsid w:val="00C460EC"/>
    <w:rsid w:val="00C460FA"/>
    <w:rsid w:val="00C46121"/>
    <w:rsid w:val="00C461AD"/>
    <w:rsid w:val="00C461B3"/>
    <w:rsid w:val="00C461BE"/>
    <w:rsid w:val="00C4628B"/>
    <w:rsid w:val="00C462CB"/>
    <w:rsid w:val="00C46388"/>
    <w:rsid w:val="00C4642D"/>
    <w:rsid w:val="00C464C6"/>
    <w:rsid w:val="00C46515"/>
    <w:rsid w:val="00C46598"/>
    <w:rsid w:val="00C467AC"/>
    <w:rsid w:val="00C46ABD"/>
    <w:rsid w:val="00C46DE4"/>
    <w:rsid w:val="00C46DE9"/>
    <w:rsid w:val="00C46E09"/>
    <w:rsid w:val="00C4700F"/>
    <w:rsid w:val="00C470D1"/>
    <w:rsid w:val="00C47186"/>
    <w:rsid w:val="00C47426"/>
    <w:rsid w:val="00C47657"/>
    <w:rsid w:val="00C47755"/>
    <w:rsid w:val="00C47898"/>
    <w:rsid w:val="00C47A74"/>
    <w:rsid w:val="00C47B09"/>
    <w:rsid w:val="00C47C0C"/>
    <w:rsid w:val="00C50184"/>
    <w:rsid w:val="00C50251"/>
    <w:rsid w:val="00C5028A"/>
    <w:rsid w:val="00C507C8"/>
    <w:rsid w:val="00C50856"/>
    <w:rsid w:val="00C50928"/>
    <w:rsid w:val="00C50953"/>
    <w:rsid w:val="00C509BD"/>
    <w:rsid w:val="00C50ABE"/>
    <w:rsid w:val="00C50AFA"/>
    <w:rsid w:val="00C50CCB"/>
    <w:rsid w:val="00C50D35"/>
    <w:rsid w:val="00C50D3C"/>
    <w:rsid w:val="00C50D87"/>
    <w:rsid w:val="00C50E53"/>
    <w:rsid w:val="00C50EDD"/>
    <w:rsid w:val="00C51079"/>
    <w:rsid w:val="00C51104"/>
    <w:rsid w:val="00C5111F"/>
    <w:rsid w:val="00C511C0"/>
    <w:rsid w:val="00C5123A"/>
    <w:rsid w:val="00C5147F"/>
    <w:rsid w:val="00C514FA"/>
    <w:rsid w:val="00C515A3"/>
    <w:rsid w:val="00C5177C"/>
    <w:rsid w:val="00C518F4"/>
    <w:rsid w:val="00C5197C"/>
    <w:rsid w:val="00C51C1A"/>
    <w:rsid w:val="00C51C9E"/>
    <w:rsid w:val="00C51FE5"/>
    <w:rsid w:val="00C5211A"/>
    <w:rsid w:val="00C522C2"/>
    <w:rsid w:val="00C523BF"/>
    <w:rsid w:val="00C526C5"/>
    <w:rsid w:val="00C528C3"/>
    <w:rsid w:val="00C528E4"/>
    <w:rsid w:val="00C52A0C"/>
    <w:rsid w:val="00C52A37"/>
    <w:rsid w:val="00C52AC0"/>
    <w:rsid w:val="00C52B8C"/>
    <w:rsid w:val="00C52BEB"/>
    <w:rsid w:val="00C52C16"/>
    <w:rsid w:val="00C52D19"/>
    <w:rsid w:val="00C52D35"/>
    <w:rsid w:val="00C52F2B"/>
    <w:rsid w:val="00C53059"/>
    <w:rsid w:val="00C530A9"/>
    <w:rsid w:val="00C530D2"/>
    <w:rsid w:val="00C53157"/>
    <w:rsid w:val="00C531F7"/>
    <w:rsid w:val="00C535A3"/>
    <w:rsid w:val="00C536A1"/>
    <w:rsid w:val="00C536B5"/>
    <w:rsid w:val="00C536D8"/>
    <w:rsid w:val="00C53797"/>
    <w:rsid w:val="00C5386F"/>
    <w:rsid w:val="00C538D4"/>
    <w:rsid w:val="00C53942"/>
    <w:rsid w:val="00C5395D"/>
    <w:rsid w:val="00C5398C"/>
    <w:rsid w:val="00C53AF6"/>
    <w:rsid w:val="00C53B84"/>
    <w:rsid w:val="00C53E81"/>
    <w:rsid w:val="00C53F9F"/>
    <w:rsid w:val="00C541D3"/>
    <w:rsid w:val="00C541E8"/>
    <w:rsid w:val="00C5425B"/>
    <w:rsid w:val="00C5426C"/>
    <w:rsid w:val="00C542E0"/>
    <w:rsid w:val="00C54311"/>
    <w:rsid w:val="00C543D9"/>
    <w:rsid w:val="00C54671"/>
    <w:rsid w:val="00C5476D"/>
    <w:rsid w:val="00C5491D"/>
    <w:rsid w:val="00C54C27"/>
    <w:rsid w:val="00C54C9D"/>
    <w:rsid w:val="00C54E9C"/>
    <w:rsid w:val="00C54F58"/>
    <w:rsid w:val="00C54F98"/>
    <w:rsid w:val="00C55036"/>
    <w:rsid w:val="00C551E4"/>
    <w:rsid w:val="00C5539D"/>
    <w:rsid w:val="00C55408"/>
    <w:rsid w:val="00C55629"/>
    <w:rsid w:val="00C5568B"/>
    <w:rsid w:val="00C55718"/>
    <w:rsid w:val="00C557D8"/>
    <w:rsid w:val="00C55868"/>
    <w:rsid w:val="00C558B5"/>
    <w:rsid w:val="00C55950"/>
    <w:rsid w:val="00C55C44"/>
    <w:rsid w:val="00C55E29"/>
    <w:rsid w:val="00C55E39"/>
    <w:rsid w:val="00C55F4B"/>
    <w:rsid w:val="00C56046"/>
    <w:rsid w:val="00C56075"/>
    <w:rsid w:val="00C5617B"/>
    <w:rsid w:val="00C563C4"/>
    <w:rsid w:val="00C563C7"/>
    <w:rsid w:val="00C564BD"/>
    <w:rsid w:val="00C5655D"/>
    <w:rsid w:val="00C566AB"/>
    <w:rsid w:val="00C5672B"/>
    <w:rsid w:val="00C5676E"/>
    <w:rsid w:val="00C567D8"/>
    <w:rsid w:val="00C568B1"/>
    <w:rsid w:val="00C56973"/>
    <w:rsid w:val="00C56B92"/>
    <w:rsid w:val="00C56E27"/>
    <w:rsid w:val="00C56F80"/>
    <w:rsid w:val="00C57022"/>
    <w:rsid w:val="00C57164"/>
    <w:rsid w:val="00C571B5"/>
    <w:rsid w:val="00C572DE"/>
    <w:rsid w:val="00C5732E"/>
    <w:rsid w:val="00C5741F"/>
    <w:rsid w:val="00C574F4"/>
    <w:rsid w:val="00C57843"/>
    <w:rsid w:val="00C57BC3"/>
    <w:rsid w:val="00C57C6E"/>
    <w:rsid w:val="00C57D46"/>
    <w:rsid w:val="00C57D92"/>
    <w:rsid w:val="00C57DAA"/>
    <w:rsid w:val="00C57E4A"/>
    <w:rsid w:val="00C57E68"/>
    <w:rsid w:val="00C57F56"/>
    <w:rsid w:val="00C57F6D"/>
    <w:rsid w:val="00C57F8F"/>
    <w:rsid w:val="00C6009E"/>
    <w:rsid w:val="00C600A4"/>
    <w:rsid w:val="00C601D0"/>
    <w:rsid w:val="00C603B6"/>
    <w:rsid w:val="00C60405"/>
    <w:rsid w:val="00C60528"/>
    <w:rsid w:val="00C60652"/>
    <w:rsid w:val="00C608AF"/>
    <w:rsid w:val="00C608E0"/>
    <w:rsid w:val="00C60ABF"/>
    <w:rsid w:val="00C60B93"/>
    <w:rsid w:val="00C60C66"/>
    <w:rsid w:val="00C60C79"/>
    <w:rsid w:val="00C60DA2"/>
    <w:rsid w:val="00C60DC8"/>
    <w:rsid w:val="00C60E2E"/>
    <w:rsid w:val="00C60FE6"/>
    <w:rsid w:val="00C61233"/>
    <w:rsid w:val="00C612FD"/>
    <w:rsid w:val="00C615FB"/>
    <w:rsid w:val="00C61669"/>
    <w:rsid w:val="00C616DC"/>
    <w:rsid w:val="00C616F0"/>
    <w:rsid w:val="00C61943"/>
    <w:rsid w:val="00C619C0"/>
    <w:rsid w:val="00C61C50"/>
    <w:rsid w:val="00C61C9C"/>
    <w:rsid w:val="00C61DB9"/>
    <w:rsid w:val="00C61E06"/>
    <w:rsid w:val="00C61F8C"/>
    <w:rsid w:val="00C61FD8"/>
    <w:rsid w:val="00C62076"/>
    <w:rsid w:val="00C6215E"/>
    <w:rsid w:val="00C62237"/>
    <w:rsid w:val="00C6236F"/>
    <w:rsid w:val="00C62378"/>
    <w:rsid w:val="00C62386"/>
    <w:rsid w:val="00C623BF"/>
    <w:rsid w:val="00C62507"/>
    <w:rsid w:val="00C627B3"/>
    <w:rsid w:val="00C628E8"/>
    <w:rsid w:val="00C62BF3"/>
    <w:rsid w:val="00C62CA5"/>
    <w:rsid w:val="00C62D03"/>
    <w:rsid w:val="00C62D7B"/>
    <w:rsid w:val="00C62DB5"/>
    <w:rsid w:val="00C62DB6"/>
    <w:rsid w:val="00C62ED8"/>
    <w:rsid w:val="00C62ED9"/>
    <w:rsid w:val="00C62F1D"/>
    <w:rsid w:val="00C630A5"/>
    <w:rsid w:val="00C6310F"/>
    <w:rsid w:val="00C63152"/>
    <w:rsid w:val="00C63404"/>
    <w:rsid w:val="00C63439"/>
    <w:rsid w:val="00C63575"/>
    <w:rsid w:val="00C6361E"/>
    <w:rsid w:val="00C63627"/>
    <w:rsid w:val="00C638EE"/>
    <w:rsid w:val="00C639A7"/>
    <w:rsid w:val="00C639EA"/>
    <w:rsid w:val="00C63C9C"/>
    <w:rsid w:val="00C63D5A"/>
    <w:rsid w:val="00C63E44"/>
    <w:rsid w:val="00C63F32"/>
    <w:rsid w:val="00C63FD6"/>
    <w:rsid w:val="00C640EC"/>
    <w:rsid w:val="00C6419E"/>
    <w:rsid w:val="00C642AB"/>
    <w:rsid w:val="00C64325"/>
    <w:rsid w:val="00C644A4"/>
    <w:rsid w:val="00C644F3"/>
    <w:rsid w:val="00C645EA"/>
    <w:rsid w:val="00C6468D"/>
    <w:rsid w:val="00C648B6"/>
    <w:rsid w:val="00C648EF"/>
    <w:rsid w:val="00C64B2B"/>
    <w:rsid w:val="00C64CBD"/>
    <w:rsid w:val="00C64CC1"/>
    <w:rsid w:val="00C64D62"/>
    <w:rsid w:val="00C64EC6"/>
    <w:rsid w:val="00C64EEB"/>
    <w:rsid w:val="00C65058"/>
    <w:rsid w:val="00C65126"/>
    <w:rsid w:val="00C65187"/>
    <w:rsid w:val="00C65247"/>
    <w:rsid w:val="00C65307"/>
    <w:rsid w:val="00C65384"/>
    <w:rsid w:val="00C653F2"/>
    <w:rsid w:val="00C653FD"/>
    <w:rsid w:val="00C6549C"/>
    <w:rsid w:val="00C6555F"/>
    <w:rsid w:val="00C65596"/>
    <w:rsid w:val="00C655C9"/>
    <w:rsid w:val="00C6569B"/>
    <w:rsid w:val="00C6570A"/>
    <w:rsid w:val="00C6582D"/>
    <w:rsid w:val="00C658D5"/>
    <w:rsid w:val="00C658DC"/>
    <w:rsid w:val="00C65917"/>
    <w:rsid w:val="00C65A9A"/>
    <w:rsid w:val="00C65ABC"/>
    <w:rsid w:val="00C65B64"/>
    <w:rsid w:val="00C65C45"/>
    <w:rsid w:val="00C65CA4"/>
    <w:rsid w:val="00C65CAC"/>
    <w:rsid w:val="00C65D9E"/>
    <w:rsid w:val="00C65F88"/>
    <w:rsid w:val="00C65FBB"/>
    <w:rsid w:val="00C661B5"/>
    <w:rsid w:val="00C663BE"/>
    <w:rsid w:val="00C6652E"/>
    <w:rsid w:val="00C665BE"/>
    <w:rsid w:val="00C66820"/>
    <w:rsid w:val="00C66B40"/>
    <w:rsid w:val="00C66C1A"/>
    <w:rsid w:val="00C66C49"/>
    <w:rsid w:val="00C66DA2"/>
    <w:rsid w:val="00C66DFE"/>
    <w:rsid w:val="00C66E7D"/>
    <w:rsid w:val="00C671AE"/>
    <w:rsid w:val="00C671C6"/>
    <w:rsid w:val="00C6729C"/>
    <w:rsid w:val="00C672C8"/>
    <w:rsid w:val="00C673A2"/>
    <w:rsid w:val="00C6742F"/>
    <w:rsid w:val="00C6762F"/>
    <w:rsid w:val="00C676AD"/>
    <w:rsid w:val="00C676E5"/>
    <w:rsid w:val="00C6790F"/>
    <w:rsid w:val="00C67A28"/>
    <w:rsid w:val="00C67BA3"/>
    <w:rsid w:val="00C67C01"/>
    <w:rsid w:val="00C67C9B"/>
    <w:rsid w:val="00C67CD5"/>
    <w:rsid w:val="00C67D4E"/>
    <w:rsid w:val="00C67E49"/>
    <w:rsid w:val="00C67E9F"/>
    <w:rsid w:val="00C70069"/>
    <w:rsid w:val="00C70133"/>
    <w:rsid w:val="00C7034C"/>
    <w:rsid w:val="00C703FB"/>
    <w:rsid w:val="00C7043D"/>
    <w:rsid w:val="00C706BE"/>
    <w:rsid w:val="00C708EA"/>
    <w:rsid w:val="00C709BA"/>
    <w:rsid w:val="00C70A4D"/>
    <w:rsid w:val="00C70EAD"/>
    <w:rsid w:val="00C71010"/>
    <w:rsid w:val="00C71195"/>
    <w:rsid w:val="00C711CA"/>
    <w:rsid w:val="00C71274"/>
    <w:rsid w:val="00C71484"/>
    <w:rsid w:val="00C71563"/>
    <w:rsid w:val="00C715BE"/>
    <w:rsid w:val="00C7171C"/>
    <w:rsid w:val="00C71826"/>
    <w:rsid w:val="00C718CA"/>
    <w:rsid w:val="00C719DF"/>
    <w:rsid w:val="00C71B1A"/>
    <w:rsid w:val="00C71C83"/>
    <w:rsid w:val="00C71C9B"/>
    <w:rsid w:val="00C71C9C"/>
    <w:rsid w:val="00C71DA1"/>
    <w:rsid w:val="00C71E93"/>
    <w:rsid w:val="00C71F00"/>
    <w:rsid w:val="00C72070"/>
    <w:rsid w:val="00C720A3"/>
    <w:rsid w:val="00C72140"/>
    <w:rsid w:val="00C722F5"/>
    <w:rsid w:val="00C7240E"/>
    <w:rsid w:val="00C7254E"/>
    <w:rsid w:val="00C726E0"/>
    <w:rsid w:val="00C7278F"/>
    <w:rsid w:val="00C727AC"/>
    <w:rsid w:val="00C728FD"/>
    <w:rsid w:val="00C72987"/>
    <w:rsid w:val="00C72AB1"/>
    <w:rsid w:val="00C72CA6"/>
    <w:rsid w:val="00C72F3D"/>
    <w:rsid w:val="00C7302C"/>
    <w:rsid w:val="00C730AB"/>
    <w:rsid w:val="00C73156"/>
    <w:rsid w:val="00C731D8"/>
    <w:rsid w:val="00C731FE"/>
    <w:rsid w:val="00C73286"/>
    <w:rsid w:val="00C732A6"/>
    <w:rsid w:val="00C732E8"/>
    <w:rsid w:val="00C73341"/>
    <w:rsid w:val="00C73566"/>
    <w:rsid w:val="00C7357A"/>
    <w:rsid w:val="00C73646"/>
    <w:rsid w:val="00C737E5"/>
    <w:rsid w:val="00C73844"/>
    <w:rsid w:val="00C738A2"/>
    <w:rsid w:val="00C73ACB"/>
    <w:rsid w:val="00C73B1B"/>
    <w:rsid w:val="00C73B20"/>
    <w:rsid w:val="00C73BD3"/>
    <w:rsid w:val="00C73CC1"/>
    <w:rsid w:val="00C73D16"/>
    <w:rsid w:val="00C73EAF"/>
    <w:rsid w:val="00C74000"/>
    <w:rsid w:val="00C7405B"/>
    <w:rsid w:val="00C74111"/>
    <w:rsid w:val="00C7432D"/>
    <w:rsid w:val="00C7442D"/>
    <w:rsid w:val="00C74692"/>
    <w:rsid w:val="00C747AE"/>
    <w:rsid w:val="00C7498D"/>
    <w:rsid w:val="00C749E1"/>
    <w:rsid w:val="00C74AEC"/>
    <w:rsid w:val="00C74E16"/>
    <w:rsid w:val="00C74EE2"/>
    <w:rsid w:val="00C74F28"/>
    <w:rsid w:val="00C750DA"/>
    <w:rsid w:val="00C752DA"/>
    <w:rsid w:val="00C7538D"/>
    <w:rsid w:val="00C7538F"/>
    <w:rsid w:val="00C7545E"/>
    <w:rsid w:val="00C757C6"/>
    <w:rsid w:val="00C75A62"/>
    <w:rsid w:val="00C75ABC"/>
    <w:rsid w:val="00C75B65"/>
    <w:rsid w:val="00C75CA1"/>
    <w:rsid w:val="00C75D65"/>
    <w:rsid w:val="00C75EC1"/>
    <w:rsid w:val="00C761A9"/>
    <w:rsid w:val="00C7622C"/>
    <w:rsid w:val="00C76242"/>
    <w:rsid w:val="00C762C4"/>
    <w:rsid w:val="00C76652"/>
    <w:rsid w:val="00C766C9"/>
    <w:rsid w:val="00C76727"/>
    <w:rsid w:val="00C76AA4"/>
    <w:rsid w:val="00C76ACB"/>
    <w:rsid w:val="00C76AD6"/>
    <w:rsid w:val="00C76B3F"/>
    <w:rsid w:val="00C76B6D"/>
    <w:rsid w:val="00C76DA1"/>
    <w:rsid w:val="00C76E52"/>
    <w:rsid w:val="00C76EB3"/>
    <w:rsid w:val="00C76F21"/>
    <w:rsid w:val="00C76F8C"/>
    <w:rsid w:val="00C771FF"/>
    <w:rsid w:val="00C77259"/>
    <w:rsid w:val="00C7733B"/>
    <w:rsid w:val="00C77421"/>
    <w:rsid w:val="00C774C6"/>
    <w:rsid w:val="00C774CA"/>
    <w:rsid w:val="00C77547"/>
    <w:rsid w:val="00C77783"/>
    <w:rsid w:val="00C7780B"/>
    <w:rsid w:val="00C77824"/>
    <w:rsid w:val="00C77844"/>
    <w:rsid w:val="00C77B27"/>
    <w:rsid w:val="00C77BD6"/>
    <w:rsid w:val="00C77D71"/>
    <w:rsid w:val="00C77D90"/>
    <w:rsid w:val="00C77ED8"/>
    <w:rsid w:val="00C77F36"/>
    <w:rsid w:val="00C80089"/>
    <w:rsid w:val="00C800FF"/>
    <w:rsid w:val="00C80406"/>
    <w:rsid w:val="00C8040E"/>
    <w:rsid w:val="00C80610"/>
    <w:rsid w:val="00C806A6"/>
    <w:rsid w:val="00C806E2"/>
    <w:rsid w:val="00C806F5"/>
    <w:rsid w:val="00C8076E"/>
    <w:rsid w:val="00C8078F"/>
    <w:rsid w:val="00C807ED"/>
    <w:rsid w:val="00C80884"/>
    <w:rsid w:val="00C808E7"/>
    <w:rsid w:val="00C8090E"/>
    <w:rsid w:val="00C80944"/>
    <w:rsid w:val="00C809BA"/>
    <w:rsid w:val="00C80B1B"/>
    <w:rsid w:val="00C80BDF"/>
    <w:rsid w:val="00C80CD1"/>
    <w:rsid w:val="00C80D13"/>
    <w:rsid w:val="00C80D96"/>
    <w:rsid w:val="00C80ED7"/>
    <w:rsid w:val="00C80FFD"/>
    <w:rsid w:val="00C81037"/>
    <w:rsid w:val="00C811E5"/>
    <w:rsid w:val="00C8122A"/>
    <w:rsid w:val="00C812C9"/>
    <w:rsid w:val="00C816AD"/>
    <w:rsid w:val="00C817E5"/>
    <w:rsid w:val="00C8184B"/>
    <w:rsid w:val="00C8185D"/>
    <w:rsid w:val="00C81917"/>
    <w:rsid w:val="00C8195F"/>
    <w:rsid w:val="00C8199B"/>
    <w:rsid w:val="00C81B32"/>
    <w:rsid w:val="00C81B44"/>
    <w:rsid w:val="00C81B5A"/>
    <w:rsid w:val="00C81CDE"/>
    <w:rsid w:val="00C825F5"/>
    <w:rsid w:val="00C82626"/>
    <w:rsid w:val="00C82722"/>
    <w:rsid w:val="00C82932"/>
    <w:rsid w:val="00C82AAC"/>
    <w:rsid w:val="00C82E1B"/>
    <w:rsid w:val="00C82F08"/>
    <w:rsid w:val="00C82F49"/>
    <w:rsid w:val="00C83013"/>
    <w:rsid w:val="00C83090"/>
    <w:rsid w:val="00C8314B"/>
    <w:rsid w:val="00C831A4"/>
    <w:rsid w:val="00C83243"/>
    <w:rsid w:val="00C83382"/>
    <w:rsid w:val="00C834A2"/>
    <w:rsid w:val="00C835E2"/>
    <w:rsid w:val="00C836F3"/>
    <w:rsid w:val="00C83834"/>
    <w:rsid w:val="00C8388B"/>
    <w:rsid w:val="00C83915"/>
    <w:rsid w:val="00C83923"/>
    <w:rsid w:val="00C83B29"/>
    <w:rsid w:val="00C83B32"/>
    <w:rsid w:val="00C83DBB"/>
    <w:rsid w:val="00C83EEE"/>
    <w:rsid w:val="00C83F72"/>
    <w:rsid w:val="00C84128"/>
    <w:rsid w:val="00C841EF"/>
    <w:rsid w:val="00C8428A"/>
    <w:rsid w:val="00C84357"/>
    <w:rsid w:val="00C844E8"/>
    <w:rsid w:val="00C84561"/>
    <w:rsid w:val="00C847C8"/>
    <w:rsid w:val="00C8486A"/>
    <w:rsid w:val="00C8499E"/>
    <w:rsid w:val="00C849F0"/>
    <w:rsid w:val="00C84D77"/>
    <w:rsid w:val="00C85017"/>
    <w:rsid w:val="00C851B0"/>
    <w:rsid w:val="00C852B3"/>
    <w:rsid w:val="00C85325"/>
    <w:rsid w:val="00C8562A"/>
    <w:rsid w:val="00C85975"/>
    <w:rsid w:val="00C85AF6"/>
    <w:rsid w:val="00C85CA5"/>
    <w:rsid w:val="00C85CCA"/>
    <w:rsid w:val="00C85FE4"/>
    <w:rsid w:val="00C860CB"/>
    <w:rsid w:val="00C861D9"/>
    <w:rsid w:val="00C862F4"/>
    <w:rsid w:val="00C862FF"/>
    <w:rsid w:val="00C863FD"/>
    <w:rsid w:val="00C8640B"/>
    <w:rsid w:val="00C864F2"/>
    <w:rsid w:val="00C8651E"/>
    <w:rsid w:val="00C869CC"/>
    <w:rsid w:val="00C86A7F"/>
    <w:rsid w:val="00C86C4D"/>
    <w:rsid w:val="00C86C57"/>
    <w:rsid w:val="00C86D76"/>
    <w:rsid w:val="00C86DCE"/>
    <w:rsid w:val="00C86E1C"/>
    <w:rsid w:val="00C86E23"/>
    <w:rsid w:val="00C86F8E"/>
    <w:rsid w:val="00C87047"/>
    <w:rsid w:val="00C874A7"/>
    <w:rsid w:val="00C877C7"/>
    <w:rsid w:val="00C877F2"/>
    <w:rsid w:val="00C87A46"/>
    <w:rsid w:val="00C87DB8"/>
    <w:rsid w:val="00C87DD2"/>
    <w:rsid w:val="00C87E36"/>
    <w:rsid w:val="00C87EBF"/>
    <w:rsid w:val="00C87F13"/>
    <w:rsid w:val="00C87FA2"/>
    <w:rsid w:val="00C87FA5"/>
    <w:rsid w:val="00C90422"/>
    <w:rsid w:val="00C905C8"/>
    <w:rsid w:val="00C90642"/>
    <w:rsid w:val="00C906FA"/>
    <w:rsid w:val="00C90851"/>
    <w:rsid w:val="00C908F2"/>
    <w:rsid w:val="00C90A11"/>
    <w:rsid w:val="00C90B3E"/>
    <w:rsid w:val="00C90D10"/>
    <w:rsid w:val="00C90DA2"/>
    <w:rsid w:val="00C90DF7"/>
    <w:rsid w:val="00C90E70"/>
    <w:rsid w:val="00C91083"/>
    <w:rsid w:val="00C91176"/>
    <w:rsid w:val="00C9124A"/>
    <w:rsid w:val="00C912AE"/>
    <w:rsid w:val="00C91363"/>
    <w:rsid w:val="00C91538"/>
    <w:rsid w:val="00C9155A"/>
    <w:rsid w:val="00C91845"/>
    <w:rsid w:val="00C91955"/>
    <w:rsid w:val="00C91A02"/>
    <w:rsid w:val="00C91B6C"/>
    <w:rsid w:val="00C91D2D"/>
    <w:rsid w:val="00C91ECE"/>
    <w:rsid w:val="00C91F3B"/>
    <w:rsid w:val="00C92044"/>
    <w:rsid w:val="00C9209A"/>
    <w:rsid w:val="00C92130"/>
    <w:rsid w:val="00C921E3"/>
    <w:rsid w:val="00C9224F"/>
    <w:rsid w:val="00C92309"/>
    <w:rsid w:val="00C92449"/>
    <w:rsid w:val="00C92539"/>
    <w:rsid w:val="00C926D7"/>
    <w:rsid w:val="00C928C8"/>
    <w:rsid w:val="00C929AC"/>
    <w:rsid w:val="00C929F0"/>
    <w:rsid w:val="00C92E15"/>
    <w:rsid w:val="00C92FE1"/>
    <w:rsid w:val="00C93041"/>
    <w:rsid w:val="00C930C9"/>
    <w:rsid w:val="00C93246"/>
    <w:rsid w:val="00C9337B"/>
    <w:rsid w:val="00C93398"/>
    <w:rsid w:val="00C933E3"/>
    <w:rsid w:val="00C93516"/>
    <w:rsid w:val="00C93537"/>
    <w:rsid w:val="00C93548"/>
    <w:rsid w:val="00C935AC"/>
    <w:rsid w:val="00C9380B"/>
    <w:rsid w:val="00C9389A"/>
    <w:rsid w:val="00C939E2"/>
    <w:rsid w:val="00C93A77"/>
    <w:rsid w:val="00C93AF4"/>
    <w:rsid w:val="00C93ECA"/>
    <w:rsid w:val="00C93F2E"/>
    <w:rsid w:val="00C93FF5"/>
    <w:rsid w:val="00C93FFB"/>
    <w:rsid w:val="00C94268"/>
    <w:rsid w:val="00C942D4"/>
    <w:rsid w:val="00C94335"/>
    <w:rsid w:val="00C9457D"/>
    <w:rsid w:val="00C94694"/>
    <w:rsid w:val="00C94859"/>
    <w:rsid w:val="00C9489E"/>
    <w:rsid w:val="00C9494D"/>
    <w:rsid w:val="00C949FE"/>
    <w:rsid w:val="00C94AB7"/>
    <w:rsid w:val="00C94B4D"/>
    <w:rsid w:val="00C94BA9"/>
    <w:rsid w:val="00C94BC6"/>
    <w:rsid w:val="00C94C71"/>
    <w:rsid w:val="00C94CEF"/>
    <w:rsid w:val="00C94DC7"/>
    <w:rsid w:val="00C94DDC"/>
    <w:rsid w:val="00C94ECC"/>
    <w:rsid w:val="00C94EF9"/>
    <w:rsid w:val="00C94F14"/>
    <w:rsid w:val="00C94F91"/>
    <w:rsid w:val="00C9507E"/>
    <w:rsid w:val="00C9514E"/>
    <w:rsid w:val="00C95181"/>
    <w:rsid w:val="00C95304"/>
    <w:rsid w:val="00C9530B"/>
    <w:rsid w:val="00C953A4"/>
    <w:rsid w:val="00C954BC"/>
    <w:rsid w:val="00C95548"/>
    <w:rsid w:val="00C9566F"/>
    <w:rsid w:val="00C95690"/>
    <w:rsid w:val="00C95980"/>
    <w:rsid w:val="00C95BBC"/>
    <w:rsid w:val="00C95C1C"/>
    <w:rsid w:val="00C95D15"/>
    <w:rsid w:val="00C95D64"/>
    <w:rsid w:val="00C95E62"/>
    <w:rsid w:val="00C95EE5"/>
    <w:rsid w:val="00C95F9C"/>
    <w:rsid w:val="00C95FA9"/>
    <w:rsid w:val="00C95FF3"/>
    <w:rsid w:val="00C960B1"/>
    <w:rsid w:val="00C9618E"/>
    <w:rsid w:val="00C961A2"/>
    <w:rsid w:val="00C96355"/>
    <w:rsid w:val="00C963CA"/>
    <w:rsid w:val="00C9649F"/>
    <w:rsid w:val="00C9658C"/>
    <w:rsid w:val="00C967EB"/>
    <w:rsid w:val="00C96A41"/>
    <w:rsid w:val="00C96C8E"/>
    <w:rsid w:val="00C96CBA"/>
    <w:rsid w:val="00C96CD0"/>
    <w:rsid w:val="00C96D20"/>
    <w:rsid w:val="00C96D29"/>
    <w:rsid w:val="00C96DAB"/>
    <w:rsid w:val="00C96F0C"/>
    <w:rsid w:val="00C96F31"/>
    <w:rsid w:val="00C971F5"/>
    <w:rsid w:val="00C973E0"/>
    <w:rsid w:val="00C97441"/>
    <w:rsid w:val="00C975E5"/>
    <w:rsid w:val="00C97852"/>
    <w:rsid w:val="00C97863"/>
    <w:rsid w:val="00C97911"/>
    <w:rsid w:val="00C97CAF"/>
    <w:rsid w:val="00C97D47"/>
    <w:rsid w:val="00C97D76"/>
    <w:rsid w:val="00C97E1E"/>
    <w:rsid w:val="00C97EDC"/>
    <w:rsid w:val="00C97FA3"/>
    <w:rsid w:val="00CA0080"/>
    <w:rsid w:val="00CA00A0"/>
    <w:rsid w:val="00CA0153"/>
    <w:rsid w:val="00CA02B7"/>
    <w:rsid w:val="00CA03B8"/>
    <w:rsid w:val="00CA03C7"/>
    <w:rsid w:val="00CA03F7"/>
    <w:rsid w:val="00CA0485"/>
    <w:rsid w:val="00CA0491"/>
    <w:rsid w:val="00CA04F7"/>
    <w:rsid w:val="00CA067C"/>
    <w:rsid w:val="00CA07AF"/>
    <w:rsid w:val="00CA0CD8"/>
    <w:rsid w:val="00CA0DE2"/>
    <w:rsid w:val="00CA0E54"/>
    <w:rsid w:val="00CA0E89"/>
    <w:rsid w:val="00CA0F4A"/>
    <w:rsid w:val="00CA0F88"/>
    <w:rsid w:val="00CA0FCE"/>
    <w:rsid w:val="00CA12D6"/>
    <w:rsid w:val="00CA1304"/>
    <w:rsid w:val="00CA132E"/>
    <w:rsid w:val="00CA150A"/>
    <w:rsid w:val="00CA1624"/>
    <w:rsid w:val="00CA16AF"/>
    <w:rsid w:val="00CA171E"/>
    <w:rsid w:val="00CA1802"/>
    <w:rsid w:val="00CA1863"/>
    <w:rsid w:val="00CA18C9"/>
    <w:rsid w:val="00CA1970"/>
    <w:rsid w:val="00CA19A3"/>
    <w:rsid w:val="00CA1A4D"/>
    <w:rsid w:val="00CA1A95"/>
    <w:rsid w:val="00CA1ACA"/>
    <w:rsid w:val="00CA1AE0"/>
    <w:rsid w:val="00CA1BA2"/>
    <w:rsid w:val="00CA1E29"/>
    <w:rsid w:val="00CA1EAD"/>
    <w:rsid w:val="00CA214C"/>
    <w:rsid w:val="00CA2181"/>
    <w:rsid w:val="00CA21AD"/>
    <w:rsid w:val="00CA2201"/>
    <w:rsid w:val="00CA23D5"/>
    <w:rsid w:val="00CA2557"/>
    <w:rsid w:val="00CA2772"/>
    <w:rsid w:val="00CA28DF"/>
    <w:rsid w:val="00CA29EC"/>
    <w:rsid w:val="00CA2D2A"/>
    <w:rsid w:val="00CA2D2F"/>
    <w:rsid w:val="00CA2D6E"/>
    <w:rsid w:val="00CA2DDD"/>
    <w:rsid w:val="00CA2E30"/>
    <w:rsid w:val="00CA3101"/>
    <w:rsid w:val="00CA35BE"/>
    <w:rsid w:val="00CA3818"/>
    <w:rsid w:val="00CA3AE3"/>
    <w:rsid w:val="00CA3B33"/>
    <w:rsid w:val="00CA404D"/>
    <w:rsid w:val="00CA412B"/>
    <w:rsid w:val="00CA41B3"/>
    <w:rsid w:val="00CA4282"/>
    <w:rsid w:val="00CA4308"/>
    <w:rsid w:val="00CA45D7"/>
    <w:rsid w:val="00CA49D7"/>
    <w:rsid w:val="00CA4A96"/>
    <w:rsid w:val="00CA4C0F"/>
    <w:rsid w:val="00CA4C7C"/>
    <w:rsid w:val="00CA4C81"/>
    <w:rsid w:val="00CA4D16"/>
    <w:rsid w:val="00CA4D51"/>
    <w:rsid w:val="00CA4EBA"/>
    <w:rsid w:val="00CA4EE5"/>
    <w:rsid w:val="00CA4F3E"/>
    <w:rsid w:val="00CA50B3"/>
    <w:rsid w:val="00CA528F"/>
    <w:rsid w:val="00CA569C"/>
    <w:rsid w:val="00CA5788"/>
    <w:rsid w:val="00CA57B0"/>
    <w:rsid w:val="00CA586E"/>
    <w:rsid w:val="00CA597E"/>
    <w:rsid w:val="00CA5A75"/>
    <w:rsid w:val="00CA5B59"/>
    <w:rsid w:val="00CA5CB5"/>
    <w:rsid w:val="00CA5DC4"/>
    <w:rsid w:val="00CA5F24"/>
    <w:rsid w:val="00CA5F47"/>
    <w:rsid w:val="00CA601A"/>
    <w:rsid w:val="00CA630E"/>
    <w:rsid w:val="00CA637B"/>
    <w:rsid w:val="00CA64B6"/>
    <w:rsid w:val="00CA67DA"/>
    <w:rsid w:val="00CA68D1"/>
    <w:rsid w:val="00CA69E3"/>
    <w:rsid w:val="00CA6A01"/>
    <w:rsid w:val="00CA6A6A"/>
    <w:rsid w:val="00CA6BA2"/>
    <w:rsid w:val="00CA6BE8"/>
    <w:rsid w:val="00CA6DAD"/>
    <w:rsid w:val="00CA6DE1"/>
    <w:rsid w:val="00CA70CF"/>
    <w:rsid w:val="00CA72E2"/>
    <w:rsid w:val="00CA72E7"/>
    <w:rsid w:val="00CA72E8"/>
    <w:rsid w:val="00CA7513"/>
    <w:rsid w:val="00CA75DF"/>
    <w:rsid w:val="00CA774B"/>
    <w:rsid w:val="00CA7795"/>
    <w:rsid w:val="00CA7B56"/>
    <w:rsid w:val="00CA7CB2"/>
    <w:rsid w:val="00CA7DA3"/>
    <w:rsid w:val="00CA7E11"/>
    <w:rsid w:val="00CA7EB0"/>
    <w:rsid w:val="00CB0023"/>
    <w:rsid w:val="00CB0063"/>
    <w:rsid w:val="00CB0081"/>
    <w:rsid w:val="00CB04FF"/>
    <w:rsid w:val="00CB05F4"/>
    <w:rsid w:val="00CB0786"/>
    <w:rsid w:val="00CB07BF"/>
    <w:rsid w:val="00CB082A"/>
    <w:rsid w:val="00CB0869"/>
    <w:rsid w:val="00CB08AF"/>
    <w:rsid w:val="00CB09C8"/>
    <w:rsid w:val="00CB0AAA"/>
    <w:rsid w:val="00CB0B39"/>
    <w:rsid w:val="00CB0B84"/>
    <w:rsid w:val="00CB0D29"/>
    <w:rsid w:val="00CB0D2F"/>
    <w:rsid w:val="00CB0FD4"/>
    <w:rsid w:val="00CB11FF"/>
    <w:rsid w:val="00CB1213"/>
    <w:rsid w:val="00CB1622"/>
    <w:rsid w:val="00CB16B4"/>
    <w:rsid w:val="00CB16C1"/>
    <w:rsid w:val="00CB18C2"/>
    <w:rsid w:val="00CB1934"/>
    <w:rsid w:val="00CB1BE2"/>
    <w:rsid w:val="00CB1C0F"/>
    <w:rsid w:val="00CB1E39"/>
    <w:rsid w:val="00CB224E"/>
    <w:rsid w:val="00CB227C"/>
    <w:rsid w:val="00CB22B0"/>
    <w:rsid w:val="00CB22B5"/>
    <w:rsid w:val="00CB245A"/>
    <w:rsid w:val="00CB24FE"/>
    <w:rsid w:val="00CB2520"/>
    <w:rsid w:val="00CB25B0"/>
    <w:rsid w:val="00CB276A"/>
    <w:rsid w:val="00CB2867"/>
    <w:rsid w:val="00CB28E5"/>
    <w:rsid w:val="00CB2B4D"/>
    <w:rsid w:val="00CB2B60"/>
    <w:rsid w:val="00CB2C9E"/>
    <w:rsid w:val="00CB2E72"/>
    <w:rsid w:val="00CB2EC0"/>
    <w:rsid w:val="00CB2FC0"/>
    <w:rsid w:val="00CB306E"/>
    <w:rsid w:val="00CB309A"/>
    <w:rsid w:val="00CB3292"/>
    <w:rsid w:val="00CB3350"/>
    <w:rsid w:val="00CB35A2"/>
    <w:rsid w:val="00CB36DA"/>
    <w:rsid w:val="00CB375C"/>
    <w:rsid w:val="00CB3877"/>
    <w:rsid w:val="00CB3925"/>
    <w:rsid w:val="00CB39AA"/>
    <w:rsid w:val="00CB3A06"/>
    <w:rsid w:val="00CB3AF5"/>
    <w:rsid w:val="00CB3B18"/>
    <w:rsid w:val="00CB3B33"/>
    <w:rsid w:val="00CB3C3F"/>
    <w:rsid w:val="00CB3DBC"/>
    <w:rsid w:val="00CB3F3D"/>
    <w:rsid w:val="00CB41AF"/>
    <w:rsid w:val="00CB4405"/>
    <w:rsid w:val="00CB440B"/>
    <w:rsid w:val="00CB44AE"/>
    <w:rsid w:val="00CB4630"/>
    <w:rsid w:val="00CB4662"/>
    <w:rsid w:val="00CB46FB"/>
    <w:rsid w:val="00CB4E4B"/>
    <w:rsid w:val="00CB4EB0"/>
    <w:rsid w:val="00CB4EDF"/>
    <w:rsid w:val="00CB508F"/>
    <w:rsid w:val="00CB51EE"/>
    <w:rsid w:val="00CB52B5"/>
    <w:rsid w:val="00CB5350"/>
    <w:rsid w:val="00CB541B"/>
    <w:rsid w:val="00CB54E4"/>
    <w:rsid w:val="00CB54ED"/>
    <w:rsid w:val="00CB5503"/>
    <w:rsid w:val="00CB5605"/>
    <w:rsid w:val="00CB56E1"/>
    <w:rsid w:val="00CB575E"/>
    <w:rsid w:val="00CB5A58"/>
    <w:rsid w:val="00CB5BE8"/>
    <w:rsid w:val="00CB5C79"/>
    <w:rsid w:val="00CB5CA4"/>
    <w:rsid w:val="00CB5D81"/>
    <w:rsid w:val="00CB5E48"/>
    <w:rsid w:val="00CB5EC0"/>
    <w:rsid w:val="00CB5FEA"/>
    <w:rsid w:val="00CB6117"/>
    <w:rsid w:val="00CB62B5"/>
    <w:rsid w:val="00CB6516"/>
    <w:rsid w:val="00CB6613"/>
    <w:rsid w:val="00CB66B4"/>
    <w:rsid w:val="00CB66C4"/>
    <w:rsid w:val="00CB68DA"/>
    <w:rsid w:val="00CB690D"/>
    <w:rsid w:val="00CB6AA7"/>
    <w:rsid w:val="00CB6BA8"/>
    <w:rsid w:val="00CB6BCF"/>
    <w:rsid w:val="00CB6C0B"/>
    <w:rsid w:val="00CB6C18"/>
    <w:rsid w:val="00CB6DBF"/>
    <w:rsid w:val="00CB6E6B"/>
    <w:rsid w:val="00CB6EAB"/>
    <w:rsid w:val="00CB6EDF"/>
    <w:rsid w:val="00CB6F1F"/>
    <w:rsid w:val="00CB71CE"/>
    <w:rsid w:val="00CB7501"/>
    <w:rsid w:val="00CB75BA"/>
    <w:rsid w:val="00CB75F1"/>
    <w:rsid w:val="00CB7606"/>
    <w:rsid w:val="00CB7670"/>
    <w:rsid w:val="00CB76A5"/>
    <w:rsid w:val="00CB78C8"/>
    <w:rsid w:val="00CB794A"/>
    <w:rsid w:val="00CB7953"/>
    <w:rsid w:val="00CB7A86"/>
    <w:rsid w:val="00CB7B73"/>
    <w:rsid w:val="00CB7BF3"/>
    <w:rsid w:val="00CB7D80"/>
    <w:rsid w:val="00CB7DB9"/>
    <w:rsid w:val="00CB7E87"/>
    <w:rsid w:val="00CB7EB5"/>
    <w:rsid w:val="00CB7F61"/>
    <w:rsid w:val="00CC001F"/>
    <w:rsid w:val="00CC0051"/>
    <w:rsid w:val="00CC02DE"/>
    <w:rsid w:val="00CC0481"/>
    <w:rsid w:val="00CC064A"/>
    <w:rsid w:val="00CC08D6"/>
    <w:rsid w:val="00CC0A9F"/>
    <w:rsid w:val="00CC0B73"/>
    <w:rsid w:val="00CC0C4D"/>
    <w:rsid w:val="00CC0CD1"/>
    <w:rsid w:val="00CC0D01"/>
    <w:rsid w:val="00CC0D04"/>
    <w:rsid w:val="00CC0DAD"/>
    <w:rsid w:val="00CC0E38"/>
    <w:rsid w:val="00CC107F"/>
    <w:rsid w:val="00CC1196"/>
    <w:rsid w:val="00CC1863"/>
    <w:rsid w:val="00CC1B82"/>
    <w:rsid w:val="00CC1D87"/>
    <w:rsid w:val="00CC1D8D"/>
    <w:rsid w:val="00CC1FD0"/>
    <w:rsid w:val="00CC2356"/>
    <w:rsid w:val="00CC24F0"/>
    <w:rsid w:val="00CC28AD"/>
    <w:rsid w:val="00CC2A2B"/>
    <w:rsid w:val="00CC2B6B"/>
    <w:rsid w:val="00CC2B88"/>
    <w:rsid w:val="00CC2C69"/>
    <w:rsid w:val="00CC2C6C"/>
    <w:rsid w:val="00CC2CBD"/>
    <w:rsid w:val="00CC2CC1"/>
    <w:rsid w:val="00CC2E4E"/>
    <w:rsid w:val="00CC2EC0"/>
    <w:rsid w:val="00CC2F94"/>
    <w:rsid w:val="00CC3098"/>
    <w:rsid w:val="00CC32E8"/>
    <w:rsid w:val="00CC3439"/>
    <w:rsid w:val="00CC351E"/>
    <w:rsid w:val="00CC3852"/>
    <w:rsid w:val="00CC3869"/>
    <w:rsid w:val="00CC38BA"/>
    <w:rsid w:val="00CC38F2"/>
    <w:rsid w:val="00CC3AD1"/>
    <w:rsid w:val="00CC3D0B"/>
    <w:rsid w:val="00CC3DE5"/>
    <w:rsid w:val="00CC4031"/>
    <w:rsid w:val="00CC4085"/>
    <w:rsid w:val="00CC40CE"/>
    <w:rsid w:val="00CC43C1"/>
    <w:rsid w:val="00CC4497"/>
    <w:rsid w:val="00CC46D2"/>
    <w:rsid w:val="00CC471B"/>
    <w:rsid w:val="00CC474D"/>
    <w:rsid w:val="00CC492E"/>
    <w:rsid w:val="00CC4BF4"/>
    <w:rsid w:val="00CC4C1C"/>
    <w:rsid w:val="00CC4C24"/>
    <w:rsid w:val="00CC4CE6"/>
    <w:rsid w:val="00CC4DB8"/>
    <w:rsid w:val="00CC4E2D"/>
    <w:rsid w:val="00CC4E2E"/>
    <w:rsid w:val="00CC4E95"/>
    <w:rsid w:val="00CC4F39"/>
    <w:rsid w:val="00CC5055"/>
    <w:rsid w:val="00CC51C3"/>
    <w:rsid w:val="00CC5360"/>
    <w:rsid w:val="00CC53A5"/>
    <w:rsid w:val="00CC53F8"/>
    <w:rsid w:val="00CC542A"/>
    <w:rsid w:val="00CC54B5"/>
    <w:rsid w:val="00CC5720"/>
    <w:rsid w:val="00CC5757"/>
    <w:rsid w:val="00CC57F6"/>
    <w:rsid w:val="00CC5802"/>
    <w:rsid w:val="00CC5809"/>
    <w:rsid w:val="00CC589C"/>
    <w:rsid w:val="00CC597A"/>
    <w:rsid w:val="00CC5A60"/>
    <w:rsid w:val="00CC5A6D"/>
    <w:rsid w:val="00CC5B27"/>
    <w:rsid w:val="00CC5C53"/>
    <w:rsid w:val="00CC5C59"/>
    <w:rsid w:val="00CC5C9C"/>
    <w:rsid w:val="00CC5D73"/>
    <w:rsid w:val="00CC5D96"/>
    <w:rsid w:val="00CC6004"/>
    <w:rsid w:val="00CC6424"/>
    <w:rsid w:val="00CC64F4"/>
    <w:rsid w:val="00CC67B4"/>
    <w:rsid w:val="00CC6850"/>
    <w:rsid w:val="00CC6958"/>
    <w:rsid w:val="00CC6AFE"/>
    <w:rsid w:val="00CC6B1A"/>
    <w:rsid w:val="00CC6B2B"/>
    <w:rsid w:val="00CC6D3B"/>
    <w:rsid w:val="00CC6D6E"/>
    <w:rsid w:val="00CC6E07"/>
    <w:rsid w:val="00CC6E3A"/>
    <w:rsid w:val="00CC6EAC"/>
    <w:rsid w:val="00CC6EEC"/>
    <w:rsid w:val="00CC73D4"/>
    <w:rsid w:val="00CC74EF"/>
    <w:rsid w:val="00CC765E"/>
    <w:rsid w:val="00CC76F5"/>
    <w:rsid w:val="00CC770F"/>
    <w:rsid w:val="00CC7785"/>
    <w:rsid w:val="00CC78F6"/>
    <w:rsid w:val="00CC79F5"/>
    <w:rsid w:val="00CC7A8B"/>
    <w:rsid w:val="00CC7BF2"/>
    <w:rsid w:val="00CC7BFB"/>
    <w:rsid w:val="00CC7C36"/>
    <w:rsid w:val="00CC7E0E"/>
    <w:rsid w:val="00CC7E93"/>
    <w:rsid w:val="00CC7F55"/>
    <w:rsid w:val="00CC7F85"/>
    <w:rsid w:val="00CD00DC"/>
    <w:rsid w:val="00CD01CE"/>
    <w:rsid w:val="00CD02DD"/>
    <w:rsid w:val="00CD03BB"/>
    <w:rsid w:val="00CD03F1"/>
    <w:rsid w:val="00CD04B4"/>
    <w:rsid w:val="00CD062D"/>
    <w:rsid w:val="00CD0A94"/>
    <w:rsid w:val="00CD0A95"/>
    <w:rsid w:val="00CD0AA9"/>
    <w:rsid w:val="00CD0B88"/>
    <w:rsid w:val="00CD0BBF"/>
    <w:rsid w:val="00CD0BED"/>
    <w:rsid w:val="00CD0C15"/>
    <w:rsid w:val="00CD0DF0"/>
    <w:rsid w:val="00CD0E3A"/>
    <w:rsid w:val="00CD0F0B"/>
    <w:rsid w:val="00CD12ED"/>
    <w:rsid w:val="00CD1321"/>
    <w:rsid w:val="00CD13BE"/>
    <w:rsid w:val="00CD1470"/>
    <w:rsid w:val="00CD1639"/>
    <w:rsid w:val="00CD16A7"/>
    <w:rsid w:val="00CD1849"/>
    <w:rsid w:val="00CD1856"/>
    <w:rsid w:val="00CD19FE"/>
    <w:rsid w:val="00CD1A9A"/>
    <w:rsid w:val="00CD1C12"/>
    <w:rsid w:val="00CD1CB2"/>
    <w:rsid w:val="00CD1E8E"/>
    <w:rsid w:val="00CD20F6"/>
    <w:rsid w:val="00CD21D8"/>
    <w:rsid w:val="00CD2213"/>
    <w:rsid w:val="00CD2349"/>
    <w:rsid w:val="00CD25C9"/>
    <w:rsid w:val="00CD2798"/>
    <w:rsid w:val="00CD286C"/>
    <w:rsid w:val="00CD295F"/>
    <w:rsid w:val="00CD298B"/>
    <w:rsid w:val="00CD2A43"/>
    <w:rsid w:val="00CD2AC4"/>
    <w:rsid w:val="00CD2C94"/>
    <w:rsid w:val="00CD2D23"/>
    <w:rsid w:val="00CD2D42"/>
    <w:rsid w:val="00CD2D64"/>
    <w:rsid w:val="00CD2DF2"/>
    <w:rsid w:val="00CD2F65"/>
    <w:rsid w:val="00CD30B3"/>
    <w:rsid w:val="00CD315D"/>
    <w:rsid w:val="00CD3260"/>
    <w:rsid w:val="00CD33D3"/>
    <w:rsid w:val="00CD3442"/>
    <w:rsid w:val="00CD34D8"/>
    <w:rsid w:val="00CD35FD"/>
    <w:rsid w:val="00CD36B3"/>
    <w:rsid w:val="00CD36B7"/>
    <w:rsid w:val="00CD3727"/>
    <w:rsid w:val="00CD3738"/>
    <w:rsid w:val="00CD3741"/>
    <w:rsid w:val="00CD3759"/>
    <w:rsid w:val="00CD3833"/>
    <w:rsid w:val="00CD38D1"/>
    <w:rsid w:val="00CD3937"/>
    <w:rsid w:val="00CD3A8F"/>
    <w:rsid w:val="00CD3AAD"/>
    <w:rsid w:val="00CD3C30"/>
    <w:rsid w:val="00CD3D00"/>
    <w:rsid w:val="00CD3DE7"/>
    <w:rsid w:val="00CD3E6F"/>
    <w:rsid w:val="00CD3EA4"/>
    <w:rsid w:val="00CD3EB2"/>
    <w:rsid w:val="00CD400A"/>
    <w:rsid w:val="00CD40CB"/>
    <w:rsid w:val="00CD416C"/>
    <w:rsid w:val="00CD41B4"/>
    <w:rsid w:val="00CD42A5"/>
    <w:rsid w:val="00CD4383"/>
    <w:rsid w:val="00CD43A4"/>
    <w:rsid w:val="00CD4439"/>
    <w:rsid w:val="00CD4476"/>
    <w:rsid w:val="00CD451C"/>
    <w:rsid w:val="00CD4579"/>
    <w:rsid w:val="00CD47C4"/>
    <w:rsid w:val="00CD480E"/>
    <w:rsid w:val="00CD4810"/>
    <w:rsid w:val="00CD4A39"/>
    <w:rsid w:val="00CD4A3B"/>
    <w:rsid w:val="00CD4AFC"/>
    <w:rsid w:val="00CD4C1F"/>
    <w:rsid w:val="00CD4F1B"/>
    <w:rsid w:val="00CD5094"/>
    <w:rsid w:val="00CD50D6"/>
    <w:rsid w:val="00CD5177"/>
    <w:rsid w:val="00CD518D"/>
    <w:rsid w:val="00CD52AC"/>
    <w:rsid w:val="00CD52EF"/>
    <w:rsid w:val="00CD5417"/>
    <w:rsid w:val="00CD560A"/>
    <w:rsid w:val="00CD58E5"/>
    <w:rsid w:val="00CD595C"/>
    <w:rsid w:val="00CD5B08"/>
    <w:rsid w:val="00CD5B6B"/>
    <w:rsid w:val="00CD5D83"/>
    <w:rsid w:val="00CD5FEE"/>
    <w:rsid w:val="00CD608C"/>
    <w:rsid w:val="00CD6199"/>
    <w:rsid w:val="00CD635F"/>
    <w:rsid w:val="00CD63F8"/>
    <w:rsid w:val="00CD6621"/>
    <w:rsid w:val="00CD66B1"/>
    <w:rsid w:val="00CD6CE0"/>
    <w:rsid w:val="00CD6D6E"/>
    <w:rsid w:val="00CD6DF5"/>
    <w:rsid w:val="00CD6FCC"/>
    <w:rsid w:val="00CD6FDF"/>
    <w:rsid w:val="00CD6FE1"/>
    <w:rsid w:val="00CD7069"/>
    <w:rsid w:val="00CD742B"/>
    <w:rsid w:val="00CD76E0"/>
    <w:rsid w:val="00CD7773"/>
    <w:rsid w:val="00CD79FA"/>
    <w:rsid w:val="00CD7A1C"/>
    <w:rsid w:val="00CD7A9E"/>
    <w:rsid w:val="00CD7CFE"/>
    <w:rsid w:val="00CE031B"/>
    <w:rsid w:val="00CE03A2"/>
    <w:rsid w:val="00CE041C"/>
    <w:rsid w:val="00CE0683"/>
    <w:rsid w:val="00CE0805"/>
    <w:rsid w:val="00CE09D8"/>
    <w:rsid w:val="00CE09E9"/>
    <w:rsid w:val="00CE0A0A"/>
    <w:rsid w:val="00CE0AA7"/>
    <w:rsid w:val="00CE0C3A"/>
    <w:rsid w:val="00CE0C4F"/>
    <w:rsid w:val="00CE0C57"/>
    <w:rsid w:val="00CE10B4"/>
    <w:rsid w:val="00CE122D"/>
    <w:rsid w:val="00CE124E"/>
    <w:rsid w:val="00CE1364"/>
    <w:rsid w:val="00CE1517"/>
    <w:rsid w:val="00CE15C1"/>
    <w:rsid w:val="00CE1723"/>
    <w:rsid w:val="00CE1796"/>
    <w:rsid w:val="00CE182F"/>
    <w:rsid w:val="00CE1A94"/>
    <w:rsid w:val="00CE1B49"/>
    <w:rsid w:val="00CE1BFB"/>
    <w:rsid w:val="00CE1D1C"/>
    <w:rsid w:val="00CE1F78"/>
    <w:rsid w:val="00CE2066"/>
    <w:rsid w:val="00CE20E0"/>
    <w:rsid w:val="00CE21B0"/>
    <w:rsid w:val="00CE233E"/>
    <w:rsid w:val="00CE2418"/>
    <w:rsid w:val="00CE246F"/>
    <w:rsid w:val="00CE2519"/>
    <w:rsid w:val="00CE25CD"/>
    <w:rsid w:val="00CE25E4"/>
    <w:rsid w:val="00CE267A"/>
    <w:rsid w:val="00CE2684"/>
    <w:rsid w:val="00CE271C"/>
    <w:rsid w:val="00CE281C"/>
    <w:rsid w:val="00CE286E"/>
    <w:rsid w:val="00CE28A9"/>
    <w:rsid w:val="00CE2D42"/>
    <w:rsid w:val="00CE2D7E"/>
    <w:rsid w:val="00CE3011"/>
    <w:rsid w:val="00CE306B"/>
    <w:rsid w:val="00CE30E3"/>
    <w:rsid w:val="00CE3341"/>
    <w:rsid w:val="00CE3593"/>
    <w:rsid w:val="00CE389D"/>
    <w:rsid w:val="00CE3AF3"/>
    <w:rsid w:val="00CE3C38"/>
    <w:rsid w:val="00CE3E0A"/>
    <w:rsid w:val="00CE3E33"/>
    <w:rsid w:val="00CE3E4C"/>
    <w:rsid w:val="00CE4072"/>
    <w:rsid w:val="00CE40B2"/>
    <w:rsid w:val="00CE416E"/>
    <w:rsid w:val="00CE41B9"/>
    <w:rsid w:val="00CE42EC"/>
    <w:rsid w:val="00CE430F"/>
    <w:rsid w:val="00CE4663"/>
    <w:rsid w:val="00CE46A8"/>
    <w:rsid w:val="00CE46AE"/>
    <w:rsid w:val="00CE4773"/>
    <w:rsid w:val="00CE47DD"/>
    <w:rsid w:val="00CE4B3C"/>
    <w:rsid w:val="00CE4B7A"/>
    <w:rsid w:val="00CE4C56"/>
    <w:rsid w:val="00CE4D34"/>
    <w:rsid w:val="00CE4EA5"/>
    <w:rsid w:val="00CE4EE3"/>
    <w:rsid w:val="00CE501A"/>
    <w:rsid w:val="00CE50D1"/>
    <w:rsid w:val="00CE5142"/>
    <w:rsid w:val="00CE5426"/>
    <w:rsid w:val="00CE54A1"/>
    <w:rsid w:val="00CE54DA"/>
    <w:rsid w:val="00CE55D5"/>
    <w:rsid w:val="00CE5672"/>
    <w:rsid w:val="00CE56B6"/>
    <w:rsid w:val="00CE58DE"/>
    <w:rsid w:val="00CE593D"/>
    <w:rsid w:val="00CE5A82"/>
    <w:rsid w:val="00CE5CB1"/>
    <w:rsid w:val="00CE5EAA"/>
    <w:rsid w:val="00CE608A"/>
    <w:rsid w:val="00CE60E5"/>
    <w:rsid w:val="00CE611C"/>
    <w:rsid w:val="00CE61DC"/>
    <w:rsid w:val="00CE6239"/>
    <w:rsid w:val="00CE62D4"/>
    <w:rsid w:val="00CE642C"/>
    <w:rsid w:val="00CE697C"/>
    <w:rsid w:val="00CE6A8D"/>
    <w:rsid w:val="00CE6BEB"/>
    <w:rsid w:val="00CE6CC2"/>
    <w:rsid w:val="00CE6CC6"/>
    <w:rsid w:val="00CE6FC3"/>
    <w:rsid w:val="00CE7080"/>
    <w:rsid w:val="00CE7092"/>
    <w:rsid w:val="00CE72D8"/>
    <w:rsid w:val="00CE7377"/>
    <w:rsid w:val="00CE74AD"/>
    <w:rsid w:val="00CE755F"/>
    <w:rsid w:val="00CE7869"/>
    <w:rsid w:val="00CE7C55"/>
    <w:rsid w:val="00CE7D82"/>
    <w:rsid w:val="00CE7DF8"/>
    <w:rsid w:val="00CF0061"/>
    <w:rsid w:val="00CF0135"/>
    <w:rsid w:val="00CF01A6"/>
    <w:rsid w:val="00CF029F"/>
    <w:rsid w:val="00CF04CF"/>
    <w:rsid w:val="00CF0594"/>
    <w:rsid w:val="00CF05C9"/>
    <w:rsid w:val="00CF0748"/>
    <w:rsid w:val="00CF07D7"/>
    <w:rsid w:val="00CF081B"/>
    <w:rsid w:val="00CF0876"/>
    <w:rsid w:val="00CF0913"/>
    <w:rsid w:val="00CF0931"/>
    <w:rsid w:val="00CF0998"/>
    <w:rsid w:val="00CF0ADC"/>
    <w:rsid w:val="00CF0F4F"/>
    <w:rsid w:val="00CF1187"/>
    <w:rsid w:val="00CF1240"/>
    <w:rsid w:val="00CF13B2"/>
    <w:rsid w:val="00CF150C"/>
    <w:rsid w:val="00CF1735"/>
    <w:rsid w:val="00CF1888"/>
    <w:rsid w:val="00CF1A02"/>
    <w:rsid w:val="00CF1A65"/>
    <w:rsid w:val="00CF1A7F"/>
    <w:rsid w:val="00CF1D03"/>
    <w:rsid w:val="00CF1F5E"/>
    <w:rsid w:val="00CF22FF"/>
    <w:rsid w:val="00CF240B"/>
    <w:rsid w:val="00CF2734"/>
    <w:rsid w:val="00CF279A"/>
    <w:rsid w:val="00CF2AC4"/>
    <w:rsid w:val="00CF2B2D"/>
    <w:rsid w:val="00CF2CFE"/>
    <w:rsid w:val="00CF2D97"/>
    <w:rsid w:val="00CF2E5A"/>
    <w:rsid w:val="00CF2F47"/>
    <w:rsid w:val="00CF2F8D"/>
    <w:rsid w:val="00CF302A"/>
    <w:rsid w:val="00CF327D"/>
    <w:rsid w:val="00CF32E7"/>
    <w:rsid w:val="00CF3384"/>
    <w:rsid w:val="00CF33A5"/>
    <w:rsid w:val="00CF34F2"/>
    <w:rsid w:val="00CF37B4"/>
    <w:rsid w:val="00CF37D7"/>
    <w:rsid w:val="00CF3874"/>
    <w:rsid w:val="00CF393C"/>
    <w:rsid w:val="00CF3A76"/>
    <w:rsid w:val="00CF3E7A"/>
    <w:rsid w:val="00CF3F6C"/>
    <w:rsid w:val="00CF41BC"/>
    <w:rsid w:val="00CF4319"/>
    <w:rsid w:val="00CF43F2"/>
    <w:rsid w:val="00CF446B"/>
    <w:rsid w:val="00CF45C7"/>
    <w:rsid w:val="00CF4875"/>
    <w:rsid w:val="00CF4886"/>
    <w:rsid w:val="00CF4C1F"/>
    <w:rsid w:val="00CF4C89"/>
    <w:rsid w:val="00CF4CFE"/>
    <w:rsid w:val="00CF5022"/>
    <w:rsid w:val="00CF5067"/>
    <w:rsid w:val="00CF52AE"/>
    <w:rsid w:val="00CF5346"/>
    <w:rsid w:val="00CF535E"/>
    <w:rsid w:val="00CF53C6"/>
    <w:rsid w:val="00CF5526"/>
    <w:rsid w:val="00CF55C5"/>
    <w:rsid w:val="00CF5A57"/>
    <w:rsid w:val="00CF5BFC"/>
    <w:rsid w:val="00CF5F15"/>
    <w:rsid w:val="00CF5FF9"/>
    <w:rsid w:val="00CF602A"/>
    <w:rsid w:val="00CF612E"/>
    <w:rsid w:val="00CF625F"/>
    <w:rsid w:val="00CF6538"/>
    <w:rsid w:val="00CF6591"/>
    <w:rsid w:val="00CF6724"/>
    <w:rsid w:val="00CF6842"/>
    <w:rsid w:val="00CF6909"/>
    <w:rsid w:val="00CF694B"/>
    <w:rsid w:val="00CF6A79"/>
    <w:rsid w:val="00CF6AC3"/>
    <w:rsid w:val="00CF6CBC"/>
    <w:rsid w:val="00CF6DDF"/>
    <w:rsid w:val="00CF6E2A"/>
    <w:rsid w:val="00CF6F0E"/>
    <w:rsid w:val="00CF6FF8"/>
    <w:rsid w:val="00CF716A"/>
    <w:rsid w:val="00CF71AC"/>
    <w:rsid w:val="00CF72BA"/>
    <w:rsid w:val="00CF7367"/>
    <w:rsid w:val="00CF73BE"/>
    <w:rsid w:val="00CF75FD"/>
    <w:rsid w:val="00CF766C"/>
    <w:rsid w:val="00CF786D"/>
    <w:rsid w:val="00CF7983"/>
    <w:rsid w:val="00CF7A61"/>
    <w:rsid w:val="00CF7B25"/>
    <w:rsid w:val="00CF7BD0"/>
    <w:rsid w:val="00CF7CA2"/>
    <w:rsid w:val="00CF7F56"/>
    <w:rsid w:val="00D00025"/>
    <w:rsid w:val="00D0008A"/>
    <w:rsid w:val="00D00108"/>
    <w:rsid w:val="00D002C5"/>
    <w:rsid w:val="00D003BD"/>
    <w:rsid w:val="00D003D8"/>
    <w:rsid w:val="00D00488"/>
    <w:rsid w:val="00D004B4"/>
    <w:rsid w:val="00D0075B"/>
    <w:rsid w:val="00D00972"/>
    <w:rsid w:val="00D009A2"/>
    <w:rsid w:val="00D009C8"/>
    <w:rsid w:val="00D00B00"/>
    <w:rsid w:val="00D00B7A"/>
    <w:rsid w:val="00D00D6B"/>
    <w:rsid w:val="00D00F0F"/>
    <w:rsid w:val="00D01184"/>
    <w:rsid w:val="00D01236"/>
    <w:rsid w:val="00D01461"/>
    <w:rsid w:val="00D015C1"/>
    <w:rsid w:val="00D016A8"/>
    <w:rsid w:val="00D0178D"/>
    <w:rsid w:val="00D0194C"/>
    <w:rsid w:val="00D01AC5"/>
    <w:rsid w:val="00D01B57"/>
    <w:rsid w:val="00D01B5A"/>
    <w:rsid w:val="00D01BBA"/>
    <w:rsid w:val="00D01C6D"/>
    <w:rsid w:val="00D01D7D"/>
    <w:rsid w:val="00D01DC7"/>
    <w:rsid w:val="00D01E39"/>
    <w:rsid w:val="00D01EF7"/>
    <w:rsid w:val="00D02203"/>
    <w:rsid w:val="00D02257"/>
    <w:rsid w:val="00D02372"/>
    <w:rsid w:val="00D02588"/>
    <w:rsid w:val="00D026A3"/>
    <w:rsid w:val="00D026F7"/>
    <w:rsid w:val="00D0272C"/>
    <w:rsid w:val="00D02796"/>
    <w:rsid w:val="00D0298A"/>
    <w:rsid w:val="00D029A4"/>
    <w:rsid w:val="00D029F4"/>
    <w:rsid w:val="00D02B00"/>
    <w:rsid w:val="00D02BCA"/>
    <w:rsid w:val="00D02BEF"/>
    <w:rsid w:val="00D02D86"/>
    <w:rsid w:val="00D02EB7"/>
    <w:rsid w:val="00D02ECC"/>
    <w:rsid w:val="00D02F81"/>
    <w:rsid w:val="00D03071"/>
    <w:rsid w:val="00D03083"/>
    <w:rsid w:val="00D03583"/>
    <w:rsid w:val="00D0361B"/>
    <w:rsid w:val="00D036F9"/>
    <w:rsid w:val="00D03710"/>
    <w:rsid w:val="00D03751"/>
    <w:rsid w:val="00D03A60"/>
    <w:rsid w:val="00D03CB4"/>
    <w:rsid w:val="00D03EC7"/>
    <w:rsid w:val="00D040BA"/>
    <w:rsid w:val="00D040E8"/>
    <w:rsid w:val="00D0418C"/>
    <w:rsid w:val="00D04205"/>
    <w:rsid w:val="00D04224"/>
    <w:rsid w:val="00D043E1"/>
    <w:rsid w:val="00D04565"/>
    <w:rsid w:val="00D045D3"/>
    <w:rsid w:val="00D0467F"/>
    <w:rsid w:val="00D046B7"/>
    <w:rsid w:val="00D0485B"/>
    <w:rsid w:val="00D04A40"/>
    <w:rsid w:val="00D04A4B"/>
    <w:rsid w:val="00D04AB5"/>
    <w:rsid w:val="00D04AF9"/>
    <w:rsid w:val="00D04BAF"/>
    <w:rsid w:val="00D04BC0"/>
    <w:rsid w:val="00D04BD5"/>
    <w:rsid w:val="00D04BED"/>
    <w:rsid w:val="00D04CE6"/>
    <w:rsid w:val="00D04EA7"/>
    <w:rsid w:val="00D04F5E"/>
    <w:rsid w:val="00D05432"/>
    <w:rsid w:val="00D0545C"/>
    <w:rsid w:val="00D054BB"/>
    <w:rsid w:val="00D05711"/>
    <w:rsid w:val="00D057FC"/>
    <w:rsid w:val="00D059BE"/>
    <w:rsid w:val="00D05B65"/>
    <w:rsid w:val="00D05B73"/>
    <w:rsid w:val="00D05C18"/>
    <w:rsid w:val="00D06124"/>
    <w:rsid w:val="00D06565"/>
    <w:rsid w:val="00D0685A"/>
    <w:rsid w:val="00D06918"/>
    <w:rsid w:val="00D06930"/>
    <w:rsid w:val="00D06B29"/>
    <w:rsid w:val="00D06DB1"/>
    <w:rsid w:val="00D06E7F"/>
    <w:rsid w:val="00D06FB6"/>
    <w:rsid w:val="00D0704B"/>
    <w:rsid w:val="00D070A1"/>
    <w:rsid w:val="00D07553"/>
    <w:rsid w:val="00D0758D"/>
    <w:rsid w:val="00D07686"/>
    <w:rsid w:val="00D0774F"/>
    <w:rsid w:val="00D0797B"/>
    <w:rsid w:val="00D0799A"/>
    <w:rsid w:val="00D0799E"/>
    <w:rsid w:val="00D079A9"/>
    <w:rsid w:val="00D10024"/>
    <w:rsid w:val="00D1010E"/>
    <w:rsid w:val="00D1028E"/>
    <w:rsid w:val="00D1030E"/>
    <w:rsid w:val="00D1058E"/>
    <w:rsid w:val="00D10672"/>
    <w:rsid w:val="00D106D3"/>
    <w:rsid w:val="00D106EA"/>
    <w:rsid w:val="00D109AC"/>
    <w:rsid w:val="00D109E7"/>
    <w:rsid w:val="00D10A07"/>
    <w:rsid w:val="00D10A40"/>
    <w:rsid w:val="00D10AC4"/>
    <w:rsid w:val="00D10CCD"/>
    <w:rsid w:val="00D10CD0"/>
    <w:rsid w:val="00D10E85"/>
    <w:rsid w:val="00D11039"/>
    <w:rsid w:val="00D1107F"/>
    <w:rsid w:val="00D1108C"/>
    <w:rsid w:val="00D11342"/>
    <w:rsid w:val="00D115FB"/>
    <w:rsid w:val="00D11678"/>
    <w:rsid w:val="00D118A8"/>
    <w:rsid w:val="00D1191F"/>
    <w:rsid w:val="00D11948"/>
    <w:rsid w:val="00D11A1E"/>
    <w:rsid w:val="00D11D35"/>
    <w:rsid w:val="00D11E3F"/>
    <w:rsid w:val="00D11E9B"/>
    <w:rsid w:val="00D11F68"/>
    <w:rsid w:val="00D11F80"/>
    <w:rsid w:val="00D12035"/>
    <w:rsid w:val="00D1232B"/>
    <w:rsid w:val="00D12367"/>
    <w:rsid w:val="00D123F3"/>
    <w:rsid w:val="00D12577"/>
    <w:rsid w:val="00D127E2"/>
    <w:rsid w:val="00D1292C"/>
    <w:rsid w:val="00D12949"/>
    <w:rsid w:val="00D12C64"/>
    <w:rsid w:val="00D12D72"/>
    <w:rsid w:val="00D12D80"/>
    <w:rsid w:val="00D12EDA"/>
    <w:rsid w:val="00D12F1E"/>
    <w:rsid w:val="00D13252"/>
    <w:rsid w:val="00D133DF"/>
    <w:rsid w:val="00D137BF"/>
    <w:rsid w:val="00D1389C"/>
    <w:rsid w:val="00D13918"/>
    <w:rsid w:val="00D13A15"/>
    <w:rsid w:val="00D13AE5"/>
    <w:rsid w:val="00D13BF9"/>
    <w:rsid w:val="00D13C9B"/>
    <w:rsid w:val="00D13CB0"/>
    <w:rsid w:val="00D13D7D"/>
    <w:rsid w:val="00D13E16"/>
    <w:rsid w:val="00D13F91"/>
    <w:rsid w:val="00D14020"/>
    <w:rsid w:val="00D1417C"/>
    <w:rsid w:val="00D14231"/>
    <w:rsid w:val="00D14274"/>
    <w:rsid w:val="00D142DB"/>
    <w:rsid w:val="00D14407"/>
    <w:rsid w:val="00D144D2"/>
    <w:rsid w:val="00D14719"/>
    <w:rsid w:val="00D14928"/>
    <w:rsid w:val="00D14A42"/>
    <w:rsid w:val="00D14B49"/>
    <w:rsid w:val="00D14C8C"/>
    <w:rsid w:val="00D14CF5"/>
    <w:rsid w:val="00D15267"/>
    <w:rsid w:val="00D1528A"/>
    <w:rsid w:val="00D1554C"/>
    <w:rsid w:val="00D1558D"/>
    <w:rsid w:val="00D155A5"/>
    <w:rsid w:val="00D158D1"/>
    <w:rsid w:val="00D158EF"/>
    <w:rsid w:val="00D1598F"/>
    <w:rsid w:val="00D159DF"/>
    <w:rsid w:val="00D15A17"/>
    <w:rsid w:val="00D15A2A"/>
    <w:rsid w:val="00D15A63"/>
    <w:rsid w:val="00D15C95"/>
    <w:rsid w:val="00D15D89"/>
    <w:rsid w:val="00D15F6B"/>
    <w:rsid w:val="00D16045"/>
    <w:rsid w:val="00D16305"/>
    <w:rsid w:val="00D1637B"/>
    <w:rsid w:val="00D163F7"/>
    <w:rsid w:val="00D16407"/>
    <w:rsid w:val="00D1641B"/>
    <w:rsid w:val="00D16437"/>
    <w:rsid w:val="00D1647D"/>
    <w:rsid w:val="00D16550"/>
    <w:rsid w:val="00D1656D"/>
    <w:rsid w:val="00D1685E"/>
    <w:rsid w:val="00D16AF8"/>
    <w:rsid w:val="00D16C0D"/>
    <w:rsid w:val="00D16C3C"/>
    <w:rsid w:val="00D16E81"/>
    <w:rsid w:val="00D17183"/>
    <w:rsid w:val="00D172EF"/>
    <w:rsid w:val="00D1734D"/>
    <w:rsid w:val="00D174CA"/>
    <w:rsid w:val="00D17581"/>
    <w:rsid w:val="00D177F6"/>
    <w:rsid w:val="00D17D53"/>
    <w:rsid w:val="00D17E66"/>
    <w:rsid w:val="00D17E6E"/>
    <w:rsid w:val="00D201D6"/>
    <w:rsid w:val="00D20244"/>
    <w:rsid w:val="00D20283"/>
    <w:rsid w:val="00D202DE"/>
    <w:rsid w:val="00D20485"/>
    <w:rsid w:val="00D20562"/>
    <w:rsid w:val="00D2074A"/>
    <w:rsid w:val="00D2087A"/>
    <w:rsid w:val="00D20969"/>
    <w:rsid w:val="00D2096A"/>
    <w:rsid w:val="00D20AB2"/>
    <w:rsid w:val="00D20BE8"/>
    <w:rsid w:val="00D20C43"/>
    <w:rsid w:val="00D20D14"/>
    <w:rsid w:val="00D20F0C"/>
    <w:rsid w:val="00D210BD"/>
    <w:rsid w:val="00D211BD"/>
    <w:rsid w:val="00D21281"/>
    <w:rsid w:val="00D21554"/>
    <w:rsid w:val="00D219CB"/>
    <w:rsid w:val="00D21B1C"/>
    <w:rsid w:val="00D21C6D"/>
    <w:rsid w:val="00D21C7F"/>
    <w:rsid w:val="00D21CEE"/>
    <w:rsid w:val="00D21F4B"/>
    <w:rsid w:val="00D22454"/>
    <w:rsid w:val="00D22465"/>
    <w:rsid w:val="00D225DC"/>
    <w:rsid w:val="00D226E9"/>
    <w:rsid w:val="00D226FA"/>
    <w:rsid w:val="00D2272A"/>
    <w:rsid w:val="00D228A3"/>
    <w:rsid w:val="00D22A82"/>
    <w:rsid w:val="00D22AF1"/>
    <w:rsid w:val="00D22AFB"/>
    <w:rsid w:val="00D22D06"/>
    <w:rsid w:val="00D22DBA"/>
    <w:rsid w:val="00D22EE4"/>
    <w:rsid w:val="00D22F43"/>
    <w:rsid w:val="00D2310E"/>
    <w:rsid w:val="00D23167"/>
    <w:rsid w:val="00D2320F"/>
    <w:rsid w:val="00D23320"/>
    <w:rsid w:val="00D23363"/>
    <w:rsid w:val="00D2350C"/>
    <w:rsid w:val="00D23608"/>
    <w:rsid w:val="00D2362F"/>
    <w:rsid w:val="00D236BD"/>
    <w:rsid w:val="00D23757"/>
    <w:rsid w:val="00D2379D"/>
    <w:rsid w:val="00D23986"/>
    <w:rsid w:val="00D23AD7"/>
    <w:rsid w:val="00D23B6C"/>
    <w:rsid w:val="00D23DD7"/>
    <w:rsid w:val="00D23E64"/>
    <w:rsid w:val="00D23EC7"/>
    <w:rsid w:val="00D2413C"/>
    <w:rsid w:val="00D24589"/>
    <w:rsid w:val="00D24662"/>
    <w:rsid w:val="00D246C4"/>
    <w:rsid w:val="00D2477C"/>
    <w:rsid w:val="00D24821"/>
    <w:rsid w:val="00D2485C"/>
    <w:rsid w:val="00D2488C"/>
    <w:rsid w:val="00D249CB"/>
    <w:rsid w:val="00D24A25"/>
    <w:rsid w:val="00D24B5C"/>
    <w:rsid w:val="00D24D0F"/>
    <w:rsid w:val="00D24D86"/>
    <w:rsid w:val="00D24E93"/>
    <w:rsid w:val="00D24F25"/>
    <w:rsid w:val="00D25013"/>
    <w:rsid w:val="00D251E3"/>
    <w:rsid w:val="00D25425"/>
    <w:rsid w:val="00D25432"/>
    <w:rsid w:val="00D2572F"/>
    <w:rsid w:val="00D2584D"/>
    <w:rsid w:val="00D2597F"/>
    <w:rsid w:val="00D25BD9"/>
    <w:rsid w:val="00D25BF4"/>
    <w:rsid w:val="00D25C4D"/>
    <w:rsid w:val="00D25DC4"/>
    <w:rsid w:val="00D25E08"/>
    <w:rsid w:val="00D25E64"/>
    <w:rsid w:val="00D25E80"/>
    <w:rsid w:val="00D25F93"/>
    <w:rsid w:val="00D26181"/>
    <w:rsid w:val="00D26262"/>
    <w:rsid w:val="00D26591"/>
    <w:rsid w:val="00D2674D"/>
    <w:rsid w:val="00D267B3"/>
    <w:rsid w:val="00D2693F"/>
    <w:rsid w:val="00D26AB4"/>
    <w:rsid w:val="00D26FBC"/>
    <w:rsid w:val="00D27019"/>
    <w:rsid w:val="00D27078"/>
    <w:rsid w:val="00D270C7"/>
    <w:rsid w:val="00D270F4"/>
    <w:rsid w:val="00D270F5"/>
    <w:rsid w:val="00D272D8"/>
    <w:rsid w:val="00D273AB"/>
    <w:rsid w:val="00D2749F"/>
    <w:rsid w:val="00D2750C"/>
    <w:rsid w:val="00D27528"/>
    <w:rsid w:val="00D27590"/>
    <w:rsid w:val="00D279CD"/>
    <w:rsid w:val="00D27E12"/>
    <w:rsid w:val="00D27EC2"/>
    <w:rsid w:val="00D27F24"/>
    <w:rsid w:val="00D27FD4"/>
    <w:rsid w:val="00D3009B"/>
    <w:rsid w:val="00D3021B"/>
    <w:rsid w:val="00D30226"/>
    <w:rsid w:val="00D303BE"/>
    <w:rsid w:val="00D303E3"/>
    <w:rsid w:val="00D30889"/>
    <w:rsid w:val="00D308D1"/>
    <w:rsid w:val="00D30A6E"/>
    <w:rsid w:val="00D30B7D"/>
    <w:rsid w:val="00D30CCC"/>
    <w:rsid w:val="00D30D50"/>
    <w:rsid w:val="00D30D83"/>
    <w:rsid w:val="00D30D8A"/>
    <w:rsid w:val="00D30DA8"/>
    <w:rsid w:val="00D30E87"/>
    <w:rsid w:val="00D30E95"/>
    <w:rsid w:val="00D310ED"/>
    <w:rsid w:val="00D310FB"/>
    <w:rsid w:val="00D31142"/>
    <w:rsid w:val="00D311AE"/>
    <w:rsid w:val="00D314D0"/>
    <w:rsid w:val="00D317A5"/>
    <w:rsid w:val="00D318C6"/>
    <w:rsid w:val="00D319B9"/>
    <w:rsid w:val="00D31A25"/>
    <w:rsid w:val="00D31AAA"/>
    <w:rsid w:val="00D31BDB"/>
    <w:rsid w:val="00D31CBA"/>
    <w:rsid w:val="00D31D53"/>
    <w:rsid w:val="00D31E65"/>
    <w:rsid w:val="00D31E95"/>
    <w:rsid w:val="00D31EB3"/>
    <w:rsid w:val="00D31FD7"/>
    <w:rsid w:val="00D31FF1"/>
    <w:rsid w:val="00D322CB"/>
    <w:rsid w:val="00D322FC"/>
    <w:rsid w:val="00D324BE"/>
    <w:rsid w:val="00D3250D"/>
    <w:rsid w:val="00D326B2"/>
    <w:rsid w:val="00D326CE"/>
    <w:rsid w:val="00D326DC"/>
    <w:rsid w:val="00D32866"/>
    <w:rsid w:val="00D32A56"/>
    <w:rsid w:val="00D32B2B"/>
    <w:rsid w:val="00D32BDC"/>
    <w:rsid w:val="00D32C08"/>
    <w:rsid w:val="00D32C1F"/>
    <w:rsid w:val="00D32C89"/>
    <w:rsid w:val="00D32C9E"/>
    <w:rsid w:val="00D32DEC"/>
    <w:rsid w:val="00D32F93"/>
    <w:rsid w:val="00D32FAA"/>
    <w:rsid w:val="00D33072"/>
    <w:rsid w:val="00D330CB"/>
    <w:rsid w:val="00D330CC"/>
    <w:rsid w:val="00D3315C"/>
    <w:rsid w:val="00D331BF"/>
    <w:rsid w:val="00D331EC"/>
    <w:rsid w:val="00D33425"/>
    <w:rsid w:val="00D334B1"/>
    <w:rsid w:val="00D3364F"/>
    <w:rsid w:val="00D336C1"/>
    <w:rsid w:val="00D3389F"/>
    <w:rsid w:val="00D33912"/>
    <w:rsid w:val="00D33A1F"/>
    <w:rsid w:val="00D33B8F"/>
    <w:rsid w:val="00D33C80"/>
    <w:rsid w:val="00D33D22"/>
    <w:rsid w:val="00D33DA6"/>
    <w:rsid w:val="00D34092"/>
    <w:rsid w:val="00D340A6"/>
    <w:rsid w:val="00D342AA"/>
    <w:rsid w:val="00D3433B"/>
    <w:rsid w:val="00D34395"/>
    <w:rsid w:val="00D343C2"/>
    <w:rsid w:val="00D343C4"/>
    <w:rsid w:val="00D344AC"/>
    <w:rsid w:val="00D345E9"/>
    <w:rsid w:val="00D34759"/>
    <w:rsid w:val="00D348C4"/>
    <w:rsid w:val="00D34A88"/>
    <w:rsid w:val="00D34B8D"/>
    <w:rsid w:val="00D34BB7"/>
    <w:rsid w:val="00D34D64"/>
    <w:rsid w:val="00D34F59"/>
    <w:rsid w:val="00D35278"/>
    <w:rsid w:val="00D352E9"/>
    <w:rsid w:val="00D354B1"/>
    <w:rsid w:val="00D35553"/>
    <w:rsid w:val="00D3563B"/>
    <w:rsid w:val="00D35713"/>
    <w:rsid w:val="00D35720"/>
    <w:rsid w:val="00D3592F"/>
    <w:rsid w:val="00D35BC0"/>
    <w:rsid w:val="00D35CA0"/>
    <w:rsid w:val="00D35E02"/>
    <w:rsid w:val="00D35F99"/>
    <w:rsid w:val="00D36080"/>
    <w:rsid w:val="00D361C9"/>
    <w:rsid w:val="00D361FE"/>
    <w:rsid w:val="00D3624A"/>
    <w:rsid w:val="00D362A7"/>
    <w:rsid w:val="00D362C8"/>
    <w:rsid w:val="00D3639C"/>
    <w:rsid w:val="00D363BD"/>
    <w:rsid w:val="00D3650A"/>
    <w:rsid w:val="00D3655E"/>
    <w:rsid w:val="00D36562"/>
    <w:rsid w:val="00D36644"/>
    <w:rsid w:val="00D36922"/>
    <w:rsid w:val="00D36AE8"/>
    <w:rsid w:val="00D36B30"/>
    <w:rsid w:val="00D36DD5"/>
    <w:rsid w:val="00D36DE2"/>
    <w:rsid w:val="00D3704D"/>
    <w:rsid w:val="00D371CD"/>
    <w:rsid w:val="00D371F5"/>
    <w:rsid w:val="00D371FC"/>
    <w:rsid w:val="00D37204"/>
    <w:rsid w:val="00D3725D"/>
    <w:rsid w:val="00D372EB"/>
    <w:rsid w:val="00D375AC"/>
    <w:rsid w:val="00D375FE"/>
    <w:rsid w:val="00D37641"/>
    <w:rsid w:val="00D376C5"/>
    <w:rsid w:val="00D3786F"/>
    <w:rsid w:val="00D379C7"/>
    <w:rsid w:val="00D37A14"/>
    <w:rsid w:val="00D37C27"/>
    <w:rsid w:val="00D37C2B"/>
    <w:rsid w:val="00D37CCD"/>
    <w:rsid w:val="00D37DEF"/>
    <w:rsid w:val="00D37F20"/>
    <w:rsid w:val="00D37F72"/>
    <w:rsid w:val="00D40030"/>
    <w:rsid w:val="00D4009E"/>
    <w:rsid w:val="00D40449"/>
    <w:rsid w:val="00D40608"/>
    <w:rsid w:val="00D406AC"/>
    <w:rsid w:val="00D4075A"/>
    <w:rsid w:val="00D407B0"/>
    <w:rsid w:val="00D409D4"/>
    <w:rsid w:val="00D409DF"/>
    <w:rsid w:val="00D40CD1"/>
    <w:rsid w:val="00D40D0E"/>
    <w:rsid w:val="00D40F08"/>
    <w:rsid w:val="00D4103B"/>
    <w:rsid w:val="00D4113E"/>
    <w:rsid w:val="00D41522"/>
    <w:rsid w:val="00D415AA"/>
    <w:rsid w:val="00D4181C"/>
    <w:rsid w:val="00D41AD2"/>
    <w:rsid w:val="00D41B3B"/>
    <w:rsid w:val="00D41BA4"/>
    <w:rsid w:val="00D41BE8"/>
    <w:rsid w:val="00D41D2A"/>
    <w:rsid w:val="00D41D53"/>
    <w:rsid w:val="00D41D5F"/>
    <w:rsid w:val="00D41DBF"/>
    <w:rsid w:val="00D41EA4"/>
    <w:rsid w:val="00D41F2A"/>
    <w:rsid w:val="00D41FA6"/>
    <w:rsid w:val="00D42013"/>
    <w:rsid w:val="00D420D9"/>
    <w:rsid w:val="00D42483"/>
    <w:rsid w:val="00D425ED"/>
    <w:rsid w:val="00D4271A"/>
    <w:rsid w:val="00D4279F"/>
    <w:rsid w:val="00D42846"/>
    <w:rsid w:val="00D42871"/>
    <w:rsid w:val="00D428E4"/>
    <w:rsid w:val="00D42A00"/>
    <w:rsid w:val="00D42A64"/>
    <w:rsid w:val="00D42C4D"/>
    <w:rsid w:val="00D42D06"/>
    <w:rsid w:val="00D42D8D"/>
    <w:rsid w:val="00D42DFC"/>
    <w:rsid w:val="00D42E9C"/>
    <w:rsid w:val="00D4348D"/>
    <w:rsid w:val="00D43600"/>
    <w:rsid w:val="00D437AE"/>
    <w:rsid w:val="00D437EF"/>
    <w:rsid w:val="00D438D5"/>
    <w:rsid w:val="00D439D5"/>
    <w:rsid w:val="00D43A06"/>
    <w:rsid w:val="00D43A86"/>
    <w:rsid w:val="00D43A95"/>
    <w:rsid w:val="00D43B2B"/>
    <w:rsid w:val="00D43BCA"/>
    <w:rsid w:val="00D43D3C"/>
    <w:rsid w:val="00D43DA8"/>
    <w:rsid w:val="00D43DBF"/>
    <w:rsid w:val="00D43E39"/>
    <w:rsid w:val="00D4409B"/>
    <w:rsid w:val="00D44172"/>
    <w:rsid w:val="00D441B0"/>
    <w:rsid w:val="00D442BA"/>
    <w:rsid w:val="00D44394"/>
    <w:rsid w:val="00D444FA"/>
    <w:rsid w:val="00D4473A"/>
    <w:rsid w:val="00D447C8"/>
    <w:rsid w:val="00D449B3"/>
    <w:rsid w:val="00D449E6"/>
    <w:rsid w:val="00D44A6B"/>
    <w:rsid w:val="00D44CC6"/>
    <w:rsid w:val="00D44D06"/>
    <w:rsid w:val="00D44D6B"/>
    <w:rsid w:val="00D45124"/>
    <w:rsid w:val="00D4513B"/>
    <w:rsid w:val="00D452CD"/>
    <w:rsid w:val="00D45304"/>
    <w:rsid w:val="00D453AB"/>
    <w:rsid w:val="00D45423"/>
    <w:rsid w:val="00D45429"/>
    <w:rsid w:val="00D454DF"/>
    <w:rsid w:val="00D455A1"/>
    <w:rsid w:val="00D4569A"/>
    <w:rsid w:val="00D4569E"/>
    <w:rsid w:val="00D45794"/>
    <w:rsid w:val="00D4581C"/>
    <w:rsid w:val="00D459DE"/>
    <w:rsid w:val="00D45EF8"/>
    <w:rsid w:val="00D460A0"/>
    <w:rsid w:val="00D461EB"/>
    <w:rsid w:val="00D463A6"/>
    <w:rsid w:val="00D464B6"/>
    <w:rsid w:val="00D46556"/>
    <w:rsid w:val="00D4660A"/>
    <w:rsid w:val="00D46697"/>
    <w:rsid w:val="00D46871"/>
    <w:rsid w:val="00D46959"/>
    <w:rsid w:val="00D46D72"/>
    <w:rsid w:val="00D46FDE"/>
    <w:rsid w:val="00D47039"/>
    <w:rsid w:val="00D472EB"/>
    <w:rsid w:val="00D47431"/>
    <w:rsid w:val="00D47441"/>
    <w:rsid w:val="00D47789"/>
    <w:rsid w:val="00D477EC"/>
    <w:rsid w:val="00D478A3"/>
    <w:rsid w:val="00D47A8E"/>
    <w:rsid w:val="00D47AB1"/>
    <w:rsid w:val="00D47AE6"/>
    <w:rsid w:val="00D47C45"/>
    <w:rsid w:val="00D47C6E"/>
    <w:rsid w:val="00D47CC7"/>
    <w:rsid w:val="00D47D3D"/>
    <w:rsid w:val="00D47D91"/>
    <w:rsid w:val="00D50008"/>
    <w:rsid w:val="00D500B4"/>
    <w:rsid w:val="00D5015D"/>
    <w:rsid w:val="00D50214"/>
    <w:rsid w:val="00D50233"/>
    <w:rsid w:val="00D502D4"/>
    <w:rsid w:val="00D5031C"/>
    <w:rsid w:val="00D50504"/>
    <w:rsid w:val="00D505F9"/>
    <w:rsid w:val="00D506B8"/>
    <w:rsid w:val="00D5073D"/>
    <w:rsid w:val="00D507EE"/>
    <w:rsid w:val="00D5087F"/>
    <w:rsid w:val="00D50AA9"/>
    <w:rsid w:val="00D50BA3"/>
    <w:rsid w:val="00D50E85"/>
    <w:rsid w:val="00D5100C"/>
    <w:rsid w:val="00D51072"/>
    <w:rsid w:val="00D51076"/>
    <w:rsid w:val="00D5127E"/>
    <w:rsid w:val="00D512CF"/>
    <w:rsid w:val="00D51647"/>
    <w:rsid w:val="00D51659"/>
    <w:rsid w:val="00D5166A"/>
    <w:rsid w:val="00D517E6"/>
    <w:rsid w:val="00D51845"/>
    <w:rsid w:val="00D51A9C"/>
    <w:rsid w:val="00D51AD0"/>
    <w:rsid w:val="00D51C45"/>
    <w:rsid w:val="00D51E47"/>
    <w:rsid w:val="00D51E65"/>
    <w:rsid w:val="00D51F06"/>
    <w:rsid w:val="00D51FB9"/>
    <w:rsid w:val="00D51FCF"/>
    <w:rsid w:val="00D5202F"/>
    <w:rsid w:val="00D524A9"/>
    <w:rsid w:val="00D5275A"/>
    <w:rsid w:val="00D52761"/>
    <w:rsid w:val="00D52839"/>
    <w:rsid w:val="00D5285D"/>
    <w:rsid w:val="00D529AF"/>
    <w:rsid w:val="00D52ADB"/>
    <w:rsid w:val="00D52B4A"/>
    <w:rsid w:val="00D52D6F"/>
    <w:rsid w:val="00D52DFA"/>
    <w:rsid w:val="00D52EAD"/>
    <w:rsid w:val="00D52ED9"/>
    <w:rsid w:val="00D52EEE"/>
    <w:rsid w:val="00D52FF0"/>
    <w:rsid w:val="00D53042"/>
    <w:rsid w:val="00D53164"/>
    <w:rsid w:val="00D531AB"/>
    <w:rsid w:val="00D531AC"/>
    <w:rsid w:val="00D53218"/>
    <w:rsid w:val="00D53486"/>
    <w:rsid w:val="00D53499"/>
    <w:rsid w:val="00D534CC"/>
    <w:rsid w:val="00D534DF"/>
    <w:rsid w:val="00D53751"/>
    <w:rsid w:val="00D538A5"/>
    <w:rsid w:val="00D53AB2"/>
    <w:rsid w:val="00D53B58"/>
    <w:rsid w:val="00D53E7C"/>
    <w:rsid w:val="00D54024"/>
    <w:rsid w:val="00D54148"/>
    <w:rsid w:val="00D54305"/>
    <w:rsid w:val="00D5479A"/>
    <w:rsid w:val="00D547A8"/>
    <w:rsid w:val="00D549BD"/>
    <w:rsid w:val="00D54A00"/>
    <w:rsid w:val="00D54B4F"/>
    <w:rsid w:val="00D54BD0"/>
    <w:rsid w:val="00D54C61"/>
    <w:rsid w:val="00D54E57"/>
    <w:rsid w:val="00D54E68"/>
    <w:rsid w:val="00D54FC8"/>
    <w:rsid w:val="00D54FE7"/>
    <w:rsid w:val="00D5501C"/>
    <w:rsid w:val="00D55037"/>
    <w:rsid w:val="00D550DF"/>
    <w:rsid w:val="00D5520A"/>
    <w:rsid w:val="00D552BF"/>
    <w:rsid w:val="00D554FD"/>
    <w:rsid w:val="00D55567"/>
    <w:rsid w:val="00D555A5"/>
    <w:rsid w:val="00D555AE"/>
    <w:rsid w:val="00D555F0"/>
    <w:rsid w:val="00D55699"/>
    <w:rsid w:val="00D5569F"/>
    <w:rsid w:val="00D55820"/>
    <w:rsid w:val="00D5584C"/>
    <w:rsid w:val="00D55E5C"/>
    <w:rsid w:val="00D55EB0"/>
    <w:rsid w:val="00D560C6"/>
    <w:rsid w:val="00D560FD"/>
    <w:rsid w:val="00D56206"/>
    <w:rsid w:val="00D56547"/>
    <w:rsid w:val="00D5654A"/>
    <w:rsid w:val="00D568F5"/>
    <w:rsid w:val="00D56972"/>
    <w:rsid w:val="00D569FF"/>
    <w:rsid w:val="00D56A3B"/>
    <w:rsid w:val="00D56D1E"/>
    <w:rsid w:val="00D56EC5"/>
    <w:rsid w:val="00D5707F"/>
    <w:rsid w:val="00D570B8"/>
    <w:rsid w:val="00D57158"/>
    <w:rsid w:val="00D572E8"/>
    <w:rsid w:val="00D576B7"/>
    <w:rsid w:val="00D57726"/>
    <w:rsid w:val="00D579B8"/>
    <w:rsid w:val="00D57B38"/>
    <w:rsid w:val="00D57C43"/>
    <w:rsid w:val="00D57C44"/>
    <w:rsid w:val="00D57D37"/>
    <w:rsid w:val="00D600DA"/>
    <w:rsid w:val="00D60341"/>
    <w:rsid w:val="00D60891"/>
    <w:rsid w:val="00D60A2B"/>
    <w:rsid w:val="00D60A2E"/>
    <w:rsid w:val="00D60A62"/>
    <w:rsid w:val="00D60B5F"/>
    <w:rsid w:val="00D60BB4"/>
    <w:rsid w:val="00D60C96"/>
    <w:rsid w:val="00D60D2C"/>
    <w:rsid w:val="00D60D6B"/>
    <w:rsid w:val="00D60FAB"/>
    <w:rsid w:val="00D61038"/>
    <w:rsid w:val="00D61044"/>
    <w:rsid w:val="00D61241"/>
    <w:rsid w:val="00D612AC"/>
    <w:rsid w:val="00D612AD"/>
    <w:rsid w:val="00D6133A"/>
    <w:rsid w:val="00D61442"/>
    <w:rsid w:val="00D614FA"/>
    <w:rsid w:val="00D61538"/>
    <w:rsid w:val="00D61688"/>
    <w:rsid w:val="00D616C7"/>
    <w:rsid w:val="00D6197F"/>
    <w:rsid w:val="00D61C36"/>
    <w:rsid w:val="00D61CEA"/>
    <w:rsid w:val="00D61CEE"/>
    <w:rsid w:val="00D61CF7"/>
    <w:rsid w:val="00D61DF4"/>
    <w:rsid w:val="00D621C0"/>
    <w:rsid w:val="00D622A8"/>
    <w:rsid w:val="00D623B6"/>
    <w:rsid w:val="00D6246A"/>
    <w:rsid w:val="00D6252A"/>
    <w:rsid w:val="00D6253F"/>
    <w:rsid w:val="00D62640"/>
    <w:rsid w:val="00D627AE"/>
    <w:rsid w:val="00D62852"/>
    <w:rsid w:val="00D628E0"/>
    <w:rsid w:val="00D62A11"/>
    <w:rsid w:val="00D62BB7"/>
    <w:rsid w:val="00D62C67"/>
    <w:rsid w:val="00D630A4"/>
    <w:rsid w:val="00D6331A"/>
    <w:rsid w:val="00D6340C"/>
    <w:rsid w:val="00D6353E"/>
    <w:rsid w:val="00D6366D"/>
    <w:rsid w:val="00D637C2"/>
    <w:rsid w:val="00D6387A"/>
    <w:rsid w:val="00D63997"/>
    <w:rsid w:val="00D63E25"/>
    <w:rsid w:val="00D63FFF"/>
    <w:rsid w:val="00D64126"/>
    <w:rsid w:val="00D6422D"/>
    <w:rsid w:val="00D6423A"/>
    <w:rsid w:val="00D64253"/>
    <w:rsid w:val="00D642D5"/>
    <w:rsid w:val="00D643F7"/>
    <w:rsid w:val="00D64768"/>
    <w:rsid w:val="00D64839"/>
    <w:rsid w:val="00D64857"/>
    <w:rsid w:val="00D64884"/>
    <w:rsid w:val="00D648E0"/>
    <w:rsid w:val="00D64CC6"/>
    <w:rsid w:val="00D64ED5"/>
    <w:rsid w:val="00D6505E"/>
    <w:rsid w:val="00D650A6"/>
    <w:rsid w:val="00D65219"/>
    <w:rsid w:val="00D653DB"/>
    <w:rsid w:val="00D6544E"/>
    <w:rsid w:val="00D65511"/>
    <w:rsid w:val="00D655E5"/>
    <w:rsid w:val="00D6563F"/>
    <w:rsid w:val="00D657A7"/>
    <w:rsid w:val="00D65869"/>
    <w:rsid w:val="00D65931"/>
    <w:rsid w:val="00D6593F"/>
    <w:rsid w:val="00D65A91"/>
    <w:rsid w:val="00D65B86"/>
    <w:rsid w:val="00D65BC9"/>
    <w:rsid w:val="00D65D63"/>
    <w:rsid w:val="00D65E0A"/>
    <w:rsid w:val="00D65F11"/>
    <w:rsid w:val="00D65F91"/>
    <w:rsid w:val="00D65FC5"/>
    <w:rsid w:val="00D66330"/>
    <w:rsid w:val="00D663FA"/>
    <w:rsid w:val="00D665E5"/>
    <w:rsid w:val="00D665F6"/>
    <w:rsid w:val="00D66631"/>
    <w:rsid w:val="00D667B3"/>
    <w:rsid w:val="00D66801"/>
    <w:rsid w:val="00D66B64"/>
    <w:rsid w:val="00D66CC9"/>
    <w:rsid w:val="00D66E7A"/>
    <w:rsid w:val="00D67144"/>
    <w:rsid w:val="00D671CA"/>
    <w:rsid w:val="00D67382"/>
    <w:rsid w:val="00D673D4"/>
    <w:rsid w:val="00D679B9"/>
    <w:rsid w:val="00D679D9"/>
    <w:rsid w:val="00D67A68"/>
    <w:rsid w:val="00D67BCE"/>
    <w:rsid w:val="00D67BF5"/>
    <w:rsid w:val="00D67CC2"/>
    <w:rsid w:val="00D67CE6"/>
    <w:rsid w:val="00D67D4D"/>
    <w:rsid w:val="00D700D4"/>
    <w:rsid w:val="00D705F6"/>
    <w:rsid w:val="00D706FE"/>
    <w:rsid w:val="00D70C65"/>
    <w:rsid w:val="00D70E67"/>
    <w:rsid w:val="00D7121F"/>
    <w:rsid w:val="00D7125C"/>
    <w:rsid w:val="00D71292"/>
    <w:rsid w:val="00D713AF"/>
    <w:rsid w:val="00D713F5"/>
    <w:rsid w:val="00D71436"/>
    <w:rsid w:val="00D714B1"/>
    <w:rsid w:val="00D71635"/>
    <w:rsid w:val="00D717D6"/>
    <w:rsid w:val="00D717E6"/>
    <w:rsid w:val="00D7180C"/>
    <w:rsid w:val="00D7191F"/>
    <w:rsid w:val="00D71A50"/>
    <w:rsid w:val="00D71A93"/>
    <w:rsid w:val="00D71A9B"/>
    <w:rsid w:val="00D71C50"/>
    <w:rsid w:val="00D71CD6"/>
    <w:rsid w:val="00D71D3B"/>
    <w:rsid w:val="00D71E19"/>
    <w:rsid w:val="00D7213E"/>
    <w:rsid w:val="00D721F5"/>
    <w:rsid w:val="00D72266"/>
    <w:rsid w:val="00D7251C"/>
    <w:rsid w:val="00D72674"/>
    <w:rsid w:val="00D726B3"/>
    <w:rsid w:val="00D72719"/>
    <w:rsid w:val="00D72874"/>
    <w:rsid w:val="00D72909"/>
    <w:rsid w:val="00D7298A"/>
    <w:rsid w:val="00D72EB0"/>
    <w:rsid w:val="00D72F37"/>
    <w:rsid w:val="00D73186"/>
    <w:rsid w:val="00D7325B"/>
    <w:rsid w:val="00D73320"/>
    <w:rsid w:val="00D73379"/>
    <w:rsid w:val="00D733DD"/>
    <w:rsid w:val="00D7348C"/>
    <w:rsid w:val="00D734F9"/>
    <w:rsid w:val="00D73523"/>
    <w:rsid w:val="00D73610"/>
    <w:rsid w:val="00D73703"/>
    <w:rsid w:val="00D7374C"/>
    <w:rsid w:val="00D7380E"/>
    <w:rsid w:val="00D73938"/>
    <w:rsid w:val="00D73BB8"/>
    <w:rsid w:val="00D73D1B"/>
    <w:rsid w:val="00D73DF7"/>
    <w:rsid w:val="00D73ECC"/>
    <w:rsid w:val="00D7418A"/>
    <w:rsid w:val="00D74195"/>
    <w:rsid w:val="00D741AB"/>
    <w:rsid w:val="00D741E8"/>
    <w:rsid w:val="00D7433B"/>
    <w:rsid w:val="00D7433D"/>
    <w:rsid w:val="00D74463"/>
    <w:rsid w:val="00D744DA"/>
    <w:rsid w:val="00D744DD"/>
    <w:rsid w:val="00D74940"/>
    <w:rsid w:val="00D74AF6"/>
    <w:rsid w:val="00D74B0D"/>
    <w:rsid w:val="00D74D1D"/>
    <w:rsid w:val="00D74F82"/>
    <w:rsid w:val="00D750C1"/>
    <w:rsid w:val="00D75106"/>
    <w:rsid w:val="00D75126"/>
    <w:rsid w:val="00D75198"/>
    <w:rsid w:val="00D757AC"/>
    <w:rsid w:val="00D757F7"/>
    <w:rsid w:val="00D75B4C"/>
    <w:rsid w:val="00D75C71"/>
    <w:rsid w:val="00D75D1B"/>
    <w:rsid w:val="00D75F49"/>
    <w:rsid w:val="00D762CD"/>
    <w:rsid w:val="00D7642B"/>
    <w:rsid w:val="00D764FE"/>
    <w:rsid w:val="00D76733"/>
    <w:rsid w:val="00D76754"/>
    <w:rsid w:val="00D76A38"/>
    <w:rsid w:val="00D76AAE"/>
    <w:rsid w:val="00D76B32"/>
    <w:rsid w:val="00D76FC6"/>
    <w:rsid w:val="00D76FF4"/>
    <w:rsid w:val="00D76FF7"/>
    <w:rsid w:val="00D77262"/>
    <w:rsid w:val="00D77388"/>
    <w:rsid w:val="00D77393"/>
    <w:rsid w:val="00D774E3"/>
    <w:rsid w:val="00D7761F"/>
    <w:rsid w:val="00D7763C"/>
    <w:rsid w:val="00D776A2"/>
    <w:rsid w:val="00D7773B"/>
    <w:rsid w:val="00D777AD"/>
    <w:rsid w:val="00D77B2A"/>
    <w:rsid w:val="00D77B51"/>
    <w:rsid w:val="00D77BA9"/>
    <w:rsid w:val="00D77E44"/>
    <w:rsid w:val="00D77EC2"/>
    <w:rsid w:val="00D77EE5"/>
    <w:rsid w:val="00D77EF8"/>
    <w:rsid w:val="00D77F59"/>
    <w:rsid w:val="00D80021"/>
    <w:rsid w:val="00D8030D"/>
    <w:rsid w:val="00D803EE"/>
    <w:rsid w:val="00D805E1"/>
    <w:rsid w:val="00D80605"/>
    <w:rsid w:val="00D8069E"/>
    <w:rsid w:val="00D80793"/>
    <w:rsid w:val="00D8084D"/>
    <w:rsid w:val="00D8089B"/>
    <w:rsid w:val="00D80AE8"/>
    <w:rsid w:val="00D80C67"/>
    <w:rsid w:val="00D80CA5"/>
    <w:rsid w:val="00D80E58"/>
    <w:rsid w:val="00D80ED4"/>
    <w:rsid w:val="00D80F01"/>
    <w:rsid w:val="00D80F7E"/>
    <w:rsid w:val="00D812C1"/>
    <w:rsid w:val="00D814F8"/>
    <w:rsid w:val="00D8160C"/>
    <w:rsid w:val="00D817F1"/>
    <w:rsid w:val="00D81958"/>
    <w:rsid w:val="00D81A31"/>
    <w:rsid w:val="00D81B23"/>
    <w:rsid w:val="00D81CD6"/>
    <w:rsid w:val="00D81F1D"/>
    <w:rsid w:val="00D81F21"/>
    <w:rsid w:val="00D82012"/>
    <w:rsid w:val="00D82110"/>
    <w:rsid w:val="00D8244B"/>
    <w:rsid w:val="00D8261A"/>
    <w:rsid w:val="00D82685"/>
    <w:rsid w:val="00D828F0"/>
    <w:rsid w:val="00D82952"/>
    <w:rsid w:val="00D8295A"/>
    <w:rsid w:val="00D82A94"/>
    <w:rsid w:val="00D82B0F"/>
    <w:rsid w:val="00D82B40"/>
    <w:rsid w:val="00D82BD4"/>
    <w:rsid w:val="00D82BFA"/>
    <w:rsid w:val="00D82D13"/>
    <w:rsid w:val="00D82D9A"/>
    <w:rsid w:val="00D82DC8"/>
    <w:rsid w:val="00D82E45"/>
    <w:rsid w:val="00D831A0"/>
    <w:rsid w:val="00D831E7"/>
    <w:rsid w:val="00D832B2"/>
    <w:rsid w:val="00D832C9"/>
    <w:rsid w:val="00D83324"/>
    <w:rsid w:val="00D8348C"/>
    <w:rsid w:val="00D8355F"/>
    <w:rsid w:val="00D835A9"/>
    <w:rsid w:val="00D83634"/>
    <w:rsid w:val="00D8364C"/>
    <w:rsid w:val="00D83701"/>
    <w:rsid w:val="00D839FA"/>
    <w:rsid w:val="00D83AFF"/>
    <w:rsid w:val="00D83B40"/>
    <w:rsid w:val="00D83DFF"/>
    <w:rsid w:val="00D83E12"/>
    <w:rsid w:val="00D83E45"/>
    <w:rsid w:val="00D83E6E"/>
    <w:rsid w:val="00D83EDA"/>
    <w:rsid w:val="00D84217"/>
    <w:rsid w:val="00D8429F"/>
    <w:rsid w:val="00D8446F"/>
    <w:rsid w:val="00D846A8"/>
    <w:rsid w:val="00D84901"/>
    <w:rsid w:val="00D8496E"/>
    <w:rsid w:val="00D84D1C"/>
    <w:rsid w:val="00D84F22"/>
    <w:rsid w:val="00D84FB1"/>
    <w:rsid w:val="00D85057"/>
    <w:rsid w:val="00D8509B"/>
    <w:rsid w:val="00D8511B"/>
    <w:rsid w:val="00D8532D"/>
    <w:rsid w:val="00D85433"/>
    <w:rsid w:val="00D855CA"/>
    <w:rsid w:val="00D855E6"/>
    <w:rsid w:val="00D8564D"/>
    <w:rsid w:val="00D85701"/>
    <w:rsid w:val="00D8572A"/>
    <w:rsid w:val="00D8575B"/>
    <w:rsid w:val="00D8585E"/>
    <w:rsid w:val="00D85A0E"/>
    <w:rsid w:val="00D85A56"/>
    <w:rsid w:val="00D85B65"/>
    <w:rsid w:val="00D85D78"/>
    <w:rsid w:val="00D85DEA"/>
    <w:rsid w:val="00D85EE1"/>
    <w:rsid w:val="00D86115"/>
    <w:rsid w:val="00D8620C"/>
    <w:rsid w:val="00D862B4"/>
    <w:rsid w:val="00D86386"/>
    <w:rsid w:val="00D863E2"/>
    <w:rsid w:val="00D86531"/>
    <w:rsid w:val="00D865DC"/>
    <w:rsid w:val="00D86A77"/>
    <w:rsid w:val="00D86AAC"/>
    <w:rsid w:val="00D86F23"/>
    <w:rsid w:val="00D86F84"/>
    <w:rsid w:val="00D86FAA"/>
    <w:rsid w:val="00D86FDE"/>
    <w:rsid w:val="00D87120"/>
    <w:rsid w:val="00D871B4"/>
    <w:rsid w:val="00D87315"/>
    <w:rsid w:val="00D875A4"/>
    <w:rsid w:val="00D87605"/>
    <w:rsid w:val="00D8776C"/>
    <w:rsid w:val="00D8778B"/>
    <w:rsid w:val="00D877AB"/>
    <w:rsid w:val="00D8793D"/>
    <w:rsid w:val="00D87BAA"/>
    <w:rsid w:val="00D87C64"/>
    <w:rsid w:val="00D87D1E"/>
    <w:rsid w:val="00D87DFC"/>
    <w:rsid w:val="00D87E0B"/>
    <w:rsid w:val="00D87EC7"/>
    <w:rsid w:val="00D90250"/>
    <w:rsid w:val="00D9029F"/>
    <w:rsid w:val="00D903AF"/>
    <w:rsid w:val="00D9061E"/>
    <w:rsid w:val="00D90632"/>
    <w:rsid w:val="00D9068F"/>
    <w:rsid w:val="00D90836"/>
    <w:rsid w:val="00D90A60"/>
    <w:rsid w:val="00D90AE5"/>
    <w:rsid w:val="00D90B5F"/>
    <w:rsid w:val="00D90BE5"/>
    <w:rsid w:val="00D90CC1"/>
    <w:rsid w:val="00D90E8C"/>
    <w:rsid w:val="00D90FF1"/>
    <w:rsid w:val="00D91283"/>
    <w:rsid w:val="00D9128D"/>
    <w:rsid w:val="00D9131B"/>
    <w:rsid w:val="00D91452"/>
    <w:rsid w:val="00D91532"/>
    <w:rsid w:val="00D9153E"/>
    <w:rsid w:val="00D91562"/>
    <w:rsid w:val="00D915C5"/>
    <w:rsid w:val="00D915FE"/>
    <w:rsid w:val="00D9161E"/>
    <w:rsid w:val="00D917F0"/>
    <w:rsid w:val="00D9186F"/>
    <w:rsid w:val="00D91926"/>
    <w:rsid w:val="00D91BAC"/>
    <w:rsid w:val="00D91BCF"/>
    <w:rsid w:val="00D91C4F"/>
    <w:rsid w:val="00D91C65"/>
    <w:rsid w:val="00D91C7A"/>
    <w:rsid w:val="00D91C9E"/>
    <w:rsid w:val="00D91CB8"/>
    <w:rsid w:val="00D91FAB"/>
    <w:rsid w:val="00D92137"/>
    <w:rsid w:val="00D921B5"/>
    <w:rsid w:val="00D921B8"/>
    <w:rsid w:val="00D921F5"/>
    <w:rsid w:val="00D92343"/>
    <w:rsid w:val="00D92465"/>
    <w:rsid w:val="00D9259B"/>
    <w:rsid w:val="00D926AC"/>
    <w:rsid w:val="00D9279C"/>
    <w:rsid w:val="00D927FF"/>
    <w:rsid w:val="00D9281B"/>
    <w:rsid w:val="00D92989"/>
    <w:rsid w:val="00D92A73"/>
    <w:rsid w:val="00D92CA6"/>
    <w:rsid w:val="00D92E84"/>
    <w:rsid w:val="00D92EED"/>
    <w:rsid w:val="00D92FA6"/>
    <w:rsid w:val="00D92FFA"/>
    <w:rsid w:val="00D9309D"/>
    <w:rsid w:val="00D930E2"/>
    <w:rsid w:val="00D933A0"/>
    <w:rsid w:val="00D93470"/>
    <w:rsid w:val="00D934BB"/>
    <w:rsid w:val="00D934D4"/>
    <w:rsid w:val="00D93630"/>
    <w:rsid w:val="00D9365C"/>
    <w:rsid w:val="00D936E4"/>
    <w:rsid w:val="00D93760"/>
    <w:rsid w:val="00D93796"/>
    <w:rsid w:val="00D938FA"/>
    <w:rsid w:val="00D93916"/>
    <w:rsid w:val="00D93ACE"/>
    <w:rsid w:val="00D93AEB"/>
    <w:rsid w:val="00D93B42"/>
    <w:rsid w:val="00D93C84"/>
    <w:rsid w:val="00D93D8E"/>
    <w:rsid w:val="00D93F13"/>
    <w:rsid w:val="00D93F43"/>
    <w:rsid w:val="00D9407A"/>
    <w:rsid w:val="00D9436B"/>
    <w:rsid w:val="00D9447A"/>
    <w:rsid w:val="00D94660"/>
    <w:rsid w:val="00D9494B"/>
    <w:rsid w:val="00D949E2"/>
    <w:rsid w:val="00D94B44"/>
    <w:rsid w:val="00D94D50"/>
    <w:rsid w:val="00D94D8E"/>
    <w:rsid w:val="00D94DD0"/>
    <w:rsid w:val="00D9504C"/>
    <w:rsid w:val="00D95144"/>
    <w:rsid w:val="00D95209"/>
    <w:rsid w:val="00D955A9"/>
    <w:rsid w:val="00D956F0"/>
    <w:rsid w:val="00D95791"/>
    <w:rsid w:val="00D9589E"/>
    <w:rsid w:val="00D9597B"/>
    <w:rsid w:val="00D95A54"/>
    <w:rsid w:val="00D95A56"/>
    <w:rsid w:val="00D95BC9"/>
    <w:rsid w:val="00D95C2E"/>
    <w:rsid w:val="00D95E8B"/>
    <w:rsid w:val="00D95EAD"/>
    <w:rsid w:val="00D960F6"/>
    <w:rsid w:val="00D961AD"/>
    <w:rsid w:val="00D96360"/>
    <w:rsid w:val="00D96421"/>
    <w:rsid w:val="00D964C2"/>
    <w:rsid w:val="00D964F1"/>
    <w:rsid w:val="00D9659C"/>
    <w:rsid w:val="00D965CA"/>
    <w:rsid w:val="00D967B6"/>
    <w:rsid w:val="00D967C7"/>
    <w:rsid w:val="00D96825"/>
    <w:rsid w:val="00D96B58"/>
    <w:rsid w:val="00D96E34"/>
    <w:rsid w:val="00D96FE5"/>
    <w:rsid w:val="00D97079"/>
    <w:rsid w:val="00D970AA"/>
    <w:rsid w:val="00D970AC"/>
    <w:rsid w:val="00D97269"/>
    <w:rsid w:val="00D97422"/>
    <w:rsid w:val="00D974B6"/>
    <w:rsid w:val="00D974CA"/>
    <w:rsid w:val="00D9763E"/>
    <w:rsid w:val="00D97989"/>
    <w:rsid w:val="00D979B3"/>
    <w:rsid w:val="00D97A32"/>
    <w:rsid w:val="00D97A36"/>
    <w:rsid w:val="00D97B8E"/>
    <w:rsid w:val="00D97D92"/>
    <w:rsid w:val="00D97E26"/>
    <w:rsid w:val="00D97EA6"/>
    <w:rsid w:val="00D97F11"/>
    <w:rsid w:val="00D97FEA"/>
    <w:rsid w:val="00DA01B0"/>
    <w:rsid w:val="00DA04D3"/>
    <w:rsid w:val="00DA05E8"/>
    <w:rsid w:val="00DA0933"/>
    <w:rsid w:val="00DA0981"/>
    <w:rsid w:val="00DA0E76"/>
    <w:rsid w:val="00DA0EBB"/>
    <w:rsid w:val="00DA0F99"/>
    <w:rsid w:val="00DA0FF2"/>
    <w:rsid w:val="00DA0FFF"/>
    <w:rsid w:val="00DA107A"/>
    <w:rsid w:val="00DA1113"/>
    <w:rsid w:val="00DA1141"/>
    <w:rsid w:val="00DA114A"/>
    <w:rsid w:val="00DA1298"/>
    <w:rsid w:val="00DA145D"/>
    <w:rsid w:val="00DA1488"/>
    <w:rsid w:val="00DA154A"/>
    <w:rsid w:val="00DA1566"/>
    <w:rsid w:val="00DA15AF"/>
    <w:rsid w:val="00DA15E5"/>
    <w:rsid w:val="00DA188F"/>
    <w:rsid w:val="00DA1C67"/>
    <w:rsid w:val="00DA1CE9"/>
    <w:rsid w:val="00DA1DFB"/>
    <w:rsid w:val="00DA20C4"/>
    <w:rsid w:val="00DA23B0"/>
    <w:rsid w:val="00DA240C"/>
    <w:rsid w:val="00DA255D"/>
    <w:rsid w:val="00DA25C6"/>
    <w:rsid w:val="00DA2796"/>
    <w:rsid w:val="00DA28F6"/>
    <w:rsid w:val="00DA29D2"/>
    <w:rsid w:val="00DA2A01"/>
    <w:rsid w:val="00DA2A49"/>
    <w:rsid w:val="00DA2B4A"/>
    <w:rsid w:val="00DA2C31"/>
    <w:rsid w:val="00DA2C55"/>
    <w:rsid w:val="00DA2E7B"/>
    <w:rsid w:val="00DA3086"/>
    <w:rsid w:val="00DA30E0"/>
    <w:rsid w:val="00DA3267"/>
    <w:rsid w:val="00DA32C9"/>
    <w:rsid w:val="00DA3438"/>
    <w:rsid w:val="00DA3516"/>
    <w:rsid w:val="00DA36B4"/>
    <w:rsid w:val="00DA3793"/>
    <w:rsid w:val="00DA380B"/>
    <w:rsid w:val="00DA393E"/>
    <w:rsid w:val="00DA39CE"/>
    <w:rsid w:val="00DA3A7B"/>
    <w:rsid w:val="00DA3B82"/>
    <w:rsid w:val="00DA3D1F"/>
    <w:rsid w:val="00DA3EC7"/>
    <w:rsid w:val="00DA3FF6"/>
    <w:rsid w:val="00DA41D0"/>
    <w:rsid w:val="00DA42A3"/>
    <w:rsid w:val="00DA447A"/>
    <w:rsid w:val="00DA45A6"/>
    <w:rsid w:val="00DA45B1"/>
    <w:rsid w:val="00DA475B"/>
    <w:rsid w:val="00DA47BE"/>
    <w:rsid w:val="00DA47D3"/>
    <w:rsid w:val="00DA48A4"/>
    <w:rsid w:val="00DA4959"/>
    <w:rsid w:val="00DA4A7B"/>
    <w:rsid w:val="00DA4B23"/>
    <w:rsid w:val="00DA4C3D"/>
    <w:rsid w:val="00DA4CA0"/>
    <w:rsid w:val="00DA4ED6"/>
    <w:rsid w:val="00DA5012"/>
    <w:rsid w:val="00DA51F5"/>
    <w:rsid w:val="00DA532F"/>
    <w:rsid w:val="00DA5341"/>
    <w:rsid w:val="00DA57A6"/>
    <w:rsid w:val="00DA58C6"/>
    <w:rsid w:val="00DA58D0"/>
    <w:rsid w:val="00DA58F3"/>
    <w:rsid w:val="00DA5900"/>
    <w:rsid w:val="00DA59A0"/>
    <w:rsid w:val="00DA59F6"/>
    <w:rsid w:val="00DA5A2C"/>
    <w:rsid w:val="00DA5B09"/>
    <w:rsid w:val="00DA5DF2"/>
    <w:rsid w:val="00DA5DFB"/>
    <w:rsid w:val="00DA6053"/>
    <w:rsid w:val="00DA6085"/>
    <w:rsid w:val="00DA618E"/>
    <w:rsid w:val="00DA61B7"/>
    <w:rsid w:val="00DA652E"/>
    <w:rsid w:val="00DA6544"/>
    <w:rsid w:val="00DA65DD"/>
    <w:rsid w:val="00DA66BE"/>
    <w:rsid w:val="00DA675A"/>
    <w:rsid w:val="00DA675E"/>
    <w:rsid w:val="00DA6C44"/>
    <w:rsid w:val="00DA6C9B"/>
    <w:rsid w:val="00DA6F77"/>
    <w:rsid w:val="00DA7162"/>
    <w:rsid w:val="00DA721C"/>
    <w:rsid w:val="00DA72E8"/>
    <w:rsid w:val="00DA73F3"/>
    <w:rsid w:val="00DA73F5"/>
    <w:rsid w:val="00DA75B8"/>
    <w:rsid w:val="00DA7699"/>
    <w:rsid w:val="00DA7757"/>
    <w:rsid w:val="00DA793E"/>
    <w:rsid w:val="00DA795D"/>
    <w:rsid w:val="00DA79E4"/>
    <w:rsid w:val="00DA7A41"/>
    <w:rsid w:val="00DA7AD5"/>
    <w:rsid w:val="00DA7C49"/>
    <w:rsid w:val="00DA7C65"/>
    <w:rsid w:val="00DA7CA9"/>
    <w:rsid w:val="00DA7CC8"/>
    <w:rsid w:val="00DB00BD"/>
    <w:rsid w:val="00DB03BC"/>
    <w:rsid w:val="00DB072E"/>
    <w:rsid w:val="00DB09D4"/>
    <w:rsid w:val="00DB0AAD"/>
    <w:rsid w:val="00DB0C27"/>
    <w:rsid w:val="00DB0CBC"/>
    <w:rsid w:val="00DB1085"/>
    <w:rsid w:val="00DB1094"/>
    <w:rsid w:val="00DB1166"/>
    <w:rsid w:val="00DB118A"/>
    <w:rsid w:val="00DB1382"/>
    <w:rsid w:val="00DB1397"/>
    <w:rsid w:val="00DB14D3"/>
    <w:rsid w:val="00DB17A2"/>
    <w:rsid w:val="00DB17BE"/>
    <w:rsid w:val="00DB17CC"/>
    <w:rsid w:val="00DB17E3"/>
    <w:rsid w:val="00DB18CD"/>
    <w:rsid w:val="00DB1C20"/>
    <w:rsid w:val="00DB1CA5"/>
    <w:rsid w:val="00DB1FC2"/>
    <w:rsid w:val="00DB20C0"/>
    <w:rsid w:val="00DB21CF"/>
    <w:rsid w:val="00DB2462"/>
    <w:rsid w:val="00DB24A7"/>
    <w:rsid w:val="00DB24D2"/>
    <w:rsid w:val="00DB2791"/>
    <w:rsid w:val="00DB2953"/>
    <w:rsid w:val="00DB2A9B"/>
    <w:rsid w:val="00DB2CD2"/>
    <w:rsid w:val="00DB2E96"/>
    <w:rsid w:val="00DB2EA1"/>
    <w:rsid w:val="00DB2ED1"/>
    <w:rsid w:val="00DB3019"/>
    <w:rsid w:val="00DB31D9"/>
    <w:rsid w:val="00DB3210"/>
    <w:rsid w:val="00DB33AA"/>
    <w:rsid w:val="00DB3462"/>
    <w:rsid w:val="00DB347F"/>
    <w:rsid w:val="00DB3539"/>
    <w:rsid w:val="00DB357A"/>
    <w:rsid w:val="00DB36F2"/>
    <w:rsid w:val="00DB377D"/>
    <w:rsid w:val="00DB37B2"/>
    <w:rsid w:val="00DB37D8"/>
    <w:rsid w:val="00DB3898"/>
    <w:rsid w:val="00DB38E3"/>
    <w:rsid w:val="00DB39F2"/>
    <w:rsid w:val="00DB3A04"/>
    <w:rsid w:val="00DB3A1C"/>
    <w:rsid w:val="00DB3A2D"/>
    <w:rsid w:val="00DB3A62"/>
    <w:rsid w:val="00DB3C8D"/>
    <w:rsid w:val="00DB3D69"/>
    <w:rsid w:val="00DB3F94"/>
    <w:rsid w:val="00DB40AB"/>
    <w:rsid w:val="00DB40C7"/>
    <w:rsid w:val="00DB412F"/>
    <w:rsid w:val="00DB4271"/>
    <w:rsid w:val="00DB4317"/>
    <w:rsid w:val="00DB470C"/>
    <w:rsid w:val="00DB4752"/>
    <w:rsid w:val="00DB47A8"/>
    <w:rsid w:val="00DB4A43"/>
    <w:rsid w:val="00DB4BBA"/>
    <w:rsid w:val="00DB4C52"/>
    <w:rsid w:val="00DB4CF8"/>
    <w:rsid w:val="00DB513A"/>
    <w:rsid w:val="00DB545F"/>
    <w:rsid w:val="00DB5472"/>
    <w:rsid w:val="00DB5530"/>
    <w:rsid w:val="00DB5625"/>
    <w:rsid w:val="00DB5782"/>
    <w:rsid w:val="00DB57C3"/>
    <w:rsid w:val="00DB58D6"/>
    <w:rsid w:val="00DB590B"/>
    <w:rsid w:val="00DB597A"/>
    <w:rsid w:val="00DB59E0"/>
    <w:rsid w:val="00DB5D69"/>
    <w:rsid w:val="00DB5E63"/>
    <w:rsid w:val="00DB5F6C"/>
    <w:rsid w:val="00DB6050"/>
    <w:rsid w:val="00DB6084"/>
    <w:rsid w:val="00DB61E4"/>
    <w:rsid w:val="00DB634D"/>
    <w:rsid w:val="00DB662D"/>
    <w:rsid w:val="00DB66F6"/>
    <w:rsid w:val="00DB67DE"/>
    <w:rsid w:val="00DB6805"/>
    <w:rsid w:val="00DB6CC8"/>
    <w:rsid w:val="00DB6E51"/>
    <w:rsid w:val="00DB6E82"/>
    <w:rsid w:val="00DB6ED7"/>
    <w:rsid w:val="00DB6FC8"/>
    <w:rsid w:val="00DB6FD8"/>
    <w:rsid w:val="00DB701B"/>
    <w:rsid w:val="00DB730E"/>
    <w:rsid w:val="00DB7389"/>
    <w:rsid w:val="00DB738A"/>
    <w:rsid w:val="00DB7408"/>
    <w:rsid w:val="00DB74B2"/>
    <w:rsid w:val="00DB777D"/>
    <w:rsid w:val="00DB779C"/>
    <w:rsid w:val="00DB7818"/>
    <w:rsid w:val="00DB79B3"/>
    <w:rsid w:val="00DB7BF5"/>
    <w:rsid w:val="00DB7C12"/>
    <w:rsid w:val="00DB7CBF"/>
    <w:rsid w:val="00DB7CFB"/>
    <w:rsid w:val="00DB7E23"/>
    <w:rsid w:val="00DB7E2F"/>
    <w:rsid w:val="00DB7E44"/>
    <w:rsid w:val="00DB7EDC"/>
    <w:rsid w:val="00DC02AD"/>
    <w:rsid w:val="00DC0412"/>
    <w:rsid w:val="00DC0689"/>
    <w:rsid w:val="00DC068B"/>
    <w:rsid w:val="00DC0832"/>
    <w:rsid w:val="00DC09AC"/>
    <w:rsid w:val="00DC09F1"/>
    <w:rsid w:val="00DC0BA7"/>
    <w:rsid w:val="00DC0C24"/>
    <w:rsid w:val="00DC0ED2"/>
    <w:rsid w:val="00DC0F3D"/>
    <w:rsid w:val="00DC0F4D"/>
    <w:rsid w:val="00DC1090"/>
    <w:rsid w:val="00DC125B"/>
    <w:rsid w:val="00DC132B"/>
    <w:rsid w:val="00DC13B4"/>
    <w:rsid w:val="00DC1543"/>
    <w:rsid w:val="00DC15D0"/>
    <w:rsid w:val="00DC16F3"/>
    <w:rsid w:val="00DC1767"/>
    <w:rsid w:val="00DC17CA"/>
    <w:rsid w:val="00DC18AF"/>
    <w:rsid w:val="00DC1BDB"/>
    <w:rsid w:val="00DC1CDC"/>
    <w:rsid w:val="00DC1F93"/>
    <w:rsid w:val="00DC2052"/>
    <w:rsid w:val="00DC210E"/>
    <w:rsid w:val="00DC236C"/>
    <w:rsid w:val="00DC2389"/>
    <w:rsid w:val="00DC247A"/>
    <w:rsid w:val="00DC2A45"/>
    <w:rsid w:val="00DC2ACF"/>
    <w:rsid w:val="00DC2D21"/>
    <w:rsid w:val="00DC2D9C"/>
    <w:rsid w:val="00DC2EE1"/>
    <w:rsid w:val="00DC2FF4"/>
    <w:rsid w:val="00DC3085"/>
    <w:rsid w:val="00DC30A8"/>
    <w:rsid w:val="00DC3623"/>
    <w:rsid w:val="00DC39E2"/>
    <w:rsid w:val="00DC3E67"/>
    <w:rsid w:val="00DC3F87"/>
    <w:rsid w:val="00DC40E1"/>
    <w:rsid w:val="00DC43E8"/>
    <w:rsid w:val="00DC449A"/>
    <w:rsid w:val="00DC4511"/>
    <w:rsid w:val="00DC4594"/>
    <w:rsid w:val="00DC4661"/>
    <w:rsid w:val="00DC46FF"/>
    <w:rsid w:val="00DC4763"/>
    <w:rsid w:val="00DC4909"/>
    <w:rsid w:val="00DC4AA7"/>
    <w:rsid w:val="00DC4BBD"/>
    <w:rsid w:val="00DC4D05"/>
    <w:rsid w:val="00DC4EEF"/>
    <w:rsid w:val="00DC4FC2"/>
    <w:rsid w:val="00DC500F"/>
    <w:rsid w:val="00DC506F"/>
    <w:rsid w:val="00DC536E"/>
    <w:rsid w:val="00DC557E"/>
    <w:rsid w:val="00DC5589"/>
    <w:rsid w:val="00DC5646"/>
    <w:rsid w:val="00DC5834"/>
    <w:rsid w:val="00DC5AFC"/>
    <w:rsid w:val="00DC5B65"/>
    <w:rsid w:val="00DC5B89"/>
    <w:rsid w:val="00DC5BF9"/>
    <w:rsid w:val="00DC5C12"/>
    <w:rsid w:val="00DC5DBA"/>
    <w:rsid w:val="00DC5E1A"/>
    <w:rsid w:val="00DC5ED5"/>
    <w:rsid w:val="00DC5F53"/>
    <w:rsid w:val="00DC5F96"/>
    <w:rsid w:val="00DC61B9"/>
    <w:rsid w:val="00DC624A"/>
    <w:rsid w:val="00DC636A"/>
    <w:rsid w:val="00DC649D"/>
    <w:rsid w:val="00DC6534"/>
    <w:rsid w:val="00DC65AC"/>
    <w:rsid w:val="00DC6647"/>
    <w:rsid w:val="00DC66ED"/>
    <w:rsid w:val="00DC671A"/>
    <w:rsid w:val="00DC678B"/>
    <w:rsid w:val="00DC68F1"/>
    <w:rsid w:val="00DC6966"/>
    <w:rsid w:val="00DC7038"/>
    <w:rsid w:val="00DC714C"/>
    <w:rsid w:val="00DC7153"/>
    <w:rsid w:val="00DC72AB"/>
    <w:rsid w:val="00DC743B"/>
    <w:rsid w:val="00DC75DF"/>
    <w:rsid w:val="00DC76BD"/>
    <w:rsid w:val="00DC7747"/>
    <w:rsid w:val="00DC77C4"/>
    <w:rsid w:val="00DC77F1"/>
    <w:rsid w:val="00DC7805"/>
    <w:rsid w:val="00DC7898"/>
    <w:rsid w:val="00DC7B17"/>
    <w:rsid w:val="00DC7CCE"/>
    <w:rsid w:val="00DD00CD"/>
    <w:rsid w:val="00DD032E"/>
    <w:rsid w:val="00DD062F"/>
    <w:rsid w:val="00DD076D"/>
    <w:rsid w:val="00DD07A2"/>
    <w:rsid w:val="00DD0974"/>
    <w:rsid w:val="00DD0A7A"/>
    <w:rsid w:val="00DD0C45"/>
    <w:rsid w:val="00DD0C85"/>
    <w:rsid w:val="00DD0E8D"/>
    <w:rsid w:val="00DD0E96"/>
    <w:rsid w:val="00DD0EF9"/>
    <w:rsid w:val="00DD0F05"/>
    <w:rsid w:val="00DD1268"/>
    <w:rsid w:val="00DD1269"/>
    <w:rsid w:val="00DD130F"/>
    <w:rsid w:val="00DD13F1"/>
    <w:rsid w:val="00DD15A6"/>
    <w:rsid w:val="00DD17AC"/>
    <w:rsid w:val="00DD189A"/>
    <w:rsid w:val="00DD191B"/>
    <w:rsid w:val="00DD1934"/>
    <w:rsid w:val="00DD1AEE"/>
    <w:rsid w:val="00DD1D5B"/>
    <w:rsid w:val="00DD22BA"/>
    <w:rsid w:val="00DD2309"/>
    <w:rsid w:val="00DD2313"/>
    <w:rsid w:val="00DD2571"/>
    <w:rsid w:val="00DD257F"/>
    <w:rsid w:val="00DD25C4"/>
    <w:rsid w:val="00DD25F5"/>
    <w:rsid w:val="00DD2649"/>
    <w:rsid w:val="00DD284D"/>
    <w:rsid w:val="00DD285E"/>
    <w:rsid w:val="00DD2922"/>
    <w:rsid w:val="00DD29D1"/>
    <w:rsid w:val="00DD2A68"/>
    <w:rsid w:val="00DD2B12"/>
    <w:rsid w:val="00DD2CCE"/>
    <w:rsid w:val="00DD2DFF"/>
    <w:rsid w:val="00DD2FF9"/>
    <w:rsid w:val="00DD3015"/>
    <w:rsid w:val="00DD31F6"/>
    <w:rsid w:val="00DD326C"/>
    <w:rsid w:val="00DD334B"/>
    <w:rsid w:val="00DD3420"/>
    <w:rsid w:val="00DD3430"/>
    <w:rsid w:val="00DD3493"/>
    <w:rsid w:val="00DD3620"/>
    <w:rsid w:val="00DD3626"/>
    <w:rsid w:val="00DD3643"/>
    <w:rsid w:val="00DD36B7"/>
    <w:rsid w:val="00DD37B3"/>
    <w:rsid w:val="00DD37ED"/>
    <w:rsid w:val="00DD38E6"/>
    <w:rsid w:val="00DD3B95"/>
    <w:rsid w:val="00DD3C12"/>
    <w:rsid w:val="00DD3D53"/>
    <w:rsid w:val="00DD3F48"/>
    <w:rsid w:val="00DD409E"/>
    <w:rsid w:val="00DD40B4"/>
    <w:rsid w:val="00DD4605"/>
    <w:rsid w:val="00DD48F4"/>
    <w:rsid w:val="00DD4995"/>
    <w:rsid w:val="00DD49E2"/>
    <w:rsid w:val="00DD4A50"/>
    <w:rsid w:val="00DD4E44"/>
    <w:rsid w:val="00DD4E7D"/>
    <w:rsid w:val="00DD4F0D"/>
    <w:rsid w:val="00DD5070"/>
    <w:rsid w:val="00DD5095"/>
    <w:rsid w:val="00DD5112"/>
    <w:rsid w:val="00DD530E"/>
    <w:rsid w:val="00DD54E6"/>
    <w:rsid w:val="00DD5596"/>
    <w:rsid w:val="00DD566F"/>
    <w:rsid w:val="00DD57E5"/>
    <w:rsid w:val="00DD59CD"/>
    <w:rsid w:val="00DD59DB"/>
    <w:rsid w:val="00DD5A96"/>
    <w:rsid w:val="00DD5B03"/>
    <w:rsid w:val="00DD5CBD"/>
    <w:rsid w:val="00DD5D62"/>
    <w:rsid w:val="00DD5EB2"/>
    <w:rsid w:val="00DD613D"/>
    <w:rsid w:val="00DD6158"/>
    <w:rsid w:val="00DD61CC"/>
    <w:rsid w:val="00DD61E2"/>
    <w:rsid w:val="00DD6244"/>
    <w:rsid w:val="00DD6297"/>
    <w:rsid w:val="00DD64D3"/>
    <w:rsid w:val="00DD64F3"/>
    <w:rsid w:val="00DD653C"/>
    <w:rsid w:val="00DD65A9"/>
    <w:rsid w:val="00DD6808"/>
    <w:rsid w:val="00DD693D"/>
    <w:rsid w:val="00DD694C"/>
    <w:rsid w:val="00DD69D0"/>
    <w:rsid w:val="00DD6CE1"/>
    <w:rsid w:val="00DD6CF2"/>
    <w:rsid w:val="00DD6E7C"/>
    <w:rsid w:val="00DD6EA7"/>
    <w:rsid w:val="00DD6ED1"/>
    <w:rsid w:val="00DD711D"/>
    <w:rsid w:val="00DD71F0"/>
    <w:rsid w:val="00DD738B"/>
    <w:rsid w:val="00DD7479"/>
    <w:rsid w:val="00DD74FC"/>
    <w:rsid w:val="00DD75D9"/>
    <w:rsid w:val="00DD770D"/>
    <w:rsid w:val="00DD781F"/>
    <w:rsid w:val="00DD7A29"/>
    <w:rsid w:val="00DD7EB0"/>
    <w:rsid w:val="00DD7EDC"/>
    <w:rsid w:val="00DD7EF6"/>
    <w:rsid w:val="00DD7FAD"/>
    <w:rsid w:val="00DD7FB7"/>
    <w:rsid w:val="00DD7FDA"/>
    <w:rsid w:val="00DE02D0"/>
    <w:rsid w:val="00DE03EB"/>
    <w:rsid w:val="00DE04BE"/>
    <w:rsid w:val="00DE06E1"/>
    <w:rsid w:val="00DE0A24"/>
    <w:rsid w:val="00DE0A29"/>
    <w:rsid w:val="00DE0B39"/>
    <w:rsid w:val="00DE0E38"/>
    <w:rsid w:val="00DE0F53"/>
    <w:rsid w:val="00DE1134"/>
    <w:rsid w:val="00DE125E"/>
    <w:rsid w:val="00DE1468"/>
    <w:rsid w:val="00DE17A9"/>
    <w:rsid w:val="00DE1931"/>
    <w:rsid w:val="00DE194D"/>
    <w:rsid w:val="00DE1BE3"/>
    <w:rsid w:val="00DE1BE6"/>
    <w:rsid w:val="00DE1DF5"/>
    <w:rsid w:val="00DE1FDA"/>
    <w:rsid w:val="00DE2141"/>
    <w:rsid w:val="00DE22E8"/>
    <w:rsid w:val="00DE22F4"/>
    <w:rsid w:val="00DE2385"/>
    <w:rsid w:val="00DE262B"/>
    <w:rsid w:val="00DE26E9"/>
    <w:rsid w:val="00DE27BB"/>
    <w:rsid w:val="00DE29B1"/>
    <w:rsid w:val="00DE2B3D"/>
    <w:rsid w:val="00DE2DF1"/>
    <w:rsid w:val="00DE2DF6"/>
    <w:rsid w:val="00DE2FF0"/>
    <w:rsid w:val="00DE303F"/>
    <w:rsid w:val="00DE3236"/>
    <w:rsid w:val="00DE3240"/>
    <w:rsid w:val="00DE33A3"/>
    <w:rsid w:val="00DE341D"/>
    <w:rsid w:val="00DE342E"/>
    <w:rsid w:val="00DE34CE"/>
    <w:rsid w:val="00DE35D8"/>
    <w:rsid w:val="00DE3691"/>
    <w:rsid w:val="00DE36C7"/>
    <w:rsid w:val="00DE3841"/>
    <w:rsid w:val="00DE3929"/>
    <w:rsid w:val="00DE39AD"/>
    <w:rsid w:val="00DE39FA"/>
    <w:rsid w:val="00DE3C1E"/>
    <w:rsid w:val="00DE3E04"/>
    <w:rsid w:val="00DE3E10"/>
    <w:rsid w:val="00DE3F5B"/>
    <w:rsid w:val="00DE3F9B"/>
    <w:rsid w:val="00DE41BC"/>
    <w:rsid w:val="00DE445B"/>
    <w:rsid w:val="00DE44CC"/>
    <w:rsid w:val="00DE45C7"/>
    <w:rsid w:val="00DE472F"/>
    <w:rsid w:val="00DE47F0"/>
    <w:rsid w:val="00DE4821"/>
    <w:rsid w:val="00DE4BF3"/>
    <w:rsid w:val="00DE4C10"/>
    <w:rsid w:val="00DE4C53"/>
    <w:rsid w:val="00DE4D29"/>
    <w:rsid w:val="00DE4DE2"/>
    <w:rsid w:val="00DE4E14"/>
    <w:rsid w:val="00DE504B"/>
    <w:rsid w:val="00DE5094"/>
    <w:rsid w:val="00DE5118"/>
    <w:rsid w:val="00DE52A0"/>
    <w:rsid w:val="00DE5454"/>
    <w:rsid w:val="00DE54E9"/>
    <w:rsid w:val="00DE565F"/>
    <w:rsid w:val="00DE57DC"/>
    <w:rsid w:val="00DE58BE"/>
    <w:rsid w:val="00DE594F"/>
    <w:rsid w:val="00DE59FF"/>
    <w:rsid w:val="00DE5A33"/>
    <w:rsid w:val="00DE5BB5"/>
    <w:rsid w:val="00DE5D8E"/>
    <w:rsid w:val="00DE5F94"/>
    <w:rsid w:val="00DE617E"/>
    <w:rsid w:val="00DE619F"/>
    <w:rsid w:val="00DE61DD"/>
    <w:rsid w:val="00DE61F4"/>
    <w:rsid w:val="00DE6293"/>
    <w:rsid w:val="00DE63F1"/>
    <w:rsid w:val="00DE64E3"/>
    <w:rsid w:val="00DE65A7"/>
    <w:rsid w:val="00DE673F"/>
    <w:rsid w:val="00DE67C1"/>
    <w:rsid w:val="00DE684B"/>
    <w:rsid w:val="00DE6DD0"/>
    <w:rsid w:val="00DE6F05"/>
    <w:rsid w:val="00DE702F"/>
    <w:rsid w:val="00DE7169"/>
    <w:rsid w:val="00DE71D2"/>
    <w:rsid w:val="00DE721B"/>
    <w:rsid w:val="00DE7409"/>
    <w:rsid w:val="00DE74D9"/>
    <w:rsid w:val="00DE7504"/>
    <w:rsid w:val="00DE75D7"/>
    <w:rsid w:val="00DE7964"/>
    <w:rsid w:val="00DE79B4"/>
    <w:rsid w:val="00DE79D4"/>
    <w:rsid w:val="00DE7BC8"/>
    <w:rsid w:val="00DE7CC8"/>
    <w:rsid w:val="00DE7D39"/>
    <w:rsid w:val="00DE7EFE"/>
    <w:rsid w:val="00DF059D"/>
    <w:rsid w:val="00DF05F7"/>
    <w:rsid w:val="00DF068B"/>
    <w:rsid w:val="00DF0947"/>
    <w:rsid w:val="00DF0997"/>
    <w:rsid w:val="00DF0B80"/>
    <w:rsid w:val="00DF0C4C"/>
    <w:rsid w:val="00DF0FBB"/>
    <w:rsid w:val="00DF100B"/>
    <w:rsid w:val="00DF109D"/>
    <w:rsid w:val="00DF13A5"/>
    <w:rsid w:val="00DF1500"/>
    <w:rsid w:val="00DF164F"/>
    <w:rsid w:val="00DF171C"/>
    <w:rsid w:val="00DF18FE"/>
    <w:rsid w:val="00DF1972"/>
    <w:rsid w:val="00DF1AEF"/>
    <w:rsid w:val="00DF1C41"/>
    <w:rsid w:val="00DF1DF4"/>
    <w:rsid w:val="00DF208B"/>
    <w:rsid w:val="00DF2189"/>
    <w:rsid w:val="00DF2291"/>
    <w:rsid w:val="00DF23B5"/>
    <w:rsid w:val="00DF23CA"/>
    <w:rsid w:val="00DF2422"/>
    <w:rsid w:val="00DF2540"/>
    <w:rsid w:val="00DF2554"/>
    <w:rsid w:val="00DF2614"/>
    <w:rsid w:val="00DF27A3"/>
    <w:rsid w:val="00DF2884"/>
    <w:rsid w:val="00DF2894"/>
    <w:rsid w:val="00DF2C22"/>
    <w:rsid w:val="00DF2D50"/>
    <w:rsid w:val="00DF2D75"/>
    <w:rsid w:val="00DF2E76"/>
    <w:rsid w:val="00DF2EB5"/>
    <w:rsid w:val="00DF3277"/>
    <w:rsid w:val="00DF32E1"/>
    <w:rsid w:val="00DF336A"/>
    <w:rsid w:val="00DF3535"/>
    <w:rsid w:val="00DF36E0"/>
    <w:rsid w:val="00DF3840"/>
    <w:rsid w:val="00DF3A24"/>
    <w:rsid w:val="00DF3ABD"/>
    <w:rsid w:val="00DF3C43"/>
    <w:rsid w:val="00DF3D01"/>
    <w:rsid w:val="00DF3D62"/>
    <w:rsid w:val="00DF3FDA"/>
    <w:rsid w:val="00DF4150"/>
    <w:rsid w:val="00DF42C4"/>
    <w:rsid w:val="00DF42D6"/>
    <w:rsid w:val="00DF438C"/>
    <w:rsid w:val="00DF457A"/>
    <w:rsid w:val="00DF4595"/>
    <w:rsid w:val="00DF4986"/>
    <w:rsid w:val="00DF4A7F"/>
    <w:rsid w:val="00DF4A8D"/>
    <w:rsid w:val="00DF4BD0"/>
    <w:rsid w:val="00DF4C21"/>
    <w:rsid w:val="00DF4C82"/>
    <w:rsid w:val="00DF4D88"/>
    <w:rsid w:val="00DF4EE8"/>
    <w:rsid w:val="00DF5035"/>
    <w:rsid w:val="00DF50DF"/>
    <w:rsid w:val="00DF524A"/>
    <w:rsid w:val="00DF5297"/>
    <w:rsid w:val="00DF5332"/>
    <w:rsid w:val="00DF54A3"/>
    <w:rsid w:val="00DF555E"/>
    <w:rsid w:val="00DF567A"/>
    <w:rsid w:val="00DF5821"/>
    <w:rsid w:val="00DF5A91"/>
    <w:rsid w:val="00DF5AE7"/>
    <w:rsid w:val="00DF5B41"/>
    <w:rsid w:val="00DF5C96"/>
    <w:rsid w:val="00DF5D18"/>
    <w:rsid w:val="00DF5DEE"/>
    <w:rsid w:val="00DF5E00"/>
    <w:rsid w:val="00DF5ED2"/>
    <w:rsid w:val="00DF5FF4"/>
    <w:rsid w:val="00DF5FFA"/>
    <w:rsid w:val="00DF60C4"/>
    <w:rsid w:val="00DF6176"/>
    <w:rsid w:val="00DF63EA"/>
    <w:rsid w:val="00DF6459"/>
    <w:rsid w:val="00DF6469"/>
    <w:rsid w:val="00DF6565"/>
    <w:rsid w:val="00DF65CF"/>
    <w:rsid w:val="00DF669A"/>
    <w:rsid w:val="00DF6714"/>
    <w:rsid w:val="00DF67FB"/>
    <w:rsid w:val="00DF6959"/>
    <w:rsid w:val="00DF69B6"/>
    <w:rsid w:val="00DF69CD"/>
    <w:rsid w:val="00DF6BA7"/>
    <w:rsid w:val="00DF6BF1"/>
    <w:rsid w:val="00DF6D5F"/>
    <w:rsid w:val="00DF6DFE"/>
    <w:rsid w:val="00DF6E07"/>
    <w:rsid w:val="00DF6E9D"/>
    <w:rsid w:val="00DF70D3"/>
    <w:rsid w:val="00DF7211"/>
    <w:rsid w:val="00DF73E6"/>
    <w:rsid w:val="00DF75C0"/>
    <w:rsid w:val="00DF75F2"/>
    <w:rsid w:val="00DF76F7"/>
    <w:rsid w:val="00DF77B8"/>
    <w:rsid w:val="00DF7949"/>
    <w:rsid w:val="00DF7C52"/>
    <w:rsid w:val="00DF7EA6"/>
    <w:rsid w:val="00DF7FF2"/>
    <w:rsid w:val="00E001A4"/>
    <w:rsid w:val="00E001AC"/>
    <w:rsid w:val="00E00243"/>
    <w:rsid w:val="00E00458"/>
    <w:rsid w:val="00E004CD"/>
    <w:rsid w:val="00E0068E"/>
    <w:rsid w:val="00E00791"/>
    <w:rsid w:val="00E008DA"/>
    <w:rsid w:val="00E00A38"/>
    <w:rsid w:val="00E00C78"/>
    <w:rsid w:val="00E00C8C"/>
    <w:rsid w:val="00E010E1"/>
    <w:rsid w:val="00E0115E"/>
    <w:rsid w:val="00E011CD"/>
    <w:rsid w:val="00E012CF"/>
    <w:rsid w:val="00E01368"/>
    <w:rsid w:val="00E013FA"/>
    <w:rsid w:val="00E015E8"/>
    <w:rsid w:val="00E01623"/>
    <w:rsid w:val="00E016AA"/>
    <w:rsid w:val="00E016F2"/>
    <w:rsid w:val="00E017B2"/>
    <w:rsid w:val="00E0199B"/>
    <w:rsid w:val="00E019DC"/>
    <w:rsid w:val="00E019F1"/>
    <w:rsid w:val="00E01A0F"/>
    <w:rsid w:val="00E01BE8"/>
    <w:rsid w:val="00E01C02"/>
    <w:rsid w:val="00E01C44"/>
    <w:rsid w:val="00E01CE0"/>
    <w:rsid w:val="00E01D55"/>
    <w:rsid w:val="00E01ED9"/>
    <w:rsid w:val="00E022B2"/>
    <w:rsid w:val="00E02457"/>
    <w:rsid w:val="00E02869"/>
    <w:rsid w:val="00E02B13"/>
    <w:rsid w:val="00E02CD1"/>
    <w:rsid w:val="00E02CD6"/>
    <w:rsid w:val="00E02D9B"/>
    <w:rsid w:val="00E02E9B"/>
    <w:rsid w:val="00E02F39"/>
    <w:rsid w:val="00E02F51"/>
    <w:rsid w:val="00E02F52"/>
    <w:rsid w:val="00E031C8"/>
    <w:rsid w:val="00E031FD"/>
    <w:rsid w:val="00E03228"/>
    <w:rsid w:val="00E03247"/>
    <w:rsid w:val="00E03283"/>
    <w:rsid w:val="00E03417"/>
    <w:rsid w:val="00E03495"/>
    <w:rsid w:val="00E034AB"/>
    <w:rsid w:val="00E034D7"/>
    <w:rsid w:val="00E035CF"/>
    <w:rsid w:val="00E03694"/>
    <w:rsid w:val="00E037BD"/>
    <w:rsid w:val="00E03966"/>
    <w:rsid w:val="00E03A92"/>
    <w:rsid w:val="00E03B91"/>
    <w:rsid w:val="00E03EA2"/>
    <w:rsid w:val="00E03F5B"/>
    <w:rsid w:val="00E03F66"/>
    <w:rsid w:val="00E04005"/>
    <w:rsid w:val="00E041A8"/>
    <w:rsid w:val="00E042B0"/>
    <w:rsid w:val="00E0445A"/>
    <w:rsid w:val="00E0453C"/>
    <w:rsid w:val="00E046C1"/>
    <w:rsid w:val="00E04733"/>
    <w:rsid w:val="00E04768"/>
    <w:rsid w:val="00E04775"/>
    <w:rsid w:val="00E048AF"/>
    <w:rsid w:val="00E049BC"/>
    <w:rsid w:val="00E049CF"/>
    <w:rsid w:val="00E04BCC"/>
    <w:rsid w:val="00E04CB4"/>
    <w:rsid w:val="00E04CC6"/>
    <w:rsid w:val="00E04EE7"/>
    <w:rsid w:val="00E04EFD"/>
    <w:rsid w:val="00E04F23"/>
    <w:rsid w:val="00E050DA"/>
    <w:rsid w:val="00E050ED"/>
    <w:rsid w:val="00E052C9"/>
    <w:rsid w:val="00E0584C"/>
    <w:rsid w:val="00E05A3E"/>
    <w:rsid w:val="00E05A97"/>
    <w:rsid w:val="00E05B32"/>
    <w:rsid w:val="00E05CBC"/>
    <w:rsid w:val="00E05DF5"/>
    <w:rsid w:val="00E0606B"/>
    <w:rsid w:val="00E062F4"/>
    <w:rsid w:val="00E065C9"/>
    <w:rsid w:val="00E0665B"/>
    <w:rsid w:val="00E066F4"/>
    <w:rsid w:val="00E069A2"/>
    <w:rsid w:val="00E06B15"/>
    <w:rsid w:val="00E06C20"/>
    <w:rsid w:val="00E06E1B"/>
    <w:rsid w:val="00E06F20"/>
    <w:rsid w:val="00E0712A"/>
    <w:rsid w:val="00E0713C"/>
    <w:rsid w:val="00E07590"/>
    <w:rsid w:val="00E075AE"/>
    <w:rsid w:val="00E07759"/>
    <w:rsid w:val="00E0798E"/>
    <w:rsid w:val="00E07B6C"/>
    <w:rsid w:val="00E07C9B"/>
    <w:rsid w:val="00E07F2F"/>
    <w:rsid w:val="00E10048"/>
    <w:rsid w:val="00E1028F"/>
    <w:rsid w:val="00E10341"/>
    <w:rsid w:val="00E10372"/>
    <w:rsid w:val="00E103F1"/>
    <w:rsid w:val="00E106A0"/>
    <w:rsid w:val="00E10893"/>
    <w:rsid w:val="00E1090B"/>
    <w:rsid w:val="00E1096F"/>
    <w:rsid w:val="00E1113C"/>
    <w:rsid w:val="00E11169"/>
    <w:rsid w:val="00E11412"/>
    <w:rsid w:val="00E11413"/>
    <w:rsid w:val="00E114C0"/>
    <w:rsid w:val="00E115D6"/>
    <w:rsid w:val="00E1162A"/>
    <w:rsid w:val="00E11802"/>
    <w:rsid w:val="00E11A2D"/>
    <w:rsid w:val="00E11D75"/>
    <w:rsid w:val="00E11E6E"/>
    <w:rsid w:val="00E11E80"/>
    <w:rsid w:val="00E11F94"/>
    <w:rsid w:val="00E11FAE"/>
    <w:rsid w:val="00E121B9"/>
    <w:rsid w:val="00E1224A"/>
    <w:rsid w:val="00E1260E"/>
    <w:rsid w:val="00E127C1"/>
    <w:rsid w:val="00E12AE6"/>
    <w:rsid w:val="00E12DF5"/>
    <w:rsid w:val="00E12F8D"/>
    <w:rsid w:val="00E12FDE"/>
    <w:rsid w:val="00E1306E"/>
    <w:rsid w:val="00E13292"/>
    <w:rsid w:val="00E13712"/>
    <w:rsid w:val="00E13777"/>
    <w:rsid w:val="00E137B3"/>
    <w:rsid w:val="00E137F8"/>
    <w:rsid w:val="00E13963"/>
    <w:rsid w:val="00E13ADF"/>
    <w:rsid w:val="00E13B2B"/>
    <w:rsid w:val="00E13B31"/>
    <w:rsid w:val="00E13C5C"/>
    <w:rsid w:val="00E13D71"/>
    <w:rsid w:val="00E13E10"/>
    <w:rsid w:val="00E14044"/>
    <w:rsid w:val="00E140CB"/>
    <w:rsid w:val="00E14228"/>
    <w:rsid w:val="00E14278"/>
    <w:rsid w:val="00E14487"/>
    <w:rsid w:val="00E1449F"/>
    <w:rsid w:val="00E144B2"/>
    <w:rsid w:val="00E148BE"/>
    <w:rsid w:val="00E14931"/>
    <w:rsid w:val="00E1496F"/>
    <w:rsid w:val="00E14A10"/>
    <w:rsid w:val="00E14A51"/>
    <w:rsid w:val="00E14A68"/>
    <w:rsid w:val="00E14B0A"/>
    <w:rsid w:val="00E14D63"/>
    <w:rsid w:val="00E14D8B"/>
    <w:rsid w:val="00E14ED2"/>
    <w:rsid w:val="00E14F4D"/>
    <w:rsid w:val="00E1509D"/>
    <w:rsid w:val="00E151C9"/>
    <w:rsid w:val="00E152F8"/>
    <w:rsid w:val="00E15484"/>
    <w:rsid w:val="00E154A8"/>
    <w:rsid w:val="00E15669"/>
    <w:rsid w:val="00E15717"/>
    <w:rsid w:val="00E157C3"/>
    <w:rsid w:val="00E15900"/>
    <w:rsid w:val="00E159F2"/>
    <w:rsid w:val="00E15D4F"/>
    <w:rsid w:val="00E15DA5"/>
    <w:rsid w:val="00E15DD4"/>
    <w:rsid w:val="00E15E9D"/>
    <w:rsid w:val="00E15EE8"/>
    <w:rsid w:val="00E1608F"/>
    <w:rsid w:val="00E1632E"/>
    <w:rsid w:val="00E16448"/>
    <w:rsid w:val="00E164BC"/>
    <w:rsid w:val="00E164E4"/>
    <w:rsid w:val="00E16580"/>
    <w:rsid w:val="00E16913"/>
    <w:rsid w:val="00E16944"/>
    <w:rsid w:val="00E16A59"/>
    <w:rsid w:val="00E16A98"/>
    <w:rsid w:val="00E16A9A"/>
    <w:rsid w:val="00E16AA5"/>
    <w:rsid w:val="00E16C1B"/>
    <w:rsid w:val="00E16C1D"/>
    <w:rsid w:val="00E16D31"/>
    <w:rsid w:val="00E16DA8"/>
    <w:rsid w:val="00E16E13"/>
    <w:rsid w:val="00E16E5A"/>
    <w:rsid w:val="00E16ECC"/>
    <w:rsid w:val="00E16ED6"/>
    <w:rsid w:val="00E16F31"/>
    <w:rsid w:val="00E16FAF"/>
    <w:rsid w:val="00E170C7"/>
    <w:rsid w:val="00E17144"/>
    <w:rsid w:val="00E1743D"/>
    <w:rsid w:val="00E1758E"/>
    <w:rsid w:val="00E17736"/>
    <w:rsid w:val="00E17B26"/>
    <w:rsid w:val="00E17BD8"/>
    <w:rsid w:val="00E17C72"/>
    <w:rsid w:val="00E17D7B"/>
    <w:rsid w:val="00E17E19"/>
    <w:rsid w:val="00E17E3C"/>
    <w:rsid w:val="00E202D0"/>
    <w:rsid w:val="00E20363"/>
    <w:rsid w:val="00E2077E"/>
    <w:rsid w:val="00E20A77"/>
    <w:rsid w:val="00E20A9E"/>
    <w:rsid w:val="00E20B35"/>
    <w:rsid w:val="00E20C07"/>
    <w:rsid w:val="00E20D65"/>
    <w:rsid w:val="00E20E39"/>
    <w:rsid w:val="00E20ED0"/>
    <w:rsid w:val="00E211D8"/>
    <w:rsid w:val="00E2123F"/>
    <w:rsid w:val="00E2126D"/>
    <w:rsid w:val="00E2128E"/>
    <w:rsid w:val="00E212E0"/>
    <w:rsid w:val="00E2130B"/>
    <w:rsid w:val="00E2134A"/>
    <w:rsid w:val="00E213F4"/>
    <w:rsid w:val="00E21455"/>
    <w:rsid w:val="00E2159A"/>
    <w:rsid w:val="00E217B0"/>
    <w:rsid w:val="00E219B6"/>
    <w:rsid w:val="00E21A78"/>
    <w:rsid w:val="00E21CB4"/>
    <w:rsid w:val="00E21E04"/>
    <w:rsid w:val="00E21EC3"/>
    <w:rsid w:val="00E22117"/>
    <w:rsid w:val="00E2218A"/>
    <w:rsid w:val="00E221FF"/>
    <w:rsid w:val="00E222F6"/>
    <w:rsid w:val="00E2244F"/>
    <w:rsid w:val="00E22527"/>
    <w:rsid w:val="00E2256E"/>
    <w:rsid w:val="00E2256F"/>
    <w:rsid w:val="00E2275F"/>
    <w:rsid w:val="00E22958"/>
    <w:rsid w:val="00E22B04"/>
    <w:rsid w:val="00E22E5E"/>
    <w:rsid w:val="00E22E64"/>
    <w:rsid w:val="00E22EAE"/>
    <w:rsid w:val="00E22F30"/>
    <w:rsid w:val="00E22F31"/>
    <w:rsid w:val="00E2300A"/>
    <w:rsid w:val="00E230DB"/>
    <w:rsid w:val="00E23231"/>
    <w:rsid w:val="00E23257"/>
    <w:rsid w:val="00E23371"/>
    <w:rsid w:val="00E23474"/>
    <w:rsid w:val="00E23775"/>
    <w:rsid w:val="00E23851"/>
    <w:rsid w:val="00E23A16"/>
    <w:rsid w:val="00E23AF4"/>
    <w:rsid w:val="00E23B95"/>
    <w:rsid w:val="00E23BD3"/>
    <w:rsid w:val="00E23C0B"/>
    <w:rsid w:val="00E240A1"/>
    <w:rsid w:val="00E24246"/>
    <w:rsid w:val="00E242AF"/>
    <w:rsid w:val="00E244EC"/>
    <w:rsid w:val="00E245F9"/>
    <w:rsid w:val="00E2464D"/>
    <w:rsid w:val="00E2478D"/>
    <w:rsid w:val="00E247C5"/>
    <w:rsid w:val="00E247D2"/>
    <w:rsid w:val="00E247F3"/>
    <w:rsid w:val="00E2481F"/>
    <w:rsid w:val="00E24831"/>
    <w:rsid w:val="00E248E6"/>
    <w:rsid w:val="00E24C5F"/>
    <w:rsid w:val="00E250B2"/>
    <w:rsid w:val="00E2518D"/>
    <w:rsid w:val="00E2529E"/>
    <w:rsid w:val="00E252C7"/>
    <w:rsid w:val="00E25310"/>
    <w:rsid w:val="00E25359"/>
    <w:rsid w:val="00E25658"/>
    <w:rsid w:val="00E257BD"/>
    <w:rsid w:val="00E257ED"/>
    <w:rsid w:val="00E257FD"/>
    <w:rsid w:val="00E25896"/>
    <w:rsid w:val="00E259B0"/>
    <w:rsid w:val="00E25A60"/>
    <w:rsid w:val="00E25B88"/>
    <w:rsid w:val="00E25BAD"/>
    <w:rsid w:val="00E25C4F"/>
    <w:rsid w:val="00E25C72"/>
    <w:rsid w:val="00E25E6C"/>
    <w:rsid w:val="00E25F1D"/>
    <w:rsid w:val="00E26061"/>
    <w:rsid w:val="00E26113"/>
    <w:rsid w:val="00E263F0"/>
    <w:rsid w:val="00E2694F"/>
    <w:rsid w:val="00E269FC"/>
    <w:rsid w:val="00E26AAE"/>
    <w:rsid w:val="00E26C11"/>
    <w:rsid w:val="00E26D04"/>
    <w:rsid w:val="00E26D27"/>
    <w:rsid w:val="00E26F3B"/>
    <w:rsid w:val="00E27053"/>
    <w:rsid w:val="00E27204"/>
    <w:rsid w:val="00E273F1"/>
    <w:rsid w:val="00E27436"/>
    <w:rsid w:val="00E27616"/>
    <w:rsid w:val="00E2769D"/>
    <w:rsid w:val="00E276CD"/>
    <w:rsid w:val="00E276E3"/>
    <w:rsid w:val="00E27946"/>
    <w:rsid w:val="00E27A75"/>
    <w:rsid w:val="00E27AB6"/>
    <w:rsid w:val="00E27B47"/>
    <w:rsid w:val="00E27BE0"/>
    <w:rsid w:val="00E27CBB"/>
    <w:rsid w:val="00E27D2A"/>
    <w:rsid w:val="00E27F71"/>
    <w:rsid w:val="00E27FB0"/>
    <w:rsid w:val="00E3009D"/>
    <w:rsid w:val="00E30232"/>
    <w:rsid w:val="00E303C7"/>
    <w:rsid w:val="00E3044E"/>
    <w:rsid w:val="00E30715"/>
    <w:rsid w:val="00E308E5"/>
    <w:rsid w:val="00E3094C"/>
    <w:rsid w:val="00E30B2E"/>
    <w:rsid w:val="00E30E55"/>
    <w:rsid w:val="00E30F52"/>
    <w:rsid w:val="00E30FC8"/>
    <w:rsid w:val="00E310E2"/>
    <w:rsid w:val="00E311D3"/>
    <w:rsid w:val="00E31211"/>
    <w:rsid w:val="00E312CC"/>
    <w:rsid w:val="00E313E9"/>
    <w:rsid w:val="00E31494"/>
    <w:rsid w:val="00E314F4"/>
    <w:rsid w:val="00E3159A"/>
    <w:rsid w:val="00E315A8"/>
    <w:rsid w:val="00E31645"/>
    <w:rsid w:val="00E31721"/>
    <w:rsid w:val="00E31773"/>
    <w:rsid w:val="00E31828"/>
    <w:rsid w:val="00E31962"/>
    <w:rsid w:val="00E31997"/>
    <w:rsid w:val="00E319B1"/>
    <w:rsid w:val="00E31A3A"/>
    <w:rsid w:val="00E31BBD"/>
    <w:rsid w:val="00E31C4A"/>
    <w:rsid w:val="00E31C6D"/>
    <w:rsid w:val="00E31E43"/>
    <w:rsid w:val="00E31E78"/>
    <w:rsid w:val="00E32051"/>
    <w:rsid w:val="00E320B5"/>
    <w:rsid w:val="00E320E3"/>
    <w:rsid w:val="00E3235F"/>
    <w:rsid w:val="00E327AB"/>
    <w:rsid w:val="00E32823"/>
    <w:rsid w:val="00E329D5"/>
    <w:rsid w:val="00E32A11"/>
    <w:rsid w:val="00E32A36"/>
    <w:rsid w:val="00E32B50"/>
    <w:rsid w:val="00E32D85"/>
    <w:rsid w:val="00E32F58"/>
    <w:rsid w:val="00E337F1"/>
    <w:rsid w:val="00E33890"/>
    <w:rsid w:val="00E338ED"/>
    <w:rsid w:val="00E3397A"/>
    <w:rsid w:val="00E339F8"/>
    <w:rsid w:val="00E33C85"/>
    <w:rsid w:val="00E33E66"/>
    <w:rsid w:val="00E340FE"/>
    <w:rsid w:val="00E342C6"/>
    <w:rsid w:val="00E34557"/>
    <w:rsid w:val="00E34579"/>
    <w:rsid w:val="00E34584"/>
    <w:rsid w:val="00E34781"/>
    <w:rsid w:val="00E347D5"/>
    <w:rsid w:val="00E348C6"/>
    <w:rsid w:val="00E348F0"/>
    <w:rsid w:val="00E349EC"/>
    <w:rsid w:val="00E34BD2"/>
    <w:rsid w:val="00E34BFB"/>
    <w:rsid w:val="00E34CB2"/>
    <w:rsid w:val="00E34EBC"/>
    <w:rsid w:val="00E3501C"/>
    <w:rsid w:val="00E351E1"/>
    <w:rsid w:val="00E351EE"/>
    <w:rsid w:val="00E351F1"/>
    <w:rsid w:val="00E355CD"/>
    <w:rsid w:val="00E3565E"/>
    <w:rsid w:val="00E3582E"/>
    <w:rsid w:val="00E35917"/>
    <w:rsid w:val="00E35BD3"/>
    <w:rsid w:val="00E35C00"/>
    <w:rsid w:val="00E35C22"/>
    <w:rsid w:val="00E35DD9"/>
    <w:rsid w:val="00E35F5E"/>
    <w:rsid w:val="00E35FBF"/>
    <w:rsid w:val="00E35FFB"/>
    <w:rsid w:val="00E36195"/>
    <w:rsid w:val="00E36215"/>
    <w:rsid w:val="00E366E3"/>
    <w:rsid w:val="00E36714"/>
    <w:rsid w:val="00E367C7"/>
    <w:rsid w:val="00E36886"/>
    <w:rsid w:val="00E368D9"/>
    <w:rsid w:val="00E36C4F"/>
    <w:rsid w:val="00E36E5D"/>
    <w:rsid w:val="00E36EF0"/>
    <w:rsid w:val="00E36F66"/>
    <w:rsid w:val="00E36F8E"/>
    <w:rsid w:val="00E36FE2"/>
    <w:rsid w:val="00E370C9"/>
    <w:rsid w:val="00E3710E"/>
    <w:rsid w:val="00E3714D"/>
    <w:rsid w:val="00E3728A"/>
    <w:rsid w:val="00E37395"/>
    <w:rsid w:val="00E374C8"/>
    <w:rsid w:val="00E37663"/>
    <w:rsid w:val="00E377C9"/>
    <w:rsid w:val="00E378A0"/>
    <w:rsid w:val="00E378D0"/>
    <w:rsid w:val="00E37A19"/>
    <w:rsid w:val="00E37ED3"/>
    <w:rsid w:val="00E37F36"/>
    <w:rsid w:val="00E37FF8"/>
    <w:rsid w:val="00E40261"/>
    <w:rsid w:val="00E40400"/>
    <w:rsid w:val="00E404C5"/>
    <w:rsid w:val="00E40605"/>
    <w:rsid w:val="00E40652"/>
    <w:rsid w:val="00E40A0E"/>
    <w:rsid w:val="00E40B2F"/>
    <w:rsid w:val="00E40E1A"/>
    <w:rsid w:val="00E40E58"/>
    <w:rsid w:val="00E41018"/>
    <w:rsid w:val="00E412FB"/>
    <w:rsid w:val="00E4142C"/>
    <w:rsid w:val="00E41602"/>
    <w:rsid w:val="00E4174E"/>
    <w:rsid w:val="00E4182F"/>
    <w:rsid w:val="00E419A9"/>
    <w:rsid w:val="00E41AAA"/>
    <w:rsid w:val="00E41ACE"/>
    <w:rsid w:val="00E41ADE"/>
    <w:rsid w:val="00E41B1A"/>
    <w:rsid w:val="00E41B65"/>
    <w:rsid w:val="00E41B91"/>
    <w:rsid w:val="00E41BE8"/>
    <w:rsid w:val="00E41CDD"/>
    <w:rsid w:val="00E41D15"/>
    <w:rsid w:val="00E41EBC"/>
    <w:rsid w:val="00E41EED"/>
    <w:rsid w:val="00E41FCA"/>
    <w:rsid w:val="00E420F6"/>
    <w:rsid w:val="00E4211C"/>
    <w:rsid w:val="00E421B5"/>
    <w:rsid w:val="00E421D9"/>
    <w:rsid w:val="00E42203"/>
    <w:rsid w:val="00E42217"/>
    <w:rsid w:val="00E422DB"/>
    <w:rsid w:val="00E42351"/>
    <w:rsid w:val="00E427E6"/>
    <w:rsid w:val="00E42855"/>
    <w:rsid w:val="00E42AC0"/>
    <w:rsid w:val="00E42ACF"/>
    <w:rsid w:val="00E42C58"/>
    <w:rsid w:val="00E42CC5"/>
    <w:rsid w:val="00E42D49"/>
    <w:rsid w:val="00E42E94"/>
    <w:rsid w:val="00E42F90"/>
    <w:rsid w:val="00E43109"/>
    <w:rsid w:val="00E4312B"/>
    <w:rsid w:val="00E4323F"/>
    <w:rsid w:val="00E43353"/>
    <w:rsid w:val="00E43386"/>
    <w:rsid w:val="00E434B8"/>
    <w:rsid w:val="00E434DC"/>
    <w:rsid w:val="00E439C9"/>
    <w:rsid w:val="00E43D04"/>
    <w:rsid w:val="00E43D6E"/>
    <w:rsid w:val="00E43EE6"/>
    <w:rsid w:val="00E43FEA"/>
    <w:rsid w:val="00E44296"/>
    <w:rsid w:val="00E44420"/>
    <w:rsid w:val="00E444B4"/>
    <w:rsid w:val="00E44540"/>
    <w:rsid w:val="00E4460D"/>
    <w:rsid w:val="00E44634"/>
    <w:rsid w:val="00E44730"/>
    <w:rsid w:val="00E44732"/>
    <w:rsid w:val="00E4476F"/>
    <w:rsid w:val="00E44784"/>
    <w:rsid w:val="00E447D3"/>
    <w:rsid w:val="00E447E7"/>
    <w:rsid w:val="00E44875"/>
    <w:rsid w:val="00E44944"/>
    <w:rsid w:val="00E44A3F"/>
    <w:rsid w:val="00E44BF9"/>
    <w:rsid w:val="00E44C00"/>
    <w:rsid w:val="00E44D1C"/>
    <w:rsid w:val="00E44D46"/>
    <w:rsid w:val="00E44DA0"/>
    <w:rsid w:val="00E44DCE"/>
    <w:rsid w:val="00E44E2E"/>
    <w:rsid w:val="00E44E80"/>
    <w:rsid w:val="00E44E83"/>
    <w:rsid w:val="00E45054"/>
    <w:rsid w:val="00E4519C"/>
    <w:rsid w:val="00E454F1"/>
    <w:rsid w:val="00E456FF"/>
    <w:rsid w:val="00E457CD"/>
    <w:rsid w:val="00E45875"/>
    <w:rsid w:val="00E45928"/>
    <w:rsid w:val="00E45996"/>
    <w:rsid w:val="00E45A17"/>
    <w:rsid w:val="00E45A4C"/>
    <w:rsid w:val="00E45AB7"/>
    <w:rsid w:val="00E45ABD"/>
    <w:rsid w:val="00E45C01"/>
    <w:rsid w:val="00E45C85"/>
    <w:rsid w:val="00E45D21"/>
    <w:rsid w:val="00E45FBB"/>
    <w:rsid w:val="00E45FEE"/>
    <w:rsid w:val="00E4612D"/>
    <w:rsid w:val="00E46260"/>
    <w:rsid w:val="00E462A5"/>
    <w:rsid w:val="00E462BE"/>
    <w:rsid w:val="00E462E6"/>
    <w:rsid w:val="00E463BE"/>
    <w:rsid w:val="00E463F7"/>
    <w:rsid w:val="00E464BB"/>
    <w:rsid w:val="00E46579"/>
    <w:rsid w:val="00E465B2"/>
    <w:rsid w:val="00E4685E"/>
    <w:rsid w:val="00E468DB"/>
    <w:rsid w:val="00E46B49"/>
    <w:rsid w:val="00E46BAC"/>
    <w:rsid w:val="00E46CD5"/>
    <w:rsid w:val="00E46D74"/>
    <w:rsid w:val="00E46E49"/>
    <w:rsid w:val="00E47446"/>
    <w:rsid w:val="00E47746"/>
    <w:rsid w:val="00E477DF"/>
    <w:rsid w:val="00E477F8"/>
    <w:rsid w:val="00E4792C"/>
    <w:rsid w:val="00E47BDC"/>
    <w:rsid w:val="00E47C18"/>
    <w:rsid w:val="00E47C45"/>
    <w:rsid w:val="00E47DEB"/>
    <w:rsid w:val="00E47FDA"/>
    <w:rsid w:val="00E500D0"/>
    <w:rsid w:val="00E50180"/>
    <w:rsid w:val="00E50426"/>
    <w:rsid w:val="00E50493"/>
    <w:rsid w:val="00E5070A"/>
    <w:rsid w:val="00E507CD"/>
    <w:rsid w:val="00E5083E"/>
    <w:rsid w:val="00E508D2"/>
    <w:rsid w:val="00E50939"/>
    <w:rsid w:val="00E50964"/>
    <w:rsid w:val="00E509A2"/>
    <w:rsid w:val="00E509B3"/>
    <w:rsid w:val="00E509D3"/>
    <w:rsid w:val="00E50BDD"/>
    <w:rsid w:val="00E50C05"/>
    <w:rsid w:val="00E50C39"/>
    <w:rsid w:val="00E50C89"/>
    <w:rsid w:val="00E50FF0"/>
    <w:rsid w:val="00E50FF8"/>
    <w:rsid w:val="00E510A7"/>
    <w:rsid w:val="00E51101"/>
    <w:rsid w:val="00E51165"/>
    <w:rsid w:val="00E511C4"/>
    <w:rsid w:val="00E51207"/>
    <w:rsid w:val="00E513AE"/>
    <w:rsid w:val="00E5140B"/>
    <w:rsid w:val="00E514CA"/>
    <w:rsid w:val="00E515EE"/>
    <w:rsid w:val="00E5172B"/>
    <w:rsid w:val="00E51A1B"/>
    <w:rsid w:val="00E51BC3"/>
    <w:rsid w:val="00E51C11"/>
    <w:rsid w:val="00E51C88"/>
    <w:rsid w:val="00E51C93"/>
    <w:rsid w:val="00E51CB8"/>
    <w:rsid w:val="00E51E0F"/>
    <w:rsid w:val="00E52111"/>
    <w:rsid w:val="00E52169"/>
    <w:rsid w:val="00E521AC"/>
    <w:rsid w:val="00E522EE"/>
    <w:rsid w:val="00E52325"/>
    <w:rsid w:val="00E5244D"/>
    <w:rsid w:val="00E526AA"/>
    <w:rsid w:val="00E52942"/>
    <w:rsid w:val="00E529EC"/>
    <w:rsid w:val="00E52BE8"/>
    <w:rsid w:val="00E52C2A"/>
    <w:rsid w:val="00E52CE1"/>
    <w:rsid w:val="00E52CFC"/>
    <w:rsid w:val="00E52E07"/>
    <w:rsid w:val="00E52E22"/>
    <w:rsid w:val="00E52FD4"/>
    <w:rsid w:val="00E5323C"/>
    <w:rsid w:val="00E5323F"/>
    <w:rsid w:val="00E53297"/>
    <w:rsid w:val="00E53301"/>
    <w:rsid w:val="00E5338F"/>
    <w:rsid w:val="00E5349C"/>
    <w:rsid w:val="00E534A8"/>
    <w:rsid w:val="00E5384A"/>
    <w:rsid w:val="00E53859"/>
    <w:rsid w:val="00E538B1"/>
    <w:rsid w:val="00E538E1"/>
    <w:rsid w:val="00E5391F"/>
    <w:rsid w:val="00E53A30"/>
    <w:rsid w:val="00E53A72"/>
    <w:rsid w:val="00E53C52"/>
    <w:rsid w:val="00E53F7D"/>
    <w:rsid w:val="00E54008"/>
    <w:rsid w:val="00E54206"/>
    <w:rsid w:val="00E54208"/>
    <w:rsid w:val="00E54266"/>
    <w:rsid w:val="00E5426F"/>
    <w:rsid w:val="00E54312"/>
    <w:rsid w:val="00E54542"/>
    <w:rsid w:val="00E547B4"/>
    <w:rsid w:val="00E54863"/>
    <w:rsid w:val="00E54974"/>
    <w:rsid w:val="00E549EB"/>
    <w:rsid w:val="00E54AD6"/>
    <w:rsid w:val="00E54B48"/>
    <w:rsid w:val="00E54D91"/>
    <w:rsid w:val="00E54F1A"/>
    <w:rsid w:val="00E54FF3"/>
    <w:rsid w:val="00E55196"/>
    <w:rsid w:val="00E5519B"/>
    <w:rsid w:val="00E5532C"/>
    <w:rsid w:val="00E55497"/>
    <w:rsid w:val="00E55567"/>
    <w:rsid w:val="00E55697"/>
    <w:rsid w:val="00E556A8"/>
    <w:rsid w:val="00E5575A"/>
    <w:rsid w:val="00E558F0"/>
    <w:rsid w:val="00E5598F"/>
    <w:rsid w:val="00E55AA8"/>
    <w:rsid w:val="00E55AF6"/>
    <w:rsid w:val="00E55C08"/>
    <w:rsid w:val="00E55E14"/>
    <w:rsid w:val="00E560AD"/>
    <w:rsid w:val="00E560F9"/>
    <w:rsid w:val="00E563ED"/>
    <w:rsid w:val="00E56761"/>
    <w:rsid w:val="00E56A2C"/>
    <w:rsid w:val="00E56B9B"/>
    <w:rsid w:val="00E56C9A"/>
    <w:rsid w:val="00E56D89"/>
    <w:rsid w:val="00E56E3C"/>
    <w:rsid w:val="00E56E45"/>
    <w:rsid w:val="00E5701C"/>
    <w:rsid w:val="00E57076"/>
    <w:rsid w:val="00E571AE"/>
    <w:rsid w:val="00E5721E"/>
    <w:rsid w:val="00E57437"/>
    <w:rsid w:val="00E57571"/>
    <w:rsid w:val="00E57643"/>
    <w:rsid w:val="00E576D2"/>
    <w:rsid w:val="00E57745"/>
    <w:rsid w:val="00E5780B"/>
    <w:rsid w:val="00E578ED"/>
    <w:rsid w:val="00E60170"/>
    <w:rsid w:val="00E601C7"/>
    <w:rsid w:val="00E601EE"/>
    <w:rsid w:val="00E601F7"/>
    <w:rsid w:val="00E60464"/>
    <w:rsid w:val="00E605A1"/>
    <w:rsid w:val="00E60624"/>
    <w:rsid w:val="00E606EF"/>
    <w:rsid w:val="00E60741"/>
    <w:rsid w:val="00E608BF"/>
    <w:rsid w:val="00E6091A"/>
    <w:rsid w:val="00E60A54"/>
    <w:rsid w:val="00E60B63"/>
    <w:rsid w:val="00E60B7D"/>
    <w:rsid w:val="00E60C94"/>
    <w:rsid w:val="00E60D24"/>
    <w:rsid w:val="00E60DAA"/>
    <w:rsid w:val="00E60DCD"/>
    <w:rsid w:val="00E60E67"/>
    <w:rsid w:val="00E61038"/>
    <w:rsid w:val="00E61069"/>
    <w:rsid w:val="00E610BD"/>
    <w:rsid w:val="00E612DC"/>
    <w:rsid w:val="00E612F1"/>
    <w:rsid w:val="00E6132E"/>
    <w:rsid w:val="00E61387"/>
    <w:rsid w:val="00E6138F"/>
    <w:rsid w:val="00E61491"/>
    <w:rsid w:val="00E6167C"/>
    <w:rsid w:val="00E618D0"/>
    <w:rsid w:val="00E618E1"/>
    <w:rsid w:val="00E61961"/>
    <w:rsid w:val="00E61A46"/>
    <w:rsid w:val="00E61B5C"/>
    <w:rsid w:val="00E61B70"/>
    <w:rsid w:val="00E622E2"/>
    <w:rsid w:val="00E62349"/>
    <w:rsid w:val="00E6234A"/>
    <w:rsid w:val="00E6246A"/>
    <w:rsid w:val="00E62642"/>
    <w:rsid w:val="00E62830"/>
    <w:rsid w:val="00E6285D"/>
    <w:rsid w:val="00E62972"/>
    <w:rsid w:val="00E62A83"/>
    <w:rsid w:val="00E62A85"/>
    <w:rsid w:val="00E62CEC"/>
    <w:rsid w:val="00E62E21"/>
    <w:rsid w:val="00E62EBC"/>
    <w:rsid w:val="00E6300E"/>
    <w:rsid w:val="00E63269"/>
    <w:rsid w:val="00E633F8"/>
    <w:rsid w:val="00E6343B"/>
    <w:rsid w:val="00E6351A"/>
    <w:rsid w:val="00E635AC"/>
    <w:rsid w:val="00E636F9"/>
    <w:rsid w:val="00E63854"/>
    <w:rsid w:val="00E638B8"/>
    <w:rsid w:val="00E639EB"/>
    <w:rsid w:val="00E63BCC"/>
    <w:rsid w:val="00E63FD9"/>
    <w:rsid w:val="00E64079"/>
    <w:rsid w:val="00E64137"/>
    <w:rsid w:val="00E641C7"/>
    <w:rsid w:val="00E64283"/>
    <w:rsid w:val="00E642D0"/>
    <w:rsid w:val="00E6456C"/>
    <w:rsid w:val="00E645EC"/>
    <w:rsid w:val="00E64936"/>
    <w:rsid w:val="00E6494A"/>
    <w:rsid w:val="00E64B0F"/>
    <w:rsid w:val="00E64B8B"/>
    <w:rsid w:val="00E64B9B"/>
    <w:rsid w:val="00E64CA4"/>
    <w:rsid w:val="00E64D2D"/>
    <w:rsid w:val="00E64D97"/>
    <w:rsid w:val="00E651D9"/>
    <w:rsid w:val="00E652F9"/>
    <w:rsid w:val="00E6533A"/>
    <w:rsid w:val="00E653ED"/>
    <w:rsid w:val="00E653F3"/>
    <w:rsid w:val="00E653FD"/>
    <w:rsid w:val="00E65616"/>
    <w:rsid w:val="00E65630"/>
    <w:rsid w:val="00E65682"/>
    <w:rsid w:val="00E65707"/>
    <w:rsid w:val="00E65822"/>
    <w:rsid w:val="00E659C4"/>
    <w:rsid w:val="00E65A1E"/>
    <w:rsid w:val="00E65A74"/>
    <w:rsid w:val="00E65BA8"/>
    <w:rsid w:val="00E65CFF"/>
    <w:rsid w:val="00E65EB9"/>
    <w:rsid w:val="00E66268"/>
    <w:rsid w:val="00E6627A"/>
    <w:rsid w:val="00E6649C"/>
    <w:rsid w:val="00E664AC"/>
    <w:rsid w:val="00E66529"/>
    <w:rsid w:val="00E66533"/>
    <w:rsid w:val="00E66821"/>
    <w:rsid w:val="00E6695D"/>
    <w:rsid w:val="00E6695F"/>
    <w:rsid w:val="00E66A41"/>
    <w:rsid w:val="00E66A48"/>
    <w:rsid w:val="00E66E80"/>
    <w:rsid w:val="00E66F1F"/>
    <w:rsid w:val="00E66F40"/>
    <w:rsid w:val="00E671C0"/>
    <w:rsid w:val="00E671E4"/>
    <w:rsid w:val="00E6723A"/>
    <w:rsid w:val="00E67308"/>
    <w:rsid w:val="00E6752A"/>
    <w:rsid w:val="00E677A7"/>
    <w:rsid w:val="00E677B7"/>
    <w:rsid w:val="00E67821"/>
    <w:rsid w:val="00E67AA3"/>
    <w:rsid w:val="00E67AEC"/>
    <w:rsid w:val="00E67B63"/>
    <w:rsid w:val="00E67B7B"/>
    <w:rsid w:val="00E67C06"/>
    <w:rsid w:val="00E67DBA"/>
    <w:rsid w:val="00E67EF0"/>
    <w:rsid w:val="00E67F6C"/>
    <w:rsid w:val="00E70096"/>
    <w:rsid w:val="00E7010E"/>
    <w:rsid w:val="00E701F1"/>
    <w:rsid w:val="00E70282"/>
    <w:rsid w:val="00E7029A"/>
    <w:rsid w:val="00E702DD"/>
    <w:rsid w:val="00E7048F"/>
    <w:rsid w:val="00E705A5"/>
    <w:rsid w:val="00E7062D"/>
    <w:rsid w:val="00E707A1"/>
    <w:rsid w:val="00E70807"/>
    <w:rsid w:val="00E70A1A"/>
    <w:rsid w:val="00E70A25"/>
    <w:rsid w:val="00E70B4C"/>
    <w:rsid w:val="00E70CFD"/>
    <w:rsid w:val="00E70DBA"/>
    <w:rsid w:val="00E70DF5"/>
    <w:rsid w:val="00E70E97"/>
    <w:rsid w:val="00E70F28"/>
    <w:rsid w:val="00E71032"/>
    <w:rsid w:val="00E71045"/>
    <w:rsid w:val="00E710A7"/>
    <w:rsid w:val="00E7110E"/>
    <w:rsid w:val="00E711D5"/>
    <w:rsid w:val="00E71314"/>
    <w:rsid w:val="00E71403"/>
    <w:rsid w:val="00E71405"/>
    <w:rsid w:val="00E714D2"/>
    <w:rsid w:val="00E7155F"/>
    <w:rsid w:val="00E71560"/>
    <w:rsid w:val="00E715A8"/>
    <w:rsid w:val="00E71615"/>
    <w:rsid w:val="00E716D5"/>
    <w:rsid w:val="00E71718"/>
    <w:rsid w:val="00E71877"/>
    <w:rsid w:val="00E718C8"/>
    <w:rsid w:val="00E718DE"/>
    <w:rsid w:val="00E719F1"/>
    <w:rsid w:val="00E71A62"/>
    <w:rsid w:val="00E71BED"/>
    <w:rsid w:val="00E71C5E"/>
    <w:rsid w:val="00E71E24"/>
    <w:rsid w:val="00E71F0B"/>
    <w:rsid w:val="00E721E8"/>
    <w:rsid w:val="00E7241D"/>
    <w:rsid w:val="00E726EB"/>
    <w:rsid w:val="00E727CB"/>
    <w:rsid w:val="00E727D2"/>
    <w:rsid w:val="00E727EE"/>
    <w:rsid w:val="00E72912"/>
    <w:rsid w:val="00E729A2"/>
    <w:rsid w:val="00E72BC9"/>
    <w:rsid w:val="00E72CE4"/>
    <w:rsid w:val="00E72D0E"/>
    <w:rsid w:val="00E72E34"/>
    <w:rsid w:val="00E72E96"/>
    <w:rsid w:val="00E72EA5"/>
    <w:rsid w:val="00E72F3E"/>
    <w:rsid w:val="00E7302D"/>
    <w:rsid w:val="00E73110"/>
    <w:rsid w:val="00E73117"/>
    <w:rsid w:val="00E732D9"/>
    <w:rsid w:val="00E73304"/>
    <w:rsid w:val="00E7344D"/>
    <w:rsid w:val="00E73529"/>
    <w:rsid w:val="00E73608"/>
    <w:rsid w:val="00E736E4"/>
    <w:rsid w:val="00E73812"/>
    <w:rsid w:val="00E738C1"/>
    <w:rsid w:val="00E7396C"/>
    <w:rsid w:val="00E739EA"/>
    <w:rsid w:val="00E73ADE"/>
    <w:rsid w:val="00E73AE3"/>
    <w:rsid w:val="00E73AFE"/>
    <w:rsid w:val="00E73B29"/>
    <w:rsid w:val="00E73B61"/>
    <w:rsid w:val="00E73CA0"/>
    <w:rsid w:val="00E73D54"/>
    <w:rsid w:val="00E73DFF"/>
    <w:rsid w:val="00E73ED2"/>
    <w:rsid w:val="00E73FFE"/>
    <w:rsid w:val="00E7418E"/>
    <w:rsid w:val="00E74190"/>
    <w:rsid w:val="00E74310"/>
    <w:rsid w:val="00E746E0"/>
    <w:rsid w:val="00E74BF4"/>
    <w:rsid w:val="00E74C56"/>
    <w:rsid w:val="00E74CF1"/>
    <w:rsid w:val="00E74D2F"/>
    <w:rsid w:val="00E74D4A"/>
    <w:rsid w:val="00E74EC2"/>
    <w:rsid w:val="00E74FE0"/>
    <w:rsid w:val="00E7506E"/>
    <w:rsid w:val="00E75095"/>
    <w:rsid w:val="00E751BF"/>
    <w:rsid w:val="00E752ED"/>
    <w:rsid w:val="00E7544F"/>
    <w:rsid w:val="00E7546B"/>
    <w:rsid w:val="00E755B1"/>
    <w:rsid w:val="00E75627"/>
    <w:rsid w:val="00E75695"/>
    <w:rsid w:val="00E756F5"/>
    <w:rsid w:val="00E757C0"/>
    <w:rsid w:val="00E75909"/>
    <w:rsid w:val="00E75BD0"/>
    <w:rsid w:val="00E75D7F"/>
    <w:rsid w:val="00E75E42"/>
    <w:rsid w:val="00E75EA4"/>
    <w:rsid w:val="00E75EAA"/>
    <w:rsid w:val="00E760C0"/>
    <w:rsid w:val="00E7639C"/>
    <w:rsid w:val="00E76621"/>
    <w:rsid w:val="00E7667D"/>
    <w:rsid w:val="00E76682"/>
    <w:rsid w:val="00E7673E"/>
    <w:rsid w:val="00E767D4"/>
    <w:rsid w:val="00E768A1"/>
    <w:rsid w:val="00E76AD5"/>
    <w:rsid w:val="00E76D05"/>
    <w:rsid w:val="00E76D1A"/>
    <w:rsid w:val="00E76F30"/>
    <w:rsid w:val="00E76F57"/>
    <w:rsid w:val="00E76F5B"/>
    <w:rsid w:val="00E76FFB"/>
    <w:rsid w:val="00E76FFE"/>
    <w:rsid w:val="00E77020"/>
    <w:rsid w:val="00E77033"/>
    <w:rsid w:val="00E770B2"/>
    <w:rsid w:val="00E77151"/>
    <w:rsid w:val="00E7737D"/>
    <w:rsid w:val="00E773BA"/>
    <w:rsid w:val="00E7750D"/>
    <w:rsid w:val="00E77541"/>
    <w:rsid w:val="00E775BB"/>
    <w:rsid w:val="00E77768"/>
    <w:rsid w:val="00E77861"/>
    <w:rsid w:val="00E778AE"/>
    <w:rsid w:val="00E778E3"/>
    <w:rsid w:val="00E77A10"/>
    <w:rsid w:val="00E77C55"/>
    <w:rsid w:val="00E77CA2"/>
    <w:rsid w:val="00E77DD1"/>
    <w:rsid w:val="00E77F4F"/>
    <w:rsid w:val="00E80068"/>
    <w:rsid w:val="00E800E6"/>
    <w:rsid w:val="00E80144"/>
    <w:rsid w:val="00E801B7"/>
    <w:rsid w:val="00E80210"/>
    <w:rsid w:val="00E80363"/>
    <w:rsid w:val="00E80376"/>
    <w:rsid w:val="00E803C8"/>
    <w:rsid w:val="00E8045C"/>
    <w:rsid w:val="00E805D8"/>
    <w:rsid w:val="00E80755"/>
    <w:rsid w:val="00E80890"/>
    <w:rsid w:val="00E80B73"/>
    <w:rsid w:val="00E80CE5"/>
    <w:rsid w:val="00E80D80"/>
    <w:rsid w:val="00E80F41"/>
    <w:rsid w:val="00E80F5E"/>
    <w:rsid w:val="00E80F69"/>
    <w:rsid w:val="00E81090"/>
    <w:rsid w:val="00E8109F"/>
    <w:rsid w:val="00E81366"/>
    <w:rsid w:val="00E8147B"/>
    <w:rsid w:val="00E81532"/>
    <w:rsid w:val="00E81544"/>
    <w:rsid w:val="00E815C7"/>
    <w:rsid w:val="00E81735"/>
    <w:rsid w:val="00E81A6A"/>
    <w:rsid w:val="00E81CAF"/>
    <w:rsid w:val="00E81D3E"/>
    <w:rsid w:val="00E81DE2"/>
    <w:rsid w:val="00E81EC0"/>
    <w:rsid w:val="00E82058"/>
    <w:rsid w:val="00E82138"/>
    <w:rsid w:val="00E82221"/>
    <w:rsid w:val="00E822A1"/>
    <w:rsid w:val="00E823FD"/>
    <w:rsid w:val="00E8250D"/>
    <w:rsid w:val="00E82532"/>
    <w:rsid w:val="00E825BF"/>
    <w:rsid w:val="00E82653"/>
    <w:rsid w:val="00E8265D"/>
    <w:rsid w:val="00E826A5"/>
    <w:rsid w:val="00E828AE"/>
    <w:rsid w:val="00E82A17"/>
    <w:rsid w:val="00E82A61"/>
    <w:rsid w:val="00E82C68"/>
    <w:rsid w:val="00E82F67"/>
    <w:rsid w:val="00E83151"/>
    <w:rsid w:val="00E83164"/>
    <w:rsid w:val="00E831D9"/>
    <w:rsid w:val="00E8320E"/>
    <w:rsid w:val="00E8323D"/>
    <w:rsid w:val="00E832DA"/>
    <w:rsid w:val="00E83479"/>
    <w:rsid w:val="00E834EF"/>
    <w:rsid w:val="00E836EC"/>
    <w:rsid w:val="00E837D8"/>
    <w:rsid w:val="00E83886"/>
    <w:rsid w:val="00E8396A"/>
    <w:rsid w:val="00E83A0C"/>
    <w:rsid w:val="00E83C14"/>
    <w:rsid w:val="00E83D12"/>
    <w:rsid w:val="00E83D47"/>
    <w:rsid w:val="00E83D63"/>
    <w:rsid w:val="00E83D72"/>
    <w:rsid w:val="00E83DBD"/>
    <w:rsid w:val="00E83DEB"/>
    <w:rsid w:val="00E83ED9"/>
    <w:rsid w:val="00E84416"/>
    <w:rsid w:val="00E844C3"/>
    <w:rsid w:val="00E84729"/>
    <w:rsid w:val="00E847A4"/>
    <w:rsid w:val="00E847CD"/>
    <w:rsid w:val="00E8483F"/>
    <w:rsid w:val="00E848BD"/>
    <w:rsid w:val="00E84A21"/>
    <w:rsid w:val="00E84A5D"/>
    <w:rsid w:val="00E84AD2"/>
    <w:rsid w:val="00E84B1C"/>
    <w:rsid w:val="00E84B6B"/>
    <w:rsid w:val="00E84C10"/>
    <w:rsid w:val="00E84CA2"/>
    <w:rsid w:val="00E85029"/>
    <w:rsid w:val="00E851A1"/>
    <w:rsid w:val="00E85327"/>
    <w:rsid w:val="00E85750"/>
    <w:rsid w:val="00E85775"/>
    <w:rsid w:val="00E859FA"/>
    <w:rsid w:val="00E85B18"/>
    <w:rsid w:val="00E85C98"/>
    <w:rsid w:val="00E85F79"/>
    <w:rsid w:val="00E85F9A"/>
    <w:rsid w:val="00E85F9F"/>
    <w:rsid w:val="00E85FEC"/>
    <w:rsid w:val="00E8601F"/>
    <w:rsid w:val="00E8613C"/>
    <w:rsid w:val="00E86307"/>
    <w:rsid w:val="00E8646D"/>
    <w:rsid w:val="00E865E4"/>
    <w:rsid w:val="00E8673E"/>
    <w:rsid w:val="00E86934"/>
    <w:rsid w:val="00E869E5"/>
    <w:rsid w:val="00E86B74"/>
    <w:rsid w:val="00E86BED"/>
    <w:rsid w:val="00E86D56"/>
    <w:rsid w:val="00E86DBB"/>
    <w:rsid w:val="00E86EF7"/>
    <w:rsid w:val="00E86F45"/>
    <w:rsid w:val="00E86F55"/>
    <w:rsid w:val="00E87098"/>
    <w:rsid w:val="00E87160"/>
    <w:rsid w:val="00E873A4"/>
    <w:rsid w:val="00E873E7"/>
    <w:rsid w:val="00E87458"/>
    <w:rsid w:val="00E87492"/>
    <w:rsid w:val="00E876AC"/>
    <w:rsid w:val="00E876F2"/>
    <w:rsid w:val="00E879A3"/>
    <w:rsid w:val="00E879CE"/>
    <w:rsid w:val="00E87B45"/>
    <w:rsid w:val="00E900C3"/>
    <w:rsid w:val="00E904B0"/>
    <w:rsid w:val="00E905B6"/>
    <w:rsid w:val="00E90762"/>
    <w:rsid w:val="00E9077D"/>
    <w:rsid w:val="00E90958"/>
    <w:rsid w:val="00E90A6F"/>
    <w:rsid w:val="00E90BA8"/>
    <w:rsid w:val="00E90C35"/>
    <w:rsid w:val="00E90D5B"/>
    <w:rsid w:val="00E90DD8"/>
    <w:rsid w:val="00E90E37"/>
    <w:rsid w:val="00E90FCA"/>
    <w:rsid w:val="00E91085"/>
    <w:rsid w:val="00E911FA"/>
    <w:rsid w:val="00E912E0"/>
    <w:rsid w:val="00E91338"/>
    <w:rsid w:val="00E9143D"/>
    <w:rsid w:val="00E914E1"/>
    <w:rsid w:val="00E9165E"/>
    <w:rsid w:val="00E91845"/>
    <w:rsid w:val="00E918B9"/>
    <w:rsid w:val="00E919E2"/>
    <w:rsid w:val="00E91AE8"/>
    <w:rsid w:val="00E91C35"/>
    <w:rsid w:val="00E91DB0"/>
    <w:rsid w:val="00E91E8F"/>
    <w:rsid w:val="00E91FA2"/>
    <w:rsid w:val="00E9202E"/>
    <w:rsid w:val="00E92298"/>
    <w:rsid w:val="00E924A6"/>
    <w:rsid w:val="00E92586"/>
    <w:rsid w:val="00E925A6"/>
    <w:rsid w:val="00E9274D"/>
    <w:rsid w:val="00E927AF"/>
    <w:rsid w:val="00E928E9"/>
    <w:rsid w:val="00E928EF"/>
    <w:rsid w:val="00E92A33"/>
    <w:rsid w:val="00E92A6A"/>
    <w:rsid w:val="00E92DB9"/>
    <w:rsid w:val="00E92DF1"/>
    <w:rsid w:val="00E92E9E"/>
    <w:rsid w:val="00E92FF2"/>
    <w:rsid w:val="00E931A7"/>
    <w:rsid w:val="00E931EC"/>
    <w:rsid w:val="00E931F4"/>
    <w:rsid w:val="00E93270"/>
    <w:rsid w:val="00E935FF"/>
    <w:rsid w:val="00E93606"/>
    <w:rsid w:val="00E936E7"/>
    <w:rsid w:val="00E93826"/>
    <w:rsid w:val="00E93954"/>
    <w:rsid w:val="00E93EA9"/>
    <w:rsid w:val="00E93ED6"/>
    <w:rsid w:val="00E93F98"/>
    <w:rsid w:val="00E940D7"/>
    <w:rsid w:val="00E940F4"/>
    <w:rsid w:val="00E9413F"/>
    <w:rsid w:val="00E941DD"/>
    <w:rsid w:val="00E943AA"/>
    <w:rsid w:val="00E94516"/>
    <w:rsid w:val="00E94544"/>
    <w:rsid w:val="00E945B3"/>
    <w:rsid w:val="00E945CF"/>
    <w:rsid w:val="00E94691"/>
    <w:rsid w:val="00E946D2"/>
    <w:rsid w:val="00E94789"/>
    <w:rsid w:val="00E94809"/>
    <w:rsid w:val="00E94903"/>
    <w:rsid w:val="00E9491A"/>
    <w:rsid w:val="00E9491E"/>
    <w:rsid w:val="00E94A2C"/>
    <w:rsid w:val="00E94AA5"/>
    <w:rsid w:val="00E94EA0"/>
    <w:rsid w:val="00E94FD7"/>
    <w:rsid w:val="00E94FF2"/>
    <w:rsid w:val="00E95079"/>
    <w:rsid w:val="00E9507B"/>
    <w:rsid w:val="00E95258"/>
    <w:rsid w:val="00E9547D"/>
    <w:rsid w:val="00E9551A"/>
    <w:rsid w:val="00E957E7"/>
    <w:rsid w:val="00E9592D"/>
    <w:rsid w:val="00E95961"/>
    <w:rsid w:val="00E959A7"/>
    <w:rsid w:val="00E95A48"/>
    <w:rsid w:val="00E95A50"/>
    <w:rsid w:val="00E95ADF"/>
    <w:rsid w:val="00E95BF9"/>
    <w:rsid w:val="00E95DE7"/>
    <w:rsid w:val="00E95E34"/>
    <w:rsid w:val="00E95E9B"/>
    <w:rsid w:val="00E95EB9"/>
    <w:rsid w:val="00E96100"/>
    <w:rsid w:val="00E96216"/>
    <w:rsid w:val="00E96227"/>
    <w:rsid w:val="00E96417"/>
    <w:rsid w:val="00E964A4"/>
    <w:rsid w:val="00E96544"/>
    <w:rsid w:val="00E966A5"/>
    <w:rsid w:val="00E96993"/>
    <w:rsid w:val="00E969F1"/>
    <w:rsid w:val="00E96AD2"/>
    <w:rsid w:val="00E96BD3"/>
    <w:rsid w:val="00E96CAD"/>
    <w:rsid w:val="00E96CCA"/>
    <w:rsid w:val="00E96E17"/>
    <w:rsid w:val="00E96FA6"/>
    <w:rsid w:val="00E971A8"/>
    <w:rsid w:val="00E971D2"/>
    <w:rsid w:val="00E97327"/>
    <w:rsid w:val="00E973BC"/>
    <w:rsid w:val="00E97506"/>
    <w:rsid w:val="00E977AD"/>
    <w:rsid w:val="00E97888"/>
    <w:rsid w:val="00E978A5"/>
    <w:rsid w:val="00E97C13"/>
    <w:rsid w:val="00E97D4F"/>
    <w:rsid w:val="00E97DCE"/>
    <w:rsid w:val="00E97DD9"/>
    <w:rsid w:val="00E97E6E"/>
    <w:rsid w:val="00E97EED"/>
    <w:rsid w:val="00E97F0E"/>
    <w:rsid w:val="00E97F4E"/>
    <w:rsid w:val="00E97F9F"/>
    <w:rsid w:val="00EA0111"/>
    <w:rsid w:val="00EA0168"/>
    <w:rsid w:val="00EA02EA"/>
    <w:rsid w:val="00EA03D1"/>
    <w:rsid w:val="00EA04C8"/>
    <w:rsid w:val="00EA04F7"/>
    <w:rsid w:val="00EA055C"/>
    <w:rsid w:val="00EA0657"/>
    <w:rsid w:val="00EA08DD"/>
    <w:rsid w:val="00EA09FD"/>
    <w:rsid w:val="00EA0BA0"/>
    <w:rsid w:val="00EA0FBE"/>
    <w:rsid w:val="00EA0FE5"/>
    <w:rsid w:val="00EA1053"/>
    <w:rsid w:val="00EA1469"/>
    <w:rsid w:val="00EA14BC"/>
    <w:rsid w:val="00EA14CC"/>
    <w:rsid w:val="00EA1549"/>
    <w:rsid w:val="00EA1628"/>
    <w:rsid w:val="00EA1690"/>
    <w:rsid w:val="00EA197F"/>
    <w:rsid w:val="00EA1AF7"/>
    <w:rsid w:val="00EA1B2E"/>
    <w:rsid w:val="00EA1BD4"/>
    <w:rsid w:val="00EA1C63"/>
    <w:rsid w:val="00EA1CAD"/>
    <w:rsid w:val="00EA1CE4"/>
    <w:rsid w:val="00EA1CF5"/>
    <w:rsid w:val="00EA1DBE"/>
    <w:rsid w:val="00EA1E69"/>
    <w:rsid w:val="00EA20F9"/>
    <w:rsid w:val="00EA214F"/>
    <w:rsid w:val="00EA24E2"/>
    <w:rsid w:val="00EA2581"/>
    <w:rsid w:val="00EA2582"/>
    <w:rsid w:val="00EA25A7"/>
    <w:rsid w:val="00EA29A8"/>
    <w:rsid w:val="00EA2B3A"/>
    <w:rsid w:val="00EA2D1C"/>
    <w:rsid w:val="00EA2D24"/>
    <w:rsid w:val="00EA2D56"/>
    <w:rsid w:val="00EA2DC1"/>
    <w:rsid w:val="00EA2EB1"/>
    <w:rsid w:val="00EA2EBB"/>
    <w:rsid w:val="00EA2EC0"/>
    <w:rsid w:val="00EA31FD"/>
    <w:rsid w:val="00EA32B8"/>
    <w:rsid w:val="00EA32DB"/>
    <w:rsid w:val="00EA35E2"/>
    <w:rsid w:val="00EA36E9"/>
    <w:rsid w:val="00EA390A"/>
    <w:rsid w:val="00EA3916"/>
    <w:rsid w:val="00EA3AA0"/>
    <w:rsid w:val="00EA3B69"/>
    <w:rsid w:val="00EA3C85"/>
    <w:rsid w:val="00EA3CD5"/>
    <w:rsid w:val="00EA3FBD"/>
    <w:rsid w:val="00EA4254"/>
    <w:rsid w:val="00EA42E4"/>
    <w:rsid w:val="00EA432B"/>
    <w:rsid w:val="00EA4397"/>
    <w:rsid w:val="00EA4535"/>
    <w:rsid w:val="00EA4595"/>
    <w:rsid w:val="00EA461C"/>
    <w:rsid w:val="00EA467E"/>
    <w:rsid w:val="00EA4746"/>
    <w:rsid w:val="00EA477A"/>
    <w:rsid w:val="00EA4816"/>
    <w:rsid w:val="00EA4843"/>
    <w:rsid w:val="00EA4BD8"/>
    <w:rsid w:val="00EA4C0E"/>
    <w:rsid w:val="00EA4C55"/>
    <w:rsid w:val="00EA4DD8"/>
    <w:rsid w:val="00EA4E6B"/>
    <w:rsid w:val="00EA50F9"/>
    <w:rsid w:val="00EA511A"/>
    <w:rsid w:val="00EA52E4"/>
    <w:rsid w:val="00EA557C"/>
    <w:rsid w:val="00EA5BBA"/>
    <w:rsid w:val="00EA5C54"/>
    <w:rsid w:val="00EA5DB0"/>
    <w:rsid w:val="00EA5DD7"/>
    <w:rsid w:val="00EA5E8D"/>
    <w:rsid w:val="00EA5EEA"/>
    <w:rsid w:val="00EA5F3C"/>
    <w:rsid w:val="00EA6034"/>
    <w:rsid w:val="00EA613B"/>
    <w:rsid w:val="00EA65BF"/>
    <w:rsid w:val="00EA662A"/>
    <w:rsid w:val="00EA6685"/>
    <w:rsid w:val="00EA68C2"/>
    <w:rsid w:val="00EA6909"/>
    <w:rsid w:val="00EA69BA"/>
    <w:rsid w:val="00EA69C0"/>
    <w:rsid w:val="00EA6B0A"/>
    <w:rsid w:val="00EA6C1D"/>
    <w:rsid w:val="00EA6EB2"/>
    <w:rsid w:val="00EA7068"/>
    <w:rsid w:val="00EA711C"/>
    <w:rsid w:val="00EA7156"/>
    <w:rsid w:val="00EA7197"/>
    <w:rsid w:val="00EA7299"/>
    <w:rsid w:val="00EA753F"/>
    <w:rsid w:val="00EA75BA"/>
    <w:rsid w:val="00EA76E1"/>
    <w:rsid w:val="00EA772A"/>
    <w:rsid w:val="00EA7832"/>
    <w:rsid w:val="00EA79C9"/>
    <w:rsid w:val="00EA7B4F"/>
    <w:rsid w:val="00EA7C42"/>
    <w:rsid w:val="00EA7D8C"/>
    <w:rsid w:val="00EA7EBB"/>
    <w:rsid w:val="00EB00D7"/>
    <w:rsid w:val="00EB0198"/>
    <w:rsid w:val="00EB0261"/>
    <w:rsid w:val="00EB0313"/>
    <w:rsid w:val="00EB03A4"/>
    <w:rsid w:val="00EB04BC"/>
    <w:rsid w:val="00EB0522"/>
    <w:rsid w:val="00EB056A"/>
    <w:rsid w:val="00EB056D"/>
    <w:rsid w:val="00EB0583"/>
    <w:rsid w:val="00EB0654"/>
    <w:rsid w:val="00EB0688"/>
    <w:rsid w:val="00EB0826"/>
    <w:rsid w:val="00EB08CD"/>
    <w:rsid w:val="00EB0A43"/>
    <w:rsid w:val="00EB0B5F"/>
    <w:rsid w:val="00EB0E09"/>
    <w:rsid w:val="00EB0F34"/>
    <w:rsid w:val="00EB0FE9"/>
    <w:rsid w:val="00EB1400"/>
    <w:rsid w:val="00EB1419"/>
    <w:rsid w:val="00EB1874"/>
    <w:rsid w:val="00EB1881"/>
    <w:rsid w:val="00EB194E"/>
    <w:rsid w:val="00EB1B64"/>
    <w:rsid w:val="00EB1BAC"/>
    <w:rsid w:val="00EB214E"/>
    <w:rsid w:val="00EB2326"/>
    <w:rsid w:val="00EB2441"/>
    <w:rsid w:val="00EB26D4"/>
    <w:rsid w:val="00EB26F9"/>
    <w:rsid w:val="00EB2705"/>
    <w:rsid w:val="00EB2720"/>
    <w:rsid w:val="00EB2938"/>
    <w:rsid w:val="00EB2A8C"/>
    <w:rsid w:val="00EB2B47"/>
    <w:rsid w:val="00EB2BF8"/>
    <w:rsid w:val="00EB2C96"/>
    <w:rsid w:val="00EB2F59"/>
    <w:rsid w:val="00EB326C"/>
    <w:rsid w:val="00EB32F2"/>
    <w:rsid w:val="00EB3345"/>
    <w:rsid w:val="00EB3447"/>
    <w:rsid w:val="00EB3461"/>
    <w:rsid w:val="00EB36AC"/>
    <w:rsid w:val="00EB36C9"/>
    <w:rsid w:val="00EB36FF"/>
    <w:rsid w:val="00EB37F1"/>
    <w:rsid w:val="00EB39B5"/>
    <w:rsid w:val="00EB3A00"/>
    <w:rsid w:val="00EB3A26"/>
    <w:rsid w:val="00EB3B37"/>
    <w:rsid w:val="00EB3BE0"/>
    <w:rsid w:val="00EB3DE2"/>
    <w:rsid w:val="00EB3E93"/>
    <w:rsid w:val="00EB41D7"/>
    <w:rsid w:val="00EB427C"/>
    <w:rsid w:val="00EB44AD"/>
    <w:rsid w:val="00EB4529"/>
    <w:rsid w:val="00EB45A4"/>
    <w:rsid w:val="00EB4669"/>
    <w:rsid w:val="00EB46B1"/>
    <w:rsid w:val="00EB46FA"/>
    <w:rsid w:val="00EB470A"/>
    <w:rsid w:val="00EB483A"/>
    <w:rsid w:val="00EB4934"/>
    <w:rsid w:val="00EB4B6A"/>
    <w:rsid w:val="00EB4C1F"/>
    <w:rsid w:val="00EB4C2F"/>
    <w:rsid w:val="00EB4E42"/>
    <w:rsid w:val="00EB4E5D"/>
    <w:rsid w:val="00EB4EF4"/>
    <w:rsid w:val="00EB5020"/>
    <w:rsid w:val="00EB52B3"/>
    <w:rsid w:val="00EB5429"/>
    <w:rsid w:val="00EB557C"/>
    <w:rsid w:val="00EB5622"/>
    <w:rsid w:val="00EB5777"/>
    <w:rsid w:val="00EB58C2"/>
    <w:rsid w:val="00EB5C6C"/>
    <w:rsid w:val="00EB5D41"/>
    <w:rsid w:val="00EB5DB8"/>
    <w:rsid w:val="00EB6170"/>
    <w:rsid w:val="00EB6319"/>
    <w:rsid w:val="00EB6378"/>
    <w:rsid w:val="00EB63C2"/>
    <w:rsid w:val="00EB63CB"/>
    <w:rsid w:val="00EB6597"/>
    <w:rsid w:val="00EB6729"/>
    <w:rsid w:val="00EB67C9"/>
    <w:rsid w:val="00EB6854"/>
    <w:rsid w:val="00EB687D"/>
    <w:rsid w:val="00EB698D"/>
    <w:rsid w:val="00EB6B9B"/>
    <w:rsid w:val="00EB7021"/>
    <w:rsid w:val="00EB7051"/>
    <w:rsid w:val="00EB7165"/>
    <w:rsid w:val="00EB7302"/>
    <w:rsid w:val="00EB734A"/>
    <w:rsid w:val="00EB73E2"/>
    <w:rsid w:val="00EB74A6"/>
    <w:rsid w:val="00EB765E"/>
    <w:rsid w:val="00EB77F8"/>
    <w:rsid w:val="00EB7865"/>
    <w:rsid w:val="00EB7984"/>
    <w:rsid w:val="00EB7AA1"/>
    <w:rsid w:val="00EB7D40"/>
    <w:rsid w:val="00EB7D47"/>
    <w:rsid w:val="00EB7D74"/>
    <w:rsid w:val="00EB7DA5"/>
    <w:rsid w:val="00EC01A3"/>
    <w:rsid w:val="00EC0239"/>
    <w:rsid w:val="00EC0286"/>
    <w:rsid w:val="00EC0672"/>
    <w:rsid w:val="00EC08A5"/>
    <w:rsid w:val="00EC0C47"/>
    <w:rsid w:val="00EC0C6E"/>
    <w:rsid w:val="00EC0D51"/>
    <w:rsid w:val="00EC0E86"/>
    <w:rsid w:val="00EC0E9A"/>
    <w:rsid w:val="00EC0F0F"/>
    <w:rsid w:val="00EC0F22"/>
    <w:rsid w:val="00EC135D"/>
    <w:rsid w:val="00EC13A4"/>
    <w:rsid w:val="00EC143D"/>
    <w:rsid w:val="00EC148F"/>
    <w:rsid w:val="00EC15A0"/>
    <w:rsid w:val="00EC15B6"/>
    <w:rsid w:val="00EC1642"/>
    <w:rsid w:val="00EC179A"/>
    <w:rsid w:val="00EC187B"/>
    <w:rsid w:val="00EC1A14"/>
    <w:rsid w:val="00EC1B5D"/>
    <w:rsid w:val="00EC1C7E"/>
    <w:rsid w:val="00EC1CF7"/>
    <w:rsid w:val="00EC1DAD"/>
    <w:rsid w:val="00EC1F83"/>
    <w:rsid w:val="00EC208F"/>
    <w:rsid w:val="00EC2192"/>
    <w:rsid w:val="00EC21C9"/>
    <w:rsid w:val="00EC2243"/>
    <w:rsid w:val="00EC2352"/>
    <w:rsid w:val="00EC24E4"/>
    <w:rsid w:val="00EC257A"/>
    <w:rsid w:val="00EC2653"/>
    <w:rsid w:val="00EC27A3"/>
    <w:rsid w:val="00EC2B5A"/>
    <w:rsid w:val="00EC2D86"/>
    <w:rsid w:val="00EC2EFA"/>
    <w:rsid w:val="00EC2FB2"/>
    <w:rsid w:val="00EC309E"/>
    <w:rsid w:val="00EC313C"/>
    <w:rsid w:val="00EC339D"/>
    <w:rsid w:val="00EC33D9"/>
    <w:rsid w:val="00EC34BC"/>
    <w:rsid w:val="00EC35AA"/>
    <w:rsid w:val="00EC3619"/>
    <w:rsid w:val="00EC376B"/>
    <w:rsid w:val="00EC3773"/>
    <w:rsid w:val="00EC39B5"/>
    <w:rsid w:val="00EC39B8"/>
    <w:rsid w:val="00EC3A59"/>
    <w:rsid w:val="00EC3B70"/>
    <w:rsid w:val="00EC3CF7"/>
    <w:rsid w:val="00EC3E92"/>
    <w:rsid w:val="00EC40EA"/>
    <w:rsid w:val="00EC438E"/>
    <w:rsid w:val="00EC4466"/>
    <w:rsid w:val="00EC45F3"/>
    <w:rsid w:val="00EC4A20"/>
    <w:rsid w:val="00EC4A67"/>
    <w:rsid w:val="00EC4AC8"/>
    <w:rsid w:val="00EC4D6D"/>
    <w:rsid w:val="00EC4E41"/>
    <w:rsid w:val="00EC50FD"/>
    <w:rsid w:val="00EC527F"/>
    <w:rsid w:val="00EC5631"/>
    <w:rsid w:val="00EC57A6"/>
    <w:rsid w:val="00EC584B"/>
    <w:rsid w:val="00EC597D"/>
    <w:rsid w:val="00EC5AA5"/>
    <w:rsid w:val="00EC5C35"/>
    <w:rsid w:val="00EC5E5B"/>
    <w:rsid w:val="00EC5F3A"/>
    <w:rsid w:val="00EC5F5D"/>
    <w:rsid w:val="00EC6146"/>
    <w:rsid w:val="00EC62C4"/>
    <w:rsid w:val="00EC6373"/>
    <w:rsid w:val="00EC64B2"/>
    <w:rsid w:val="00EC64B8"/>
    <w:rsid w:val="00EC6582"/>
    <w:rsid w:val="00EC667D"/>
    <w:rsid w:val="00EC6828"/>
    <w:rsid w:val="00EC685E"/>
    <w:rsid w:val="00EC68FA"/>
    <w:rsid w:val="00EC6ED0"/>
    <w:rsid w:val="00EC6EDC"/>
    <w:rsid w:val="00EC6F26"/>
    <w:rsid w:val="00EC7117"/>
    <w:rsid w:val="00EC72E7"/>
    <w:rsid w:val="00EC7334"/>
    <w:rsid w:val="00EC736B"/>
    <w:rsid w:val="00EC77D5"/>
    <w:rsid w:val="00EC77F6"/>
    <w:rsid w:val="00EC7958"/>
    <w:rsid w:val="00EC7962"/>
    <w:rsid w:val="00EC7B6F"/>
    <w:rsid w:val="00EC7B88"/>
    <w:rsid w:val="00EC7BF2"/>
    <w:rsid w:val="00EC7DBF"/>
    <w:rsid w:val="00EC7DF9"/>
    <w:rsid w:val="00ED033F"/>
    <w:rsid w:val="00ED03CC"/>
    <w:rsid w:val="00ED0410"/>
    <w:rsid w:val="00ED04FB"/>
    <w:rsid w:val="00ED077C"/>
    <w:rsid w:val="00ED0788"/>
    <w:rsid w:val="00ED0805"/>
    <w:rsid w:val="00ED088B"/>
    <w:rsid w:val="00ED08E1"/>
    <w:rsid w:val="00ED0B02"/>
    <w:rsid w:val="00ED0C07"/>
    <w:rsid w:val="00ED0E0A"/>
    <w:rsid w:val="00ED0E9B"/>
    <w:rsid w:val="00ED0FA8"/>
    <w:rsid w:val="00ED0FBF"/>
    <w:rsid w:val="00ED104A"/>
    <w:rsid w:val="00ED1072"/>
    <w:rsid w:val="00ED11DF"/>
    <w:rsid w:val="00ED12E8"/>
    <w:rsid w:val="00ED1362"/>
    <w:rsid w:val="00ED13FC"/>
    <w:rsid w:val="00ED150C"/>
    <w:rsid w:val="00ED1620"/>
    <w:rsid w:val="00ED16AF"/>
    <w:rsid w:val="00ED1802"/>
    <w:rsid w:val="00ED1825"/>
    <w:rsid w:val="00ED18DB"/>
    <w:rsid w:val="00ED19DF"/>
    <w:rsid w:val="00ED1C01"/>
    <w:rsid w:val="00ED1C66"/>
    <w:rsid w:val="00ED1CA5"/>
    <w:rsid w:val="00ED1D22"/>
    <w:rsid w:val="00ED1E84"/>
    <w:rsid w:val="00ED1FF0"/>
    <w:rsid w:val="00ED20D2"/>
    <w:rsid w:val="00ED21A8"/>
    <w:rsid w:val="00ED2392"/>
    <w:rsid w:val="00ED23D5"/>
    <w:rsid w:val="00ED2435"/>
    <w:rsid w:val="00ED246F"/>
    <w:rsid w:val="00ED2786"/>
    <w:rsid w:val="00ED27BE"/>
    <w:rsid w:val="00ED290C"/>
    <w:rsid w:val="00ED2BB4"/>
    <w:rsid w:val="00ED2F4C"/>
    <w:rsid w:val="00ED2FDB"/>
    <w:rsid w:val="00ED307F"/>
    <w:rsid w:val="00ED3192"/>
    <w:rsid w:val="00ED3246"/>
    <w:rsid w:val="00ED34E3"/>
    <w:rsid w:val="00ED36D1"/>
    <w:rsid w:val="00ED37BF"/>
    <w:rsid w:val="00ED3902"/>
    <w:rsid w:val="00ED3A52"/>
    <w:rsid w:val="00ED3A93"/>
    <w:rsid w:val="00ED3A9A"/>
    <w:rsid w:val="00ED3B6A"/>
    <w:rsid w:val="00ED3EA9"/>
    <w:rsid w:val="00ED4006"/>
    <w:rsid w:val="00ED4057"/>
    <w:rsid w:val="00ED4194"/>
    <w:rsid w:val="00ED4259"/>
    <w:rsid w:val="00ED4281"/>
    <w:rsid w:val="00ED42A1"/>
    <w:rsid w:val="00ED4301"/>
    <w:rsid w:val="00ED43B7"/>
    <w:rsid w:val="00ED461C"/>
    <w:rsid w:val="00ED4ADF"/>
    <w:rsid w:val="00ED4B8D"/>
    <w:rsid w:val="00ED4BE4"/>
    <w:rsid w:val="00ED4CBA"/>
    <w:rsid w:val="00ED4DDA"/>
    <w:rsid w:val="00ED4E20"/>
    <w:rsid w:val="00ED4FE7"/>
    <w:rsid w:val="00ED5054"/>
    <w:rsid w:val="00ED508F"/>
    <w:rsid w:val="00ED51B3"/>
    <w:rsid w:val="00ED5281"/>
    <w:rsid w:val="00ED5567"/>
    <w:rsid w:val="00ED56FE"/>
    <w:rsid w:val="00ED5747"/>
    <w:rsid w:val="00ED5A2B"/>
    <w:rsid w:val="00ED5C1C"/>
    <w:rsid w:val="00ED5F0D"/>
    <w:rsid w:val="00ED600E"/>
    <w:rsid w:val="00ED6130"/>
    <w:rsid w:val="00ED6391"/>
    <w:rsid w:val="00ED6395"/>
    <w:rsid w:val="00ED6836"/>
    <w:rsid w:val="00ED69D4"/>
    <w:rsid w:val="00ED6A33"/>
    <w:rsid w:val="00ED6A83"/>
    <w:rsid w:val="00ED6CE4"/>
    <w:rsid w:val="00ED6E6B"/>
    <w:rsid w:val="00ED6F68"/>
    <w:rsid w:val="00ED71AC"/>
    <w:rsid w:val="00ED7210"/>
    <w:rsid w:val="00ED7310"/>
    <w:rsid w:val="00ED737C"/>
    <w:rsid w:val="00ED73D3"/>
    <w:rsid w:val="00ED74E1"/>
    <w:rsid w:val="00ED757B"/>
    <w:rsid w:val="00ED75D1"/>
    <w:rsid w:val="00ED75EE"/>
    <w:rsid w:val="00ED76A1"/>
    <w:rsid w:val="00ED76A5"/>
    <w:rsid w:val="00ED76D0"/>
    <w:rsid w:val="00ED76F3"/>
    <w:rsid w:val="00ED771B"/>
    <w:rsid w:val="00ED7731"/>
    <w:rsid w:val="00ED77B6"/>
    <w:rsid w:val="00ED77B9"/>
    <w:rsid w:val="00ED79C1"/>
    <w:rsid w:val="00ED7B0C"/>
    <w:rsid w:val="00ED7B96"/>
    <w:rsid w:val="00ED7C5F"/>
    <w:rsid w:val="00ED7C6F"/>
    <w:rsid w:val="00ED7D36"/>
    <w:rsid w:val="00ED7F2B"/>
    <w:rsid w:val="00ED7FD9"/>
    <w:rsid w:val="00EE013D"/>
    <w:rsid w:val="00EE028F"/>
    <w:rsid w:val="00EE0349"/>
    <w:rsid w:val="00EE0407"/>
    <w:rsid w:val="00EE0449"/>
    <w:rsid w:val="00EE04AE"/>
    <w:rsid w:val="00EE052D"/>
    <w:rsid w:val="00EE0587"/>
    <w:rsid w:val="00EE05B8"/>
    <w:rsid w:val="00EE0757"/>
    <w:rsid w:val="00EE07D9"/>
    <w:rsid w:val="00EE085D"/>
    <w:rsid w:val="00EE08A5"/>
    <w:rsid w:val="00EE0DAC"/>
    <w:rsid w:val="00EE0EE1"/>
    <w:rsid w:val="00EE1027"/>
    <w:rsid w:val="00EE106A"/>
    <w:rsid w:val="00EE114C"/>
    <w:rsid w:val="00EE11A0"/>
    <w:rsid w:val="00EE1384"/>
    <w:rsid w:val="00EE1506"/>
    <w:rsid w:val="00EE1532"/>
    <w:rsid w:val="00EE153A"/>
    <w:rsid w:val="00EE15E6"/>
    <w:rsid w:val="00EE18C0"/>
    <w:rsid w:val="00EE1909"/>
    <w:rsid w:val="00EE19CA"/>
    <w:rsid w:val="00EE1E4B"/>
    <w:rsid w:val="00EE1F30"/>
    <w:rsid w:val="00EE2023"/>
    <w:rsid w:val="00EE21B1"/>
    <w:rsid w:val="00EE2285"/>
    <w:rsid w:val="00EE22DD"/>
    <w:rsid w:val="00EE2528"/>
    <w:rsid w:val="00EE25D9"/>
    <w:rsid w:val="00EE286B"/>
    <w:rsid w:val="00EE28C4"/>
    <w:rsid w:val="00EE2A90"/>
    <w:rsid w:val="00EE2D3F"/>
    <w:rsid w:val="00EE2DAD"/>
    <w:rsid w:val="00EE2F66"/>
    <w:rsid w:val="00EE2FEA"/>
    <w:rsid w:val="00EE304C"/>
    <w:rsid w:val="00EE3191"/>
    <w:rsid w:val="00EE3198"/>
    <w:rsid w:val="00EE325D"/>
    <w:rsid w:val="00EE3282"/>
    <w:rsid w:val="00EE33A1"/>
    <w:rsid w:val="00EE35D4"/>
    <w:rsid w:val="00EE364A"/>
    <w:rsid w:val="00EE3735"/>
    <w:rsid w:val="00EE3A7A"/>
    <w:rsid w:val="00EE3AFD"/>
    <w:rsid w:val="00EE3B04"/>
    <w:rsid w:val="00EE3B80"/>
    <w:rsid w:val="00EE3CD3"/>
    <w:rsid w:val="00EE3CE1"/>
    <w:rsid w:val="00EE3D70"/>
    <w:rsid w:val="00EE3DF8"/>
    <w:rsid w:val="00EE3E6D"/>
    <w:rsid w:val="00EE3FDD"/>
    <w:rsid w:val="00EE3FEF"/>
    <w:rsid w:val="00EE40BF"/>
    <w:rsid w:val="00EE419E"/>
    <w:rsid w:val="00EE42DB"/>
    <w:rsid w:val="00EE434E"/>
    <w:rsid w:val="00EE4367"/>
    <w:rsid w:val="00EE4486"/>
    <w:rsid w:val="00EE4527"/>
    <w:rsid w:val="00EE458A"/>
    <w:rsid w:val="00EE45F7"/>
    <w:rsid w:val="00EE4632"/>
    <w:rsid w:val="00EE4755"/>
    <w:rsid w:val="00EE48B8"/>
    <w:rsid w:val="00EE4B79"/>
    <w:rsid w:val="00EE4DED"/>
    <w:rsid w:val="00EE4E8C"/>
    <w:rsid w:val="00EE4F79"/>
    <w:rsid w:val="00EE4F89"/>
    <w:rsid w:val="00EE50C4"/>
    <w:rsid w:val="00EE54A7"/>
    <w:rsid w:val="00EE56B8"/>
    <w:rsid w:val="00EE582E"/>
    <w:rsid w:val="00EE5860"/>
    <w:rsid w:val="00EE5A07"/>
    <w:rsid w:val="00EE5C9D"/>
    <w:rsid w:val="00EE61A8"/>
    <w:rsid w:val="00EE61E7"/>
    <w:rsid w:val="00EE648D"/>
    <w:rsid w:val="00EE65C8"/>
    <w:rsid w:val="00EE65FF"/>
    <w:rsid w:val="00EE6630"/>
    <w:rsid w:val="00EE6645"/>
    <w:rsid w:val="00EE67C7"/>
    <w:rsid w:val="00EE67F0"/>
    <w:rsid w:val="00EE6885"/>
    <w:rsid w:val="00EE690B"/>
    <w:rsid w:val="00EE6C34"/>
    <w:rsid w:val="00EE6DBD"/>
    <w:rsid w:val="00EE712A"/>
    <w:rsid w:val="00EE7442"/>
    <w:rsid w:val="00EE7515"/>
    <w:rsid w:val="00EE7538"/>
    <w:rsid w:val="00EE7624"/>
    <w:rsid w:val="00EE774E"/>
    <w:rsid w:val="00EE7784"/>
    <w:rsid w:val="00EE77F3"/>
    <w:rsid w:val="00EE7870"/>
    <w:rsid w:val="00EE7ADC"/>
    <w:rsid w:val="00EF0464"/>
    <w:rsid w:val="00EF0672"/>
    <w:rsid w:val="00EF0886"/>
    <w:rsid w:val="00EF08F4"/>
    <w:rsid w:val="00EF0990"/>
    <w:rsid w:val="00EF09FA"/>
    <w:rsid w:val="00EF0BCC"/>
    <w:rsid w:val="00EF0C98"/>
    <w:rsid w:val="00EF0D4D"/>
    <w:rsid w:val="00EF0F63"/>
    <w:rsid w:val="00EF0F87"/>
    <w:rsid w:val="00EF0F9B"/>
    <w:rsid w:val="00EF1036"/>
    <w:rsid w:val="00EF140D"/>
    <w:rsid w:val="00EF1487"/>
    <w:rsid w:val="00EF16DC"/>
    <w:rsid w:val="00EF1851"/>
    <w:rsid w:val="00EF1916"/>
    <w:rsid w:val="00EF1AB4"/>
    <w:rsid w:val="00EF1B7E"/>
    <w:rsid w:val="00EF1C4B"/>
    <w:rsid w:val="00EF1D9D"/>
    <w:rsid w:val="00EF1F98"/>
    <w:rsid w:val="00EF1FAC"/>
    <w:rsid w:val="00EF218B"/>
    <w:rsid w:val="00EF22EA"/>
    <w:rsid w:val="00EF2345"/>
    <w:rsid w:val="00EF2582"/>
    <w:rsid w:val="00EF2803"/>
    <w:rsid w:val="00EF282F"/>
    <w:rsid w:val="00EF2848"/>
    <w:rsid w:val="00EF29EC"/>
    <w:rsid w:val="00EF2D1C"/>
    <w:rsid w:val="00EF2E0D"/>
    <w:rsid w:val="00EF2E6E"/>
    <w:rsid w:val="00EF2EDE"/>
    <w:rsid w:val="00EF2F55"/>
    <w:rsid w:val="00EF3135"/>
    <w:rsid w:val="00EF3148"/>
    <w:rsid w:val="00EF3303"/>
    <w:rsid w:val="00EF3310"/>
    <w:rsid w:val="00EF3359"/>
    <w:rsid w:val="00EF3376"/>
    <w:rsid w:val="00EF3389"/>
    <w:rsid w:val="00EF338C"/>
    <w:rsid w:val="00EF35E6"/>
    <w:rsid w:val="00EF3A5A"/>
    <w:rsid w:val="00EF3BC3"/>
    <w:rsid w:val="00EF3D93"/>
    <w:rsid w:val="00EF3DDA"/>
    <w:rsid w:val="00EF4064"/>
    <w:rsid w:val="00EF4081"/>
    <w:rsid w:val="00EF40DF"/>
    <w:rsid w:val="00EF415E"/>
    <w:rsid w:val="00EF420C"/>
    <w:rsid w:val="00EF4260"/>
    <w:rsid w:val="00EF4401"/>
    <w:rsid w:val="00EF4421"/>
    <w:rsid w:val="00EF4553"/>
    <w:rsid w:val="00EF455A"/>
    <w:rsid w:val="00EF46A1"/>
    <w:rsid w:val="00EF47D3"/>
    <w:rsid w:val="00EF4883"/>
    <w:rsid w:val="00EF48E2"/>
    <w:rsid w:val="00EF4A64"/>
    <w:rsid w:val="00EF4B83"/>
    <w:rsid w:val="00EF4C8A"/>
    <w:rsid w:val="00EF4CE5"/>
    <w:rsid w:val="00EF4D88"/>
    <w:rsid w:val="00EF4D93"/>
    <w:rsid w:val="00EF5275"/>
    <w:rsid w:val="00EF52BB"/>
    <w:rsid w:val="00EF53A3"/>
    <w:rsid w:val="00EF55D2"/>
    <w:rsid w:val="00EF578E"/>
    <w:rsid w:val="00EF57DB"/>
    <w:rsid w:val="00EF58C9"/>
    <w:rsid w:val="00EF59B1"/>
    <w:rsid w:val="00EF5B62"/>
    <w:rsid w:val="00EF5CA0"/>
    <w:rsid w:val="00EF5CF9"/>
    <w:rsid w:val="00EF5D3A"/>
    <w:rsid w:val="00EF5D6B"/>
    <w:rsid w:val="00EF5E9B"/>
    <w:rsid w:val="00EF5FFD"/>
    <w:rsid w:val="00EF627F"/>
    <w:rsid w:val="00EF62D1"/>
    <w:rsid w:val="00EF659A"/>
    <w:rsid w:val="00EF66F6"/>
    <w:rsid w:val="00EF67B9"/>
    <w:rsid w:val="00EF6999"/>
    <w:rsid w:val="00EF69B3"/>
    <w:rsid w:val="00EF6B3A"/>
    <w:rsid w:val="00EF6B3C"/>
    <w:rsid w:val="00EF6BCE"/>
    <w:rsid w:val="00EF6BFA"/>
    <w:rsid w:val="00EF6CC7"/>
    <w:rsid w:val="00EF6DA8"/>
    <w:rsid w:val="00EF6EE8"/>
    <w:rsid w:val="00EF6F91"/>
    <w:rsid w:val="00EF709F"/>
    <w:rsid w:val="00EF717B"/>
    <w:rsid w:val="00EF73E3"/>
    <w:rsid w:val="00EF74D6"/>
    <w:rsid w:val="00EF76A5"/>
    <w:rsid w:val="00EF7A3C"/>
    <w:rsid w:val="00EF7A75"/>
    <w:rsid w:val="00EF7AAD"/>
    <w:rsid w:val="00EF7ACD"/>
    <w:rsid w:val="00EF7B5F"/>
    <w:rsid w:val="00EF7CA3"/>
    <w:rsid w:val="00EF7D07"/>
    <w:rsid w:val="00EF7D2A"/>
    <w:rsid w:val="00EF7D89"/>
    <w:rsid w:val="00EF7E46"/>
    <w:rsid w:val="00F00160"/>
    <w:rsid w:val="00F00282"/>
    <w:rsid w:val="00F002D5"/>
    <w:rsid w:val="00F003D0"/>
    <w:rsid w:val="00F00656"/>
    <w:rsid w:val="00F006C9"/>
    <w:rsid w:val="00F006CF"/>
    <w:rsid w:val="00F006D8"/>
    <w:rsid w:val="00F00726"/>
    <w:rsid w:val="00F0093C"/>
    <w:rsid w:val="00F00BB7"/>
    <w:rsid w:val="00F00D98"/>
    <w:rsid w:val="00F00EF9"/>
    <w:rsid w:val="00F0103C"/>
    <w:rsid w:val="00F01094"/>
    <w:rsid w:val="00F010B0"/>
    <w:rsid w:val="00F0124D"/>
    <w:rsid w:val="00F01364"/>
    <w:rsid w:val="00F01484"/>
    <w:rsid w:val="00F015D9"/>
    <w:rsid w:val="00F01695"/>
    <w:rsid w:val="00F016E1"/>
    <w:rsid w:val="00F01715"/>
    <w:rsid w:val="00F017F2"/>
    <w:rsid w:val="00F01840"/>
    <w:rsid w:val="00F018E6"/>
    <w:rsid w:val="00F019BC"/>
    <w:rsid w:val="00F01A51"/>
    <w:rsid w:val="00F01B98"/>
    <w:rsid w:val="00F01CBC"/>
    <w:rsid w:val="00F01D55"/>
    <w:rsid w:val="00F01E86"/>
    <w:rsid w:val="00F01F35"/>
    <w:rsid w:val="00F02193"/>
    <w:rsid w:val="00F022BF"/>
    <w:rsid w:val="00F0230A"/>
    <w:rsid w:val="00F0236B"/>
    <w:rsid w:val="00F02374"/>
    <w:rsid w:val="00F0249E"/>
    <w:rsid w:val="00F024A3"/>
    <w:rsid w:val="00F02668"/>
    <w:rsid w:val="00F029D2"/>
    <w:rsid w:val="00F02A23"/>
    <w:rsid w:val="00F02B22"/>
    <w:rsid w:val="00F02C4E"/>
    <w:rsid w:val="00F02CC4"/>
    <w:rsid w:val="00F02E0B"/>
    <w:rsid w:val="00F03084"/>
    <w:rsid w:val="00F030FB"/>
    <w:rsid w:val="00F03498"/>
    <w:rsid w:val="00F0361C"/>
    <w:rsid w:val="00F03847"/>
    <w:rsid w:val="00F0384E"/>
    <w:rsid w:val="00F038AE"/>
    <w:rsid w:val="00F03A4E"/>
    <w:rsid w:val="00F03A8F"/>
    <w:rsid w:val="00F03B7C"/>
    <w:rsid w:val="00F03B92"/>
    <w:rsid w:val="00F03DDE"/>
    <w:rsid w:val="00F03E66"/>
    <w:rsid w:val="00F03F73"/>
    <w:rsid w:val="00F04080"/>
    <w:rsid w:val="00F041B0"/>
    <w:rsid w:val="00F041EF"/>
    <w:rsid w:val="00F04449"/>
    <w:rsid w:val="00F0449A"/>
    <w:rsid w:val="00F044AB"/>
    <w:rsid w:val="00F045DC"/>
    <w:rsid w:val="00F0474C"/>
    <w:rsid w:val="00F04997"/>
    <w:rsid w:val="00F049A9"/>
    <w:rsid w:val="00F04B19"/>
    <w:rsid w:val="00F04B8B"/>
    <w:rsid w:val="00F04C6B"/>
    <w:rsid w:val="00F04ECD"/>
    <w:rsid w:val="00F05069"/>
    <w:rsid w:val="00F050E5"/>
    <w:rsid w:val="00F0510A"/>
    <w:rsid w:val="00F05351"/>
    <w:rsid w:val="00F053B8"/>
    <w:rsid w:val="00F053CA"/>
    <w:rsid w:val="00F05459"/>
    <w:rsid w:val="00F058B4"/>
    <w:rsid w:val="00F059CB"/>
    <w:rsid w:val="00F05A7F"/>
    <w:rsid w:val="00F05BFF"/>
    <w:rsid w:val="00F05D99"/>
    <w:rsid w:val="00F0600F"/>
    <w:rsid w:val="00F06219"/>
    <w:rsid w:val="00F063BE"/>
    <w:rsid w:val="00F065AA"/>
    <w:rsid w:val="00F06764"/>
    <w:rsid w:val="00F068F6"/>
    <w:rsid w:val="00F069B3"/>
    <w:rsid w:val="00F06B82"/>
    <w:rsid w:val="00F06BA9"/>
    <w:rsid w:val="00F06D99"/>
    <w:rsid w:val="00F06FFA"/>
    <w:rsid w:val="00F071D2"/>
    <w:rsid w:val="00F07205"/>
    <w:rsid w:val="00F07470"/>
    <w:rsid w:val="00F074C0"/>
    <w:rsid w:val="00F074E5"/>
    <w:rsid w:val="00F0762F"/>
    <w:rsid w:val="00F0775D"/>
    <w:rsid w:val="00F07A7B"/>
    <w:rsid w:val="00F07B5E"/>
    <w:rsid w:val="00F07C1D"/>
    <w:rsid w:val="00F07C5F"/>
    <w:rsid w:val="00F07C67"/>
    <w:rsid w:val="00F07D79"/>
    <w:rsid w:val="00F07DC3"/>
    <w:rsid w:val="00F07DEE"/>
    <w:rsid w:val="00F07DFC"/>
    <w:rsid w:val="00F07E86"/>
    <w:rsid w:val="00F101EB"/>
    <w:rsid w:val="00F103DD"/>
    <w:rsid w:val="00F103F5"/>
    <w:rsid w:val="00F10534"/>
    <w:rsid w:val="00F10657"/>
    <w:rsid w:val="00F1070A"/>
    <w:rsid w:val="00F10AC6"/>
    <w:rsid w:val="00F10CA7"/>
    <w:rsid w:val="00F110EC"/>
    <w:rsid w:val="00F11232"/>
    <w:rsid w:val="00F1124E"/>
    <w:rsid w:val="00F11365"/>
    <w:rsid w:val="00F11492"/>
    <w:rsid w:val="00F1156A"/>
    <w:rsid w:val="00F115B7"/>
    <w:rsid w:val="00F1173A"/>
    <w:rsid w:val="00F11764"/>
    <w:rsid w:val="00F117AF"/>
    <w:rsid w:val="00F118B3"/>
    <w:rsid w:val="00F119BA"/>
    <w:rsid w:val="00F11D3A"/>
    <w:rsid w:val="00F11D96"/>
    <w:rsid w:val="00F11DA7"/>
    <w:rsid w:val="00F11E33"/>
    <w:rsid w:val="00F12070"/>
    <w:rsid w:val="00F120A7"/>
    <w:rsid w:val="00F1224B"/>
    <w:rsid w:val="00F123BD"/>
    <w:rsid w:val="00F12522"/>
    <w:rsid w:val="00F1262B"/>
    <w:rsid w:val="00F126B8"/>
    <w:rsid w:val="00F12712"/>
    <w:rsid w:val="00F1282C"/>
    <w:rsid w:val="00F1286C"/>
    <w:rsid w:val="00F12948"/>
    <w:rsid w:val="00F12A49"/>
    <w:rsid w:val="00F12ADE"/>
    <w:rsid w:val="00F12CD3"/>
    <w:rsid w:val="00F12D80"/>
    <w:rsid w:val="00F12DDE"/>
    <w:rsid w:val="00F13013"/>
    <w:rsid w:val="00F13052"/>
    <w:rsid w:val="00F13063"/>
    <w:rsid w:val="00F131E5"/>
    <w:rsid w:val="00F13296"/>
    <w:rsid w:val="00F132B6"/>
    <w:rsid w:val="00F132EC"/>
    <w:rsid w:val="00F13309"/>
    <w:rsid w:val="00F1333B"/>
    <w:rsid w:val="00F133AD"/>
    <w:rsid w:val="00F13554"/>
    <w:rsid w:val="00F136E0"/>
    <w:rsid w:val="00F13857"/>
    <w:rsid w:val="00F13953"/>
    <w:rsid w:val="00F13969"/>
    <w:rsid w:val="00F139A1"/>
    <w:rsid w:val="00F13AC2"/>
    <w:rsid w:val="00F13CEB"/>
    <w:rsid w:val="00F13DE3"/>
    <w:rsid w:val="00F13EDA"/>
    <w:rsid w:val="00F13F12"/>
    <w:rsid w:val="00F13F5A"/>
    <w:rsid w:val="00F14005"/>
    <w:rsid w:val="00F1412E"/>
    <w:rsid w:val="00F1421B"/>
    <w:rsid w:val="00F14228"/>
    <w:rsid w:val="00F142BF"/>
    <w:rsid w:val="00F1436C"/>
    <w:rsid w:val="00F1445A"/>
    <w:rsid w:val="00F1453A"/>
    <w:rsid w:val="00F14650"/>
    <w:rsid w:val="00F14748"/>
    <w:rsid w:val="00F147CD"/>
    <w:rsid w:val="00F14837"/>
    <w:rsid w:val="00F14B17"/>
    <w:rsid w:val="00F14DCE"/>
    <w:rsid w:val="00F14E14"/>
    <w:rsid w:val="00F14FC7"/>
    <w:rsid w:val="00F15011"/>
    <w:rsid w:val="00F15072"/>
    <w:rsid w:val="00F1508D"/>
    <w:rsid w:val="00F1518D"/>
    <w:rsid w:val="00F151B4"/>
    <w:rsid w:val="00F151F5"/>
    <w:rsid w:val="00F155C2"/>
    <w:rsid w:val="00F157F9"/>
    <w:rsid w:val="00F15828"/>
    <w:rsid w:val="00F158EC"/>
    <w:rsid w:val="00F15913"/>
    <w:rsid w:val="00F15A6E"/>
    <w:rsid w:val="00F15B49"/>
    <w:rsid w:val="00F15DA5"/>
    <w:rsid w:val="00F15DAF"/>
    <w:rsid w:val="00F15DE5"/>
    <w:rsid w:val="00F15F20"/>
    <w:rsid w:val="00F16049"/>
    <w:rsid w:val="00F16166"/>
    <w:rsid w:val="00F16331"/>
    <w:rsid w:val="00F1685F"/>
    <w:rsid w:val="00F16905"/>
    <w:rsid w:val="00F16CD5"/>
    <w:rsid w:val="00F16DA2"/>
    <w:rsid w:val="00F16DF9"/>
    <w:rsid w:val="00F16E5A"/>
    <w:rsid w:val="00F171F9"/>
    <w:rsid w:val="00F1728C"/>
    <w:rsid w:val="00F173ED"/>
    <w:rsid w:val="00F17416"/>
    <w:rsid w:val="00F175CF"/>
    <w:rsid w:val="00F17683"/>
    <w:rsid w:val="00F177FB"/>
    <w:rsid w:val="00F1786E"/>
    <w:rsid w:val="00F17C38"/>
    <w:rsid w:val="00F17D76"/>
    <w:rsid w:val="00F20021"/>
    <w:rsid w:val="00F200C1"/>
    <w:rsid w:val="00F202A4"/>
    <w:rsid w:val="00F202C9"/>
    <w:rsid w:val="00F20443"/>
    <w:rsid w:val="00F2049F"/>
    <w:rsid w:val="00F20504"/>
    <w:rsid w:val="00F20594"/>
    <w:rsid w:val="00F205BA"/>
    <w:rsid w:val="00F205C8"/>
    <w:rsid w:val="00F206EC"/>
    <w:rsid w:val="00F20753"/>
    <w:rsid w:val="00F20837"/>
    <w:rsid w:val="00F20892"/>
    <w:rsid w:val="00F20C24"/>
    <w:rsid w:val="00F20E52"/>
    <w:rsid w:val="00F20F38"/>
    <w:rsid w:val="00F2107A"/>
    <w:rsid w:val="00F21185"/>
    <w:rsid w:val="00F211EA"/>
    <w:rsid w:val="00F21386"/>
    <w:rsid w:val="00F213C0"/>
    <w:rsid w:val="00F2143A"/>
    <w:rsid w:val="00F21461"/>
    <w:rsid w:val="00F21577"/>
    <w:rsid w:val="00F2159B"/>
    <w:rsid w:val="00F215B6"/>
    <w:rsid w:val="00F21757"/>
    <w:rsid w:val="00F21BE2"/>
    <w:rsid w:val="00F21C41"/>
    <w:rsid w:val="00F21F48"/>
    <w:rsid w:val="00F22061"/>
    <w:rsid w:val="00F2214A"/>
    <w:rsid w:val="00F22304"/>
    <w:rsid w:val="00F2270B"/>
    <w:rsid w:val="00F22843"/>
    <w:rsid w:val="00F229BA"/>
    <w:rsid w:val="00F22B69"/>
    <w:rsid w:val="00F22BC7"/>
    <w:rsid w:val="00F22DD3"/>
    <w:rsid w:val="00F22E12"/>
    <w:rsid w:val="00F22EA0"/>
    <w:rsid w:val="00F2318C"/>
    <w:rsid w:val="00F23463"/>
    <w:rsid w:val="00F235BF"/>
    <w:rsid w:val="00F23659"/>
    <w:rsid w:val="00F236F6"/>
    <w:rsid w:val="00F23800"/>
    <w:rsid w:val="00F23884"/>
    <w:rsid w:val="00F23926"/>
    <w:rsid w:val="00F23A68"/>
    <w:rsid w:val="00F23B3E"/>
    <w:rsid w:val="00F23C6B"/>
    <w:rsid w:val="00F23C86"/>
    <w:rsid w:val="00F23E31"/>
    <w:rsid w:val="00F23F6D"/>
    <w:rsid w:val="00F2404C"/>
    <w:rsid w:val="00F245F6"/>
    <w:rsid w:val="00F247E7"/>
    <w:rsid w:val="00F248E5"/>
    <w:rsid w:val="00F24A77"/>
    <w:rsid w:val="00F24D09"/>
    <w:rsid w:val="00F24D21"/>
    <w:rsid w:val="00F24E43"/>
    <w:rsid w:val="00F24F26"/>
    <w:rsid w:val="00F24F4C"/>
    <w:rsid w:val="00F2503C"/>
    <w:rsid w:val="00F251CC"/>
    <w:rsid w:val="00F2535D"/>
    <w:rsid w:val="00F25507"/>
    <w:rsid w:val="00F25521"/>
    <w:rsid w:val="00F2561B"/>
    <w:rsid w:val="00F2574D"/>
    <w:rsid w:val="00F25975"/>
    <w:rsid w:val="00F25A7F"/>
    <w:rsid w:val="00F25D78"/>
    <w:rsid w:val="00F25DBC"/>
    <w:rsid w:val="00F25E6F"/>
    <w:rsid w:val="00F25EA5"/>
    <w:rsid w:val="00F25ED3"/>
    <w:rsid w:val="00F25F50"/>
    <w:rsid w:val="00F26107"/>
    <w:rsid w:val="00F26240"/>
    <w:rsid w:val="00F26596"/>
    <w:rsid w:val="00F2678A"/>
    <w:rsid w:val="00F267F7"/>
    <w:rsid w:val="00F268CF"/>
    <w:rsid w:val="00F2691C"/>
    <w:rsid w:val="00F26930"/>
    <w:rsid w:val="00F26A0C"/>
    <w:rsid w:val="00F26A33"/>
    <w:rsid w:val="00F26A47"/>
    <w:rsid w:val="00F26AFC"/>
    <w:rsid w:val="00F26B21"/>
    <w:rsid w:val="00F26B58"/>
    <w:rsid w:val="00F26BF4"/>
    <w:rsid w:val="00F26CF0"/>
    <w:rsid w:val="00F26DF2"/>
    <w:rsid w:val="00F26E4C"/>
    <w:rsid w:val="00F26E6D"/>
    <w:rsid w:val="00F26EA6"/>
    <w:rsid w:val="00F26ED8"/>
    <w:rsid w:val="00F26FAB"/>
    <w:rsid w:val="00F27045"/>
    <w:rsid w:val="00F2736C"/>
    <w:rsid w:val="00F27463"/>
    <w:rsid w:val="00F274F0"/>
    <w:rsid w:val="00F27574"/>
    <w:rsid w:val="00F27694"/>
    <w:rsid w:val="00F276CE"/>
    <w:rsid w:val="00F27A18"/>
    <w:rsid w:val="00F27BCA"/>
    <w:rsid w:val="00F27DDD"/>
    <w:rsid w:val="00F27E3E"/>
    <w:rsid w:val="00F27F42"/>
    <w:rsid w:val="00F27F68"/>
    <w:rsid w:val="00F3020E"/>
    <w:rsid w:val="00F303FB"/>
    <w:rsid w:val="00F30572"/>
    <w:rsid w:val="00F3075A"/>
    <w:rsid w:val="00F30847"/>
    <w:rsid w:val="00F30B06"/>
    <w:rsid w:val="00F30B8C"/>
    <w:rsid w:val="00F30C85"/>
    <w:rsid w:val="00F30CC3"/>
    <w:rsid w:val="00F30E47"/>
    <w:rsid w:val="00F31195"/>
    <w:rsid w:val="00F311F7"/>
    <w:rsid w:val="00F3157D"/>
    <w:rsid w:val="00F31587"/>
    <w:rsid w:val="00F3158D"/>
    <w:rsid w:val="00F31626"/>
    <w:rsid w:val="00F31876"/>
    <w:rsid w:val="00F319AD"/>
    <w:rsid w:val="00F31A96"/>
    <w:rsid w:val="00F31AFC"/>
    <w:rsid w:val="00F31E0B"/>
    <w:rsid w:val="00F31EE6"/>
    <w:rsid w:val="00F31F84"/>
    <w:rsid w:val="00F31FEA"/>
    <w:rsid w:val="00F3213E"/>
    <w:rsid w:val="00F323F8"/>
    <w:rsid w:val="00F324CB"/>
    <w:rsid w:val="00F32504"/>
    <w:rsid w:val="00F3289A"/>
    <w:rsid w:val="00F32A49"/>
    <w:rsid w:val="00F32A87"/>
    <w:rsid w:val="00F32A8C"/>
    <w:rsid w:val="00F32BEF"/>
    <w:rsid w:val="00F32D7A"/>
    <w:rsid w:val="00F32D96"/>
    <w:rsid w:val="00F33112"/>
    <w:rsid w:val="00F33147"/>
    <w:rsid w:val="00F331ED"/>
    <w:rsid w:val="00F332CD"/>
    <w:rsid w:val="00F33432"/>
    <w:rsid w:val="00F3348F"/>
    <w:rsid w:val="00F335EB"/>
    <w:rsid w:val="00F337AB"/>
    <w:rsid w:val="00F337B2"/>
    <w:rsid w:val="00F33800"/>
    <w:rsid w:val="00F33908"/>
    <w:rsid w:val="00F33998"/>
    <w:rsid w:val="00F339A8"/>
    <w:rsid w:val="00F33A2B"/>
    <w:rsid w:val="00F33B13"/>
    <w:rsid w:val="00F33B68"/>
    <w:rsid w:val="00F33DAF"/>
    <w:rsid w:val="00F33E26"/>
    <w:rsid w:val="00F34256"/>
    <w:rsid w:val="00F34324"/>
    <w:rsid w:val="00F34564"/>
    <w:rsid w:val="00F3479E"/>
    <w:rsid w:val="00F3489D"/>
    <w:rsid w:val="00F34DAB"/>
    <w:rsid w:val="00F34F8A"/>
    <w:rsid w:val="00F35032"/>
    <w:rsid w:val="00F351A4"/>
    <w:rsid w:val="00F35210"/>
    <w:rsid w:val="00F354B4"/>
    <w:rsid w:val="00F354DC"/>
    <w:rsid w:val="00F355E9"/>
    <w:rsid w:val="00F35717"/>
    <w:rsid w:val="00F35889"/>
    <w:rsid w:val="00F35890"/>
    <w:rsid w:val="00F35BB0"/>
    <w:rsid w:val="00F35C02"/>
    <w:rsid w:val="00F35CE1"/>
    <w:rsid w:val="00F35E12"/>
    <w:rsid w:val="00F35F97"/>
    <w:rsid w:val="00F35FB1"/>
    <w:rsid w:val="00F35FC2"/>
    <w:rsid w:val="00F36283"/>
    <w:rsid w:val="00F362DE"/>
    <w:rsid w:val="00F3653B"/>
    <w:rsid w:val="00F36544"/>
    <w:rsid w:val="00F36900"/>
    <w:rsid w:val="00F3690B"/>
    <w:rsid w:val="00F36CC7"/>
    <w:rsid w:val="00F36D47"/>
    <w:rsid w:val="00F36E63"/>
    <w:rsid w:val="00F37430"/>
    <w:rsid w:val="00F374F6"/>
    <w:rsid w:val="00F3761D"/>
    <w:rsid w:val="00F376E1"/>
    <w:rsid w:val="00F37753"/>
    <w:rsid w:val="00F377DA"/>
    <w:rsid w:val="00F377E5"/>
    <w:rsid w:val="00F37807"/>
    <w:rsid w:val="00F379F8"/>
    <w:rsid w:val="00F37B44"/>
    <w:rsid w:val="00F37C71"/>
    <w:rsid w:val="00F37C95"/>
    <w:rsid w:val="00F37D36"/>
    <w:rsid w:val="00F37FA9"/>
    <w:rsid w:val="00F400C4"/>
    <w:rsid w:val="00F40387"/>
    <w:rsid w:val="00F403D8"/>
    <w:rsid w:val="00F40466"/>
    <w:rsid w:val="00F4048E"/>
    <w:rsid w:val="00F40580"/>
    <w:rsid w:val="00F405BC"/>
    <w:rsid w:val="00F405D5"/>
    <w:rsid w:val="00F40630"/>
    <w:rsid w:val="00F40939"/>
    <w:rsid w:val="00F40A1C"/>
    <w:rsid w:val="00F40AC9"/>
    <w:rsid w:val="00F40CDD"/>
    <w:rsid w:val="00F40D63"/>
    <w:rsid w:val="00F40DFF"/>
    <w:rsid w:val="00F40F4C"/>
    <w:rsid w:val="00F41164"/>
    <w:rsid w:val="00F4119D"/>
    <w:rsid w:val="00F41207"/>
    <w:rsid w:val="00F4132D"/>
    <w:rsid w:val="00F4133B"/>
    <w:rsid w:val="00F417E0"/>
    <w:rsid w:val="00F41851"/>
    <w:rsid w:val="00F4193C"/>
    <w:rsid w:val="00F4197E"/>
    <w:rsid w:val="00F41BCD"/>
    <w:rsid w:val="00F41C3D"/>
    <w:rsid w:val="00F41DA9"/>
    <w:rsid w:val="00F41F63"/>
    <w:rsid w:val="00F4201C"/>
    <w:rsid w:val="00F4204B"/>
    <w:rsid w:val="00F42112"/>
    <w:rsid w:val="00F4211F"/>
    <w:rsid w:val="00F4216C"/>
    <w:rsid w:val="00F423EC"/>
    <w:rsid w:val="00F423FA"/>
    <w:rsid w:val="00F42497"/>
    <w:rsid w:val="00F42565"/>
    <w:rsid w:val="00F42587"/>
    <w:rsid w:val="00F425B3"/>
    <w:rsid w:val="00F427AB"/>
    <w:rsid w:val="00F42991"/>
    <w:rsid w:val="00F42A99"/>
    <w:rsid w:val="00F42C91"/>
    <w:rsid w:val="00F42D43"/>
    <w:rsid w:val="00F42DD2"/>
    <w:rsid w:val="00F42EF9"/>
    <w:rsid w:val="00F42F7C"/>
    <w:rsid w:val="00F42FC8"/>
    <w:rsid w:val="00F43114"/>
    <w:rsid w:val="00F431E0"/>
    <w:rsid w:val="00F43290"/>
    <w:rsid w:val="00F432BD"/>
    <w:rsid w:val="00F43394"/>
    <w:rsid w:val="00F433EB"/>
    <w:rsid w:val="00F43699"/>
    <w:rsid w:val="00F4399B"/>
    <w:rsid w:val="00F43A12"/>
    <w:rsid w:val="00F43AD1"/>
    <w:rsid w:val="00F43B4C"/>
    <w:rsid w:val="00F43C1B"/>
    <w:rsid w:val="00F43CBC"/>
    <w:rsid w:val="00F43D3C"/>
    <w:rsid w:val="00F43DF5"/>
    <w:rsid w:val="00F43FB4"/>
    <w:rsid w:val="00F4418B"/>
    <w:rsid w:val="00F441DA"/>
    <w:rsid w:val="00F442EC"/>
    <w:rsid w:val="00F44508"/>
    <w:rsid w:val="00F44596"/>
    <w:rsid w:val="00F4474A"/>
    <w:rsid w:val="00F448D1"/>
    <w:rsid w:val="00F449E1"/>
    <w:rsid w:val="00F44A75"/>
    <w:rsid w:val="00F44CB9"/>
    <w:rsid w:val="00F44CBB"/>
    <w:rsid w:val="00F44DD9"/>
    <w:rsid w:val="00F44F67"/>
    <w:rsid w:val="00F45054"/>
    <w:rsid w:val="00F4524C"/>
    <w:rsid w:val="00F4526D"/>
    <w:rsid w:val="00F452CF"/>
    <w:rsid w:val="00F4538A"/>
    <w:rsid w:val="00F45450"/>
    <w:rsid w:val="00F4548B"/>
    <w:rsid w:val="00F454D1"/>
    <w:rsid w:val="00F456C4"/>
    <w:rsid w:val="00F45709"/>
    <w:rsid w:val="00F4576E"/>
    <w:rsid w:val="00F457AF"/>
    <w:rsid w:val="00F4598C"/>
    <w:rsid w:val="00F45A30"/>
    <w:rsid w:val="00F45A96"/>
    <w:rsid w:val="00F45AE4"/>
    <w:rsid w:val="00F45C37"/>
    <w:rsid w:val="00F45EB1"/>
    <w:rsid w:val="00F46158"/>
    <w:rsid w:val="00F461FB"/>
    <w:rsid w:val="00F46277"/>
    <w:rsid w:val="00F46464"/>
    <w:rsid w:val="00F465EB"/>
    <w:rsid w:val="00F4685B"/>
    <w:rsid w:val="00F46B40"/>
    <w:rsid w:val="00F46BB8"/>
    <w:rsid w:val="00F46CFC"/>
    <w:rsid w:val="00F46D3B"/>
    <w:rsid w:val="00F46DC5"/>
    <w:rsid w:val="00F46F15"/>
    <w:rsid w:val="00F46F74"/>
    <w:rsid w:val="00F47068"/>
    <w:rsid w:val="00F470EA"/>
    <w:rsid w:val="00F47120"/>
    <w:rsid w:val="00F47301"/>
    <w:rsid w:val="00F4773B"/>
    <w:rsid w:val="00F477CD"/>
    <w:rsid w:val="00F47823"/>
    <w:rsid w:val="00F47F3E"/>
    <w:rsid w:val="00F5001F"/>
    <w:rsid w:val="00F5005A"/>
    <w:rsid w:val="00F50265"/>
    <w:rsid w:val="00F50278"/>
    <w:rsid w:val="00F5031F"/>
    <w:rsid w:val="00F50559"/>
    <w:rsid w:val="00F505F3"/>
    <w:rsid w:val="00F50701"/>
    <w:rsid w:val="00F507B9"/>
    <w:rsid w:val="00F5082F"/>
    <w:rsid w:val="00F50C4E"/>
    <w:rsid w:val="00F50D22"/>
    <w:rsid w:val="00F50E07"/>
    <w:rsid w:val="00F5129F"/>
    <w:rsid w:val="00F512AC"/>
    <w:rsid w:val="00F51356"/>
    <w:rsid w:val="00F51568"/>
    <w:rsid w:val="00F515A3"/>
    <w:rsid w:val="00F515A8"/>
    <w:rsid w:val="00F515B5"/>
    <w:rsid w:val="00F516DC"/>
    <w:rsid w:val="00F516F8"/>
    <w:rsid w:val="00F5175B"/>
    <w:rsid w:val="00F51789"/>
    <w:rsid w:val="00F5185A"/>
    <w:rsid w:val="00F51DA2"/>
    <w:rsid w:val="00F51DCC"/>
    <w:rsid w:val="00F51F59"/>
    <w:rsid w:val="00F5206E"/>
    <w:rsid w:val="00F5219B"/>
    <w:rsid w:val="00F521BC"/>
    <w:rsid w:val="00F52417"/>
    <w:rsid w:val="00F52541"/>
    <w:rsid w:val="00F52AE4"/>
    <w:rsid w:val="00F52C89"/>
    <w:rsid w:val="00F52D7C"/>
    <w:rsid w:val="00F52F1F"/>
    <w:rsid w:val="00F53388"/>
    <w:rsid w:val="00F53543"/>
    <w:rsid w:val="00F5362D"/>
    <w:rsid w:val="00F537E7"/>
    <w:rsid w:val="00F53843"/>
    <w:rsid w:val="00F538F8"/>
    <w:rsid w:val="00F539C2"/>
    <w:rsid w:val="00F53A0F"/>
    <w:rsid w:val="00F53C0F"/>
    <w:rsid w:val="00F53DDC"/>
    <w:rsid w:val="00F53ECC"/>
    <w:rsid w:val="00F53F64"/>
    <w:rsid w:val="00F53F6F"/>
    <w:rsid w:val="00F540B9"/>
    <w:rsid w:val="00F541DF"/>
    <w:rsid w:val="00F541ED"/>
    <w:rsid w:val="00F542C3"/>
    <w:rsid w:val="00F545EA"/>
    <w:rsid w:val="00F5465C"/>
    <w:rsid w:val="00F54749"/>
    <w:rsid w:val="00F547D3"/>
    <w:rsid w:val="00F54A8C"/>
    <w:rsid w:val="00F54B7E"/>
    <w:rsid w:val="00F54C74"/>
    <w:rsid w:val="00F54C88"/>
    <w:rsid w:val="00F54D45"/>
    <w:rsid w:val="00F54E32"/>
    <w:rsid w:val="00F54FCD"/>
    <w:rsid w:val="00F55313"/>
    <w:rsid w:val="00F55367"/>
    <w:rsid w:val="00F55382"/>
    <w:rsid w:val="00F553AA"/>
    <w:rsid w:val="00F555B3"/>
    <w:rsid w:val="00F55614"/>
    <w:rsid w:val="00F5566E"/>
    <w:rsid w:val="00F557C1"/>
    <w:rsid w:val="00F55954"/>
    <w:rsid w:val="00F55D1B"/>
    <w:rsid w:val="00F55F00"/>
    <w:rsid w:val="00F5600F"/>
    <w:rsid w:val="00F560DF"/>
    <w:rsid w:val="00F561C1"/>
    <w:rsid w:val="00F56243"/>
    <w:rsid w:val="00F5645E"/>
    <w:rsid w:val="00F56473"/>
    <w:rsid w:val="00F566BE"/>
    <w:rsid w:val="00F56714"/>
    <w:rsid w:val="00F56943"/>
    <w:rsid w:val="00F56987"/>
    <w:rsid w:val="00F56A09"/>
    <w:rsid w:val="00F56CF5"/>
    <w:rsid w:val="00F56D69"/>
    <w:rsid w:val="00F56E6F"/>
    <w:rsid w:val="00F57069"/>
    <w:rsid w:val="00F570B3"/>
    <w:rsid w:val="00F572D6"/>
    <w:rsid w:val="00F572E6"/>
    <w:rsid w:val="00F5737C"/>
    <w:rsid w:val="00F574E3"/>
    <w:rsid w:val="00F57554"/>
    <w:rsid w:val="00F57600"/>
    <w:rsid w:val="00F5775E"/>
    <w:rsid w:val="00F579F6"/>
    <w:rsid w:val="00F57A9F"/>
    <w:rsid w:val="00F57ADC"/>
    <w:rsid w:val="00F57BB2"/>
    <w:rsid w:val="00F57C21"/>
    <w:rsid w:val="00F57C75"/>
    <w:rsid w:val="00F57C7D"/>
    <w:rsid w:val="00F57CE5"/>
    <w:rsid w:val="00F57EFB"/>
    <w:rsid w:val="00F57F06"/>
    <w:rsid w:val="00F57F82"/>
    <w:rsid w:val="00F60039"/>
    <w:rsid w:val="00F600F8"/>
    <w:rsid w:val="00F60123"/>
    <w:rsid w:val="00F60331"/>
    <w:rsid w:val="00F60383"/>
    <w:rsid w:val="00F603C5"/>
    <w:rsid w:val="00F603E9"/>
    <w:rsid w:val="00F603F4"/>
    <w:rsid w:val="00F6058F"/>
    <w:rsid w:val="00F605CF"/>
    <w:rsid w:val="00F60637"/>
    <w:rsid w:val="00F60658"/>
    <w:rsid w:val="00F60730"/>
    <w:rsid w:val="00F607B8"/>
    <w:rsid w:val="00F607DA"/>
    <w:rsid w:val="00F60A85"/>
    <w:rsid w:val="00F60B03"/>
    <w:rsid w:val="00F60B62"/>
    <w:rsid w:val="00F60B7E"/>
    <w:rsid w:val="00F60C2B"/>
    <w:rsid w:val="00F60C5A"/>
    <w:rsid w:val="00F60DDA"/>
    <w:rsid w:val="00F60E2A"/>
    <w:rsid w:val="00F60EA1"/>
    <w:rsid w:val="00F60F20"/>
    <w:rsid w:val="00F60FBF"/>
    <w:rsid w:val="00F61056"/>
    <w:rsid w:val="00F6135B"/>
    <w:rsid w:val="00F6138B"/>
    <w:rsid w:val="00F613D4"/>
    <w:rsid w:val="00F613D7"/>
    <w:rsid w:val="00F615AA"/>
    <w:rsid w:val="00F618FE"/>
    <w:rsid w:val="00F6199E"/>
    <w:rsid w:val="00F61A85"/>
    <w:rsid w:val="00F61B4D"/>
    <w:rsid w:val="00F61D9D"/>
    <w:rsid w:val="00F61DC0"/>
    <w:rsid w:val="00F61FCA"/>
    <w:rsid w:val="00F620BA"/>
    <w:rsid w:val="00F621CE"/>
    <w:rsid w:val="00F62404"/>
    <w:rsid w:val="00F6247D"/>
    <w:rsid w:val="00F62717"/>
    <w:rsid w:val="00F62828"/>
    <w:rsid w:val="00F628A7"/>
    <w:rsid w:val="00F62AB0"/>
    <w:rsid w:val="00F62AC0"/>
    <w:rsid w:val="00F62CD9"/>
    <w:rsid w:val="00F62E09"/>
    <w:rsid w:val="00F62FD2"/>
    <w:rsid w:val="00F63322"/>
    <w:rsid w:val="00F634B7"/>
    <w:rsid w:val="00F6351C"/>
    <w:rsid w:val="00F6353B"/>
    <w:rsid w:val="00F63561"/>
    <w:rsid w:val="00F6376E"/>
    <w:rsid w:val="00F6385B"/>
    <w:rsid w:val="00F63878"/>
    <w:rsid w:val="00F638C2"/>
    <w:rsid w:val="00F639E6"/>
    <w:rsid w:val="00F63A09"/>
    <w:rsid w:val="00F63A6C"/>
    <w:rsid w:val="00F63AE2"/>
    <w:rsid w:val="00F63C85"/>
    <w:rsid w:val="00F63D48"/>
    <w:rsid w:val="00F63F31"/>
    <w:rsid w:val="00F64045"/>
    <w:rsid w:val="00F640E2"/>
    <w:rsid w:val="00F64118"/>
    <w:rsid w:val="00F6416B"/>
    <w:rsid w:val="00F64444"/>
    <w:rsid w:val="00F6454E"/>
    <w:rsid w:val="00F64707"/>
    <w:rsid w:val="00F6472C"/>
    <w:rsid w:val="00F6482A"/>
    <w:rsid w:val="00F648A0"/>
    <w:rsid w:val="00F648C9"/>
    <w:rsid w:val="00F64A07"/>
    <w:rsid w:val="00F64AC5"/>
    <w:rsid w:val="00F64BFF"/>
    <w:rsid w:val="00F64D32"/>
    <w:rsid w:val="00F64D94"/>
    <w:rsid w:val="00F64E61"/>
    <w:rsid w:val="00F64EAE"/>
    <w:rsid w:val="00F64FCA"/>
    <w:rsid w:val="00F65045"/>
    <w:rsid w:val="00F65100"/>
    <w:rsid w:val="00F6511E"/>
    <w:rsid w:val="00F65153"/>
    <w:rsid w:val="00F6518A"/>
    <w:rsid w:val="00F651A0"/>
    <w:rsid w:val="00F65225"/>
    <w:rsid w:val="00F65238"/>
    <w:rsid w:val="00F65488"/>
    <w:rsid w:val="00F65489"/>
    <w:rsid w:val="00F6562C"/>
    <w:rsid w:val="00F65677"/>
    <w:rsid w:val="00F656ED"/>
    <w:rsid w:val="00F65805"/>
    <w:rsid w:val="00F65938"/>
    <w:rsid w:val="00F65A49"/>
    <w:rsid w:val="00F65AAB"/>
    <w:rsid w:val="00F65C05"/>
    <w:rsid w:val="00F65E4C"/>
    <w:rsid w:val="00F65EF1"/>
    <w:rsid w:val="00F66235"/>
    <w:rsid w:val="00F66272"/>
    <w:rsid w:val="00F662A8"/>
    <w:rsid w:val="00F662EC"/>
    <w:rsid w:val="00F66668"/>
    <w:rsid w:val="00F66962"/>
    <w:rsid w:val="00F669D0"/>
    <w:rsid w:val="00F669F9"/>
    <w:rsid w:val="00F66A06"/>
    <w:rsid w:val="00F66A65"/>
    <w:rsid w:val="00F66B50"/>
    <w:rsid w:val="00F66C6A"/>
    <w:rsid w:val="00F66CA7"/>
    <w:rsid w:val="00F66E18"/>
    <w:rsid w:val="00F66EAC"/>
    <w:rsid w:val="00F66F02"/>
    <w:rsid w:val="00F66F88"/>
    <w:rsid w:val="00F6702C"/>
    <w:rsid w:val="00F670D2"/>
    <w:rsid w:val="00F67178"/>
    <w:rsid w:val="00F67187"/>
    <w:rsid w:val="00F671A3"/>
    <w:rsid w:val="00F671C2"/>
    <w:rsid w:val="00F671FA"/>
    <w:rsid w:val="00F673B1"/>
    <w:rsid w:val="00F67B60"/>
    <w:rsid w:val="00F67C6B"/>
    <w:rsid w:val="00F67C84"/>
    <w:rsid w:val="00F67E9E"/>
    <w:rsid w:val="00F67EAB"/>
    <w:rsid w:val="00F67ED3"/>
    <w:rsid w:val="00F67F3A"/>
    <w:rsid w:val="00F7004B"/>
    <w:rsid w:val="00F700DE"/>
    <w:rsid w:val="00F70156"/>
    <w:rsid w:val="00F7024B"/>
    <w:rsid w:val="00F70304"/>
    <w:rsid w:val="00F70403"/>
    <w:rsid w:val="00F705FD"/>
    <w:rsid w:val="00F70608"/>
    <w:rsid w:val="00F706F9"/>
    <w:rsid w:val="00F708A3"/>
    <w:rsid w:val="00F70B50"/>
    <w:rsid w:val="00F70C76"/>
    <w:rsid w:val="00F70D34"/>
    <w:rsid w:val="00F7101F"/>
    <w:rsid w:val="00F71030"/>
    <w:rsid w:val="00F71224"/>
    <w:rsid w:val="00F71394"/>
    <w:rsid w:val="00F713C8"/>
    <w:rsid w:val="00F713E3"/>
    <w:rsid w:val="00F715DE"/>
    <w:rsid w:val="00F717F5"/>
    <w:rsid w:val="00F71885"/>
    <w:rsid w:val="00F719B0"/>
    <w:rsid w:val="00F71A9C"/>
    <w:rsid w:val="00F71BD9"/>
    <w:rsid w:val="00F71C17"/>
    <w:rsid w:val="00F71C7A"/>
    <w:rsid w:val="00F71D16"/>
    <w:rsid w:val="00F71D4D"/>
    <w:rsid w:val="00F71F84"/>
    <w:rsid w:val="00F71FCC"/>
    <w:rsid w:val="00F71FF1"/>
    <w:rsid w:val="00F720B2"/>
    <w:rsid w:val="00F72169"/>
    <w:rsid w:val="00F7222F"/>
    <w:rsid w:val="00F72281"/>
    <w:rsid w:val="00F7229C"/>
    <w:rsid w:val="00F727F4"/>
    <w:rsid w:val="00F72981"/>
    <w:rsid w:val="00F729E5"/>
    <w:rsid w:val="00F72A39"/>
    <w:rsid w:val="00F72A3D"/>
    <w:rsid w:val="00F72A41"/>
    <w:rsid w:val="00F72CA7"/>
    <w:rsid w:val="00F72EAF"/>
    <w:rsid w:val="00F72F1E"/>
    <w:rsid w:val="00F73227"/>
    <w:rsid w:val="00F73505"/>
    <w:rsid w:val="00F735AF"/>
    <w:rsid w:val="00F735DB"/>
    <w:rsid w:val="00F735F2"/>
    <w:rsid w:val="00F736B7"/>
    <w:rsid w:val="00F73725"/>
    <w:rsid w:val="00F73745"/>
    <w:rsid w:val="00F7379E"/>
    <w:rsid w:val="00F7390D"/>
    <w:rsid w:val="00F73B07"/>
    <w:rsid w:val="00F73C0E"/>
    <w:rsid w:val="00F73C34"/>
    <w:rsid w:val="00F73CB3"/>
    <w:rsid w:val="00F73E44"/>
    <w:rsid w:val="00F73E84"/>
    <w:rsid w:val="00F73EC9"/>
    <w:rsid w:val="00F73F30"/>
    <w:rsid w:val="00F7415C"/>
    <w:rsid w:val="00F742DA"/>
    <w:rsid w:val="00F74526"/>
    <w:rsid w:val="00F74832"/>
    <w:rsid w:val="00F74A88"/>
    <w:rsid w:val="00F74F58"/>
    <w:rsid w:val="00F75111"/>
    <w:rsid w:val="00F75289"/>
    <w:rsid w:val="00F755C0"/>
    <w:rsid w:val="00F755C1"/>
    <w:rsid w:val="00F75786"/>
    <w:rsid w:val="00F757C1"/>
    <w:rsid w:val="00F7586A"/>
    <w:rsid w:val="00F75A1A"/>
    <w:rsid w:val="00F75B90"/>
    <w:rsid w:val="00F75C92"/>
    <w:rsid w:val="00F75D2E"/>
    <w:rsid w:val="00F75F6A"/>
    <w:rsid w:val="00F75F95"/>
    <w:rsid w:val="00F75FAC"/>
    <w:rsid w:val="00F76144"/>
    <w:rsid w:val="00F7625B"/>
    <w:rsid w:val="00F7632C"/>
    <w:rsid w:val="00F76465"/>
    <w:rsid w:val="00F76468"/>
    <w:rsid w:val="00F76738"/>
    <w:rsid w:val="00F76818"/>
    <w:rsid w:val="00F7681E"/>
    <w:rsid w:val="00F76970"/>
    <w:rsid w:val="00F769C8"/>
    <w:rsid w:val="00F76A86"/>
    <w:rsid w:val="00F76B4E"/>
    <w:rsid w:val="00F76C16"/>
    <w:rsid w:val="00F76D15"/>
    <w:rsid w:val="00F76ED7"/>
    <w:rsid w:val="00F76F08"/>
    <w:rsid w:val="00F770EE"/>
    <w:rsid w:val="00F770FC"/>
    <w:rsid w:val="00F77424"/>
    <w:rsid w:val="00F774C3"/>
    <w:rsid w:val="00F774F2"/>
    <w:rsid w:val="00F776B8"/>
    <w:rsid w:val="00F7775E"/>
    <w:rsid w:val="00F77767"/>
    <w:rsid w:val="00F7778E"/>
    <w:rsid w:val="00F7790C"/>
    <w:rsid w:val="00F77948"/>
    <w:rsid w:val="00F7798D"/>
    <w:rsid w:val="00F77BE6"/>
    <w:rsid w:val="00F8005A"/>
    <w:rsid w:val="00F8012A"/>
    <w:rsid w:val="00F8019F"/>
    <w:rsid w:val="00F801AA"/>
    <w:rsid w:val="00F8024F"/>
    <w:rsid w:val="00F80618"/>
    <w:rsid w:val="00F8066D"/>
    <w:rsid w:val="00F808F2"/>
    <w:rsid w:val="00F80981"/>
    <w:rsid w:val="00F80988"/>
    <w:rsid w:val="00F809DE"/>
    <w:rsid w:val="00F80E0A"/>
    <w:rsid w:val="00F81376"/>
    <w:rsid w:val="00F8139D"/>
    <w:rsid w:val="00F8143E"/>
    <w:rsid w:val="00F81508"/>
    <w:rsid w:val="00F8173F"/>
    <w:rsid w:val="00F81753"/>
    <w:rsid w:val="00F817B1"/>
    <w:rsid w:val="00F81B32"/>
    <w:rsid w:val="00F81B6F"/>
    <w:rsid w:val="00F81BEE"/>
    <w:rsid w:val="00F81F4D"/>
    <w:rsid w:val="00F81F53"/>
    <w:rsid w:val="00F820E6"/>
    <w:rsid w:val="00F82155"/>
    <w:rsid w:val="00F822CC"/>
    <w:rsid w:val="00F823D1"/>
    <w:rsid w:val="00F823ED"/>
    <w:rsid w:val="00F8265D"/>
    <w:rsid w:val="00F82675"/>
    <w:rsid w:val="00F82694"/>
    <w:rsid w:val="00F82987"/>
    <w:rsid w:val="00F82A44"/>
    <w:rsid w:val="00F82BC0"/>
    <w:rsid w:val="00F82D16"/>
    <w:rsid w:val="00F82D9C"/>
    <w:rsid w:val="00F82E72"/>
    <w:rsid w:val="00F82EEB"/>
    <w:rsid w:val="00F83290"/>
    <w:rsid w:val="00F83A9D"/>
    <w:rsid w:val="00F83B29"/>
    <w:rsid w:val="00F83C19"/>
    <w:rsid w:val="00F83EC7"/>
    <w:rsid w:val="00F83ED7"/>
    <w:rsid w:val="00F840AA"/>
    <w:rsid w:val="00F8417C"/>
    <w:rsid w:val="00F843C4"/>
    <w:rsid w:val="00F84423"/>
    <w:rsid w:val="00F844BB"/>
    <w:rsid w:val="00F845F4"/>
    <w:rsid w:val="00F84709"/>
    <w:rsid w:val="00F84805"/>
    <w:rsid w:val="00F84824"/>
    <w:rsid w:val="00F84847"/>
    <w:rsid w:val="00F84851"/>
    <w:rsid w:val="00F84A52"/>
    <w:rsid w:val="00F84AC0"/>
    <w:rsid w:val="00F84B78"/>
    <w:rsid w:val="00F84B98"/>
    <w:rsid w:val="00F84C9C"/>
    <w:rsid w:val="00F84CA9"/>
    <w:rsid w:val="00F84CFB"/>
    <w:rsid w:val="00F84E8F"/>
    <w:rsid w:val="00F84ED4"/>
    <w:rsid w:val="00F84F11"/>
    <w:rsid w:val="00F84F33"/>
    <w:rsid w:val="00F84F40"/>
    <w:rsid w:val="00F84FFC"/>
    <w:rsid w:val="00F850B9"/>
    <w:rsid w:val="00F85148"/>
    <w:rsid w:val="00F852B9"/>
    <w:rsid w:val="00F8541C"/>
    <w:rsid w:val="00F85573"/>
    <w:rsid w:val="00F85878"/>
    <w:rsid w:val="00F858AD"/>
    <w:rsid w:val="00F85910"/>
    <w:rsid w:val="00F85A18"/>
    <w:rsid w:val="00F85AA6"/>
    <w:rsid w:val="00F85C13"/>
    <w:rsid w:val="00F85E2B"/>
    <w:rsid w:val="00F85E8C"/>
    <w:rsid w:val="00F85EC6"/>
    <w:rsid w:val="00F85FF9"/>
    <w:rsid w:val="00F860EA"/>
    <w:rsid w:val="00F861E1"/>
    <w:rsid w:val="00F86479"/>
    <w:rsid w:val="00F8648E"/>
    <w:rsid w:val="00F86505"/>
    <w:rsid w:val="00F86581"/>
    <w:rsid w:val="00F86617"/>
    <w:rsid w:val="00F86983"/>
    <w:rsid w:val="00F86B80"/>
    <w:rsid w:val="00F86D1F"/>
    <w:rsid w:val="00F86D44"/>
    <w:rsid w:val="00F86DED"/>
    <w:rsid w:val="00F86EDB"/>
    <w:rsid w:val="00F87410"/>
    <w:rsid w:val="00F87533"/>
    <w:rsid w:val="00F87641"/>
    <w:rsid w:val="00F878DA"/>
    <w:rsid w:val="00F8792D"/>
    <w:rsid w:val="00F87A7C"/>
    <w:rsid w:val="00F87E96"/>
    <w:rsid w:val="00F87E97"/>
    <w:rsid w:val="00F904B0"/>
    <w:rsid w:val="00F9054B"/>
    <w:rsid w:val="00F90583"/>
    <w:rsid w:val="00F90746"/>
    <w:rsid w:val="00F908D4"/>
    <w:rsid w:val="00F90913"/>
    <w:rsid w:val="00F90933"/>
    <w:rsid w:val="00F9095D"/>
    <w:rsid w:val="00F90CB8"/>
    <w:rsid w:val="00F90D43"/>
    <w:rsid w:val="00F90EE8"/>
    <w:rsid w:val="00F91149"/>
    <w:rsid w:val="00F913E2"/>
    <w:rsid w:val="00F91580"/>
    <w:rsid w:val="00F916A1"/>
    <w:rsid w:val="00F916F4"/>
    <w:rsid w:val="00F9193D"/>
    <w:rsid w:val="00F91A3F"/>
    <w:rsid w:val="00F91C9A"/>
    <w:rsid w:val="00F91CF5"/>
    <w:rsid w:val="00F91D0E"/>
    <w:rsid w:val="00F91F0B"/>
    <w:rsid w:val="00F91F62"/>
    <w:rsid w:val="00F92123"/>
    <w:rsid w:val="00F922F6"/>
    <w:rsid w:val="00F924DB"/>
    <w:rsid w:val="00F92514"/>
    <w:rsid w:val="00F92852"/>
    <w:rsid w:val="00F92993"/>
    <w:rsid w:val="00F92ABA"/>
    <w:rsid w:val="00F92E65"/>
    <w:rsid w:val="00F930E3"/>
    <w:rsid w:val="00F93374"/>
    <w:rsid w:val="00F933B1"/>
    <w:rsid w:val="00F935F8"/>
    <w:rsid w:val="00F93756"/>
    <w:rsid w:val="00F93779"/>
    <w:rsid w:val="00F93888"/>
    <w:rsid w:val="00F93966"/>
    <w:rsid w:val="00F93A45"/>
    <w:rsid w:val="00F93AFA"/>
    <w:rsid w:val="00F93B90"/>
    <w:rsid w:val="00F93CDE"/>
    <w:rsid w:val="00F93D20"/>
    <w:rsid w:val="00F93D4D"/>
    <w:rsid w:val="00F93DE6"/>
    <w:rsid w:val="00F93EFE"/>
    <w:rsid w:val="00F93F7B"/>
    <w:rsid w:val="00F93FB3"/>
    <w:rsid w:val="00F9401E"/>
    <w:rsid w:val="00F940EE"/>
    <w:rsid w:val="00F94275"/>
    <w:rsid w:val="00F9451F"/>
    <w:rsid w:val="00F945A3"/>
    <w:rsid w:val="00F947CC"/>
    <w:rsid w:val="00F94838"/>
    <w:rsid w:val="00F94867"/>
    <w:rsid w:val="00F94906"/>
    <w:rsid w:val="00F94C9D"/>
    <w:rsid w:val="00F94CBD"/>
    <w:rsid w:val="00F94ECB"/>
    <w:rsid w:val="00F953CA"/>
    <w:rsid w:val="00F955D6"/>
    <w:rsid w:val="00F95696"/>
    <w:rsid w:val="00F95718"/>
    <w:rsid w:val="00F95851"/>
    <w:rsid w:val="00F95965"/>
    <w:rsid w:val="00F95A87"/>
    <w:rsid w:val="00F95B20"/>
    <w:rsid w:val="00F95C76"/>
    <w:rsid w:val="00F95D8F"/>
    <w:rsid w:val="00F95E97"/>
    <w:rsid w:val="00F95F2B"/>
    <w:rsid w:val="00F96281"/>
    <w:rsid w:val="00F9637E"/>
    <w:rsid w:val="00F96580"/>
    <w:rsid w:val="00F9658E"/>
    <w:rsid w:val="00F96604"/>
    <w:rsid w:val="00F9688D"/>
    <w:rsid w:val="00F968A3"/>
    <w:rsid w:val="00F968CF"/>
    <w:rsid w:val="00F96A67"/>
    <w:rsid w:val="00F96A82"/>
    <w:rsid w:val="00F96AF9"/>
    <w:rsid w:val="00F96D56"/>
    <w:rsid w:val="00F96DCA"/>
    <w:rsid w:val="00F96DD3"/>
    <w:rsid w:val="00F96E09"/>
    <w:rsid w:val="00F96E16"/>
    <w:rsid w:val="00F96F09"/>
    <w:rsid w:val="00F9700C"/>
    <w:rsid w:val="00F971CE"/>
    <w:rsid w:val="00F97281"/>
    <w:rsid w:val="00F97350"/>
    <w:rsid w:val="00F973D3"/>
    <w:rsid w:val="00F974AE"/>
    <w:rsid w:val="00F975C5"/>
    <w:rsid w:val="00F9788A"/>
    <w:rsid w:val="00F97998"/>
    <w:rsid w:val="00F97AA1"/>
    <w:rsid w:val="00F97AB3"/>
    <w:rsid w:val="00F97C4E"/>
    <w:rsid w:val="00F97D1B"/>
    <w:rsid w:val="00F97DF1"/>
    <w:rsid w:val="00F97EF4"/>
    <w:rsid w:val="00F97F02"/>
    <w:rsid w:val="00FA0001"/>
    <w:rsid w:val="00FA005A"/>
    <w:rsid w:val="00FA0093"/>
    <w:rsid w:val="00FA013A"/>
    <w:rsid w:val="00FA019F"/>
    <w:rsid w:val="00FA032B"/>
    <w:rsid w:val="00FA03FF"/>
    <w:rsid w:val="00FA04BF"/>
    <w:rsid w:val="00FA04E9"/>
    <w:rsid w:val="00FA05A3"/>
    <w:rsid w:val="00FA065A"/>
    <w:rsid w:val="00FA06FF"/>
    <w:rsid w:val="00FA07D3"/>
    <w:rsid w:val="00FA08C3"/>
    <w:rsid w:val="00FA0A03"/>
    <w:rsid w:val="00FA0A4B"/>
    <w:rsid w:val="00FA0A8E"/>
    <w:rsid w:val="00FA0AE8"/>
    <w:rsid w:val="00FA0C3A"/>
    <w:rsid w:val="00FA1072"/>
    <w:rsid w:val="00FA1242"/>
    <w:rsid w:val="00FA153B"/>
    <w:rsid w:val="00FA1688"/>
    <w:rsid w:val="00FA16EA"/>
    <w:rsid w:val="00FA173F"/>
    <w:rsid w:val="00FA17A6"/>
    <w:rsid w:val="00FA1BD7"/>
    <w:rsid w:val="00FA1BFE"/>
    <w:rsid w:val="00FA1D8D"/>
    <w:rsid w:val="00FA1F32"/>
    <w:rsid w:val="00FA2076"/>
    <w:rsid w:val="00FA2097"/>
    <w:rsid w:val="00FA21B8"/>
    <w:rsid w:val="00FA25FC"/>
    <w:rsid w:val="00FA2A4F"/>
    <w:rsid w:val="00FA2ACF"/>
    <w:rsid w:val="00FA2AE1"/>
    <w:rsid w:val="00FA2BD8"/>
    <w:rsid w:val="00FA2CE7"/>
    <w:rsid w:val="00FA2D1B"/>
    <w:rsid w:val="00FA32BE"/>
    <w:rsid w:val="00FA3440"/>
    <w:rsid w:val="00FA354B"/>
    <w:rsid w:val="00FA3767"/>
    <w:rsid w:val="00FA3854"/>
    <w:rsid w:val="00FA3906"/>
    <w:rsid w:val="00FA3C8B"/>
    <w:rsid w:val="00FA3CE5"/>
    <w:rsid w:val="00FA3F87"/>
    <w:rsid w:val="00FA4046"/>
    <w:rsid w:val="00FA41F3"/>
    <w:rsid w:val="00FA4515"/>
    <w:rsid w:val="00FA4566"/>
    <w:rsid w:val="00FA45ED"/>
    <w:rsid w:val="00FA46A8"/>
    <w:rsid w:val="00FA46B0"/>
    <w:rsid w:val="00FA474A"/>
    <w:rsid w:val="00FA4916"/>
    <w:rsid w:val="00FA4A84"/>
    <w:rsid w:val="00FA4E28"/>
    <w:rsid w:val="00FA5022"/>
    <w:rsid w:val="00FA50CA"/>
    <w:rsid w:val="00FA514E"/>
    <w:rsid w:val="00FA530D"/>
    <w:rsid w:val="00FA537B"/>
    <w:rsid w:val="00FA5451"/>
    <w:rsid w:val="00FA54CB"/>
    <w:rsid w:val="00FA5561"/>
    <w:rsid w:val="00FA5581"/>
    <w:rsid w:val="00FA57E0"/>
    <w:rsid w:val="00FA5994"/>
    <w:rsid w:val="00FA5B54"/>
    <w:rsid w:val="00FA5C15"/>
    <w:rsid w:val="00FA6018"/>
    <w:rsid w:val="00FA6037"/>
    <w:rsid w:val="00FA61AE"/>
    <w:rsid w:val="00FA6237"/>
    <w:rsid w:val="00FA6418"/>
    <w:rsid w:val="00FA64CB"/>
    <w:rsid w:val="00FA6862"/>
    <w:rsid w:val="00FA69D8"/>
    <w:rsid w:val="00FA6A70"/>
    <w:rsid w:val="00FA6DA2"/>
    <w:rsid w:val="00FA7005"/>
    <w:rsid w:val="00FA7092"/>
    <w:rsid w:val="00FA7263"/>
    <w:rsid w:val="00FA746F"/>
    <w:rsid w:val="00FA7B07"/>
    <w:rsid w:val="00FA7C50"/>
    <w:rsid w:val="00FA7C90"/>
    <w:rsid w:val="00FA7D31"/>
    <w:rsid w:val="00FA7D77"/>
    <w:rsid w:val="00FA7E78"/>
    <w:rsid w:val="00FA7FD9"/>
    <w:rsid w:val="00FB00A8"/>
    <w:rsid w:val="00FB024C"/>
    <w:rsid w:val="00FB025A"/>
    <w:rsid w:val="00FB06C4"/>
    <w:rsid w:val="00FB06D7"/>
    <w:rsid w:val="00FB072B"/>
    <w:rsid w:val="00FB0813"/>
    <w:rsid w:val="00FB09BF"/>
    <w:rsid w:val="00FB0D38"/>
    <w:rsid w:val="00FB0E6F"/>
    <w:rsid w:val="00FB0EBA"/>
    <w:rsid w:val="00FB0EC2"/>
    <w:rsid w:val="00FB0EFA"/>
    <w:rsid w:val="00FB0FB6"/>
    <w:rsid w:val="00FB106B"/>
    <w:rsid w:val="00FB10D6"/>
    <w:rsid w:val="00FB1297"/>
    <w:rsid w:val="00FB1620"/>
    <w:rsid w:val="00FB16EA"/>
    <w:rsid w:val="00FB188F"/>
    <w:rsid w:val="00FB1AA0"/>
    <w:rsid w:val="00FB1C9F"/>
    <w:rsid w:val="00FB1D5F"/>
    <w:rsid w:val="00FB1F02"/>
    <w:rsid w:val="00FB23A1"/>
    <w:rsid w:val="00FB25CA"/>
    <w:rsid w:val="00FB26B8"/>
    <w:rsid w:val="00FB27D1"/>
    <w:rsid w:val="00FB280F"/>
    <w:rsid w:val="00FB28E7"/>
    <w:rsid w:val="00FB2D26"/>
    <w:rsid w:val="00FB34CC"/>
    <w:rsid w:val="00FB364F"/>
    <w:rsid w:val="00FB36F7"/>
    <w:rsid w:val="00FB37DC"/>
    <w:rsid w:val="00FB381E"/>
    <w:rsid w:val="00FB3948"/>
    <w:rsid w:val="00FB39D1"/>
    <w:rsid w:val="00FB3A05"/>
    <w:rsid w:val="00FB3C09"/>
    <w:rsid w:val="00FB3E56"/>
    <w:rsid w:val="00FB3E8C"/>
    <w:rsid w:val="00FB3F2F"/>
    <w:rsid w:val="00FB3F3C"/>
    <w:rsid w:val="00FB3FA7"/>
    <w:rsid w:val="00FB3FC1"/>
    <w:rsid w:val="00FB4074"/>
    <w:rsid w:val="00FB4174"/>
    <w:rsid w:val="00FB4342"/>
    <w:rsid w:val="00FB43A2"/>
    <w:rsid w:val="00FB43F8"/>
    <w:rsid w:val="00FB44F9"/>
    <w:rsid w:val="00FB451E"/>
    <w:rsid w:val="00FB458B"/>
    <w:rsid w:val="00FB4597"/>
    <w:rsid w:val="00FB4772"/>
    <w:rsid w:val="00FB47B3"/>
    <w:rsid w:val="00FB48BF"/>
    <w:rsid w:val="00FB4A1D"/>
    <w:rsid w:val="00FB4AD5"/>
    <w:rsid w:val="00FB4B0C"/>
    <w:rsid w:val="00FB4D30"/>
    <w:rsid w:val="00FB4F45"/>
    <w:rsid w:val="00FB5014"/>
    <w:rsid w:val="00FB512D"/>
    <w:rsid w:val="00FB513E"/>
    <w:rsid w:val="00FB5246"/>
    <w:rsid w:val="00FB528D"/>
    <w:rsid w:val="00FB5356"/>
    <w:rsid w:val="00FB5634"/>
    <w:rsid w:val="00FB563F"/>
    <w:rsid w:val="00FB5761"/>
    <w:rsid w:val="00FB57AC"/>
    <w:rsid w:val="00FB57F7"/>
    <w:rsid w:val="00FB58A5"/>
    <w:rsid w:val="00FB58E3"/>
    <w:rsid w:val="00FB59F5"/>
    <w:rsid w:val="00FB5C92"/>
    <w:rsid w:val="00FB5CB1"/>
    <w:rsid w:val="00FB5D27"/>
    <w:rsid w:val="00FB5DCE"/>
    <w:rsid w:val="00FB5DDB"/>
    <w:rsid w:val="00FB5DDD"/>
    <w:rsid w:val="00FB625E"/>
    <w:rsid w:val="00FB62B7"/>
    <w:rsid w:val="00FB6334"/>
    <w:rsid w:val="00FB638D"/>
    <w:rsid w:val="00FB63D5"/>
    <w:rsid w:val="00FB63E5"/>
    <w:rsid w:val="00FB6684"/>
    <w:rsid w:val="00FB6719"/>
    <w:rsid w:val="00FB68F4"/>
    <w:rsid w:val="00FB6C80"/>
    <w:rsid w:val="00FB6E49"/>
    <w:rsid w:val="00FB6EB7"/>
    <w:rsid w:val="00FB6EBB"/>
    <w:rsid w:val="00FB6EEF"/>
    <w:rsid w:val="00FB701C"/>
    <w:rsid w:val="00FB7131"/>
    <w:rsid w:val="00FB74B7"/>
    <w:rsid w:val="00FB74F4"/>
    <w:rsid w:val="00FB768B"/>
    <w:rsid w:val="00FB76AB"/>
    <w:rsid w:val="00FB77A0"/>
    <w:rsid w:val="00FB78D0"/>
    <w:rsid w:val="00FB792A"/>
    <w:rsid w:val="00FB7A8B"/>
    <w:rsid w:val="00FB7B12"/>
    <w:rsid w:val="00FB7B39"/>
    <w:rsid w:val="00FB7B63"/>
    <w:rsid w:val="00FB7C10"/>
    <w:rsid w:val="00FB7C93"/>
    <w:rsid w:val="00FB7D18"/>
    <w:rsid w:val="00FB7EB3"/>
    <w:rsid w:val="00FB7F49"/>
    <w:rsid w:val="00FC00E2"/>
    <w:rsid w:val="00FC0118"/>
    <w:rsid w:val="00FC01D5"/>
    <w:rsid w:val="00FC01EF"/>
    <w:rsid w:val="00FC03AE"/>
    <w:rsid w:val="00FC0419"/>
    <w:rsid w:val="00FC0802"/>
    <w:rsid w:val="00FC089B"/>
    <w:rsid w:val="00FC09FA"/>
    <w:rsid w:val="00FC0A5B"/>
    <w:rsid w:val="00FC0B31"/>
    <w:rsid w:val="00FC0C62"/>
    <w:rsid w:val="00FC1363"/>
    <w:rsid w:val="00FC1500"/>
    <w:rsid w:val="00FC15D4"/>
    <w:rsid w:val="00FC17A4"/>
    <w:rsid w:val="00FC17FD"/>
    <w:rsid w:val="00FC1826"/>
    <w:rsid w:val="00FC1918"/>
    <w:rsid w:val="00FC1932"/>
    <w:rsid w:val="00FC1A12"/>
    <w:rsid w:val="00FC1C7E"/>
    <w:rsid w:val="00FC1C87"/>
    <w:rsid w:val="00FC1DA1"/>
    <w:rsid w:val="00FC1E08"/>
    <w:rsid w:val="00FC1EF1"/>
    <w:rsid w:val="00FC1FDB"/>
    <w:rsid w:val="00FC2005"/>
    <w:rsid w:val="00FC20FD"/>
    <w:rsid w:val="00FC214A"/>
    <w:rsid w:val="00FC2192"/>
    <w:rsid w:val="00FC21F9"/>
    <w:rsid w:val="00FC224E"/>
    <w:rsid w:val="00FC2273"/>
    <w:rsid w:val="00FC2393"/>
    <w:rsid w:val="00FC23CC"/>
    <w:rsid w:val="00FC25C7"/>
    <w:rsid w:val="00FC25EB"/>
    <w:rsid w:val="00FC26D6"/>
    <w:rsid w:val="00FC2912"/>
    <w:rsid w:val="00FC2BB1"/>
    <w:rsid w:val="00FC2C61"/>
    <w:rsid w:val="00FC2C64"/>
    <w:rsid w:val="00FC2CAB"/>
    <w:rsid w:val="00FC2CEA"/>
    <w:rsid w:val="00FC2D87"/>
    <w:rsid w:val="00FC2EBB"/>
    <w:rsid w:val="00FC2ED0"/>
    <w:rsid w:val="00FC2EDE"/>
    <w:rsid w:val="00FC30C2"/>
    <w:rsid w:val="00FC30D5"/>
    <w:rsid w:val="00FC32EA"/>
    <w:rsid w:val="00FC3443"/>
    <w:rsid w:val="00FC346A"/>
    <w:rsid w:val="00FC34D8"/>
    <w:rsid w:val="00FC34E8"/>
    <w:rsid w:val="00FC3573"/>
    <w:rsid w:val="00FC35DA"/>
    <w:rsid w:val="00FC35EC"/>
    <w:rsid w:val="00FC3626"/>
    <w:rsid w:val="00FC3887"/>
    <w:rsid w:val="00FC399E"/>
    <w:rsid w:val="00FC3AEE"/>
    <w:rsid w:val="00FC3B0F"/>
    <w:rsid w:val="00FC3C89"/>
    <w:rsid w:val="00FC3CB1"/>
    <w:rsid w:val="00FC3F06"/>
    <w:rsid w:val="00FC3FBC"/>
    <w:rsid w:val="00FC4083"/>
    <w:rsid w:val="00FC40A0"/>
    <w:rsid w:val="00FC4197"/>
    <w:rsid w:val="00FC4264"/>
    <w:rsid w:val="00FC42AC"/>
    <w:rsid w:val="00FC442B"/>
    <w:rsid w:val="00FC4485"/>
    <w:rsid w:val="00FC4490"/>
    <w:rsid w:val="00FC4539"/>
    <w:rsid w:val="00FC4738"/>
    <w:rsid w:val="00FC4874"/>
    <w:rsid w:val="00FC496A"/>
    <w:rsid w:val="00FC49D0"/>
    <w:rsid w:val="00FC4ABD"/>
    <w:rsid w:val="00FC4B93"/>
    <w:rsid w:val="00FC4C84"/>
    <w:rsid w:val="00FC4E28"/>
    <w:rsid w:val="00FC4E5B"/>
    <w:rsid w:val="00FC4EC4"/>
    <w:rsid w:val="00FC4FF4"/>
    <w:rsid w:val="00FC5008"/>
    <w:rsid w:val="00FC5037"/>
    <w:rsid w:val="00FC5238"/>
    <w:rsid w:val="00FC527F"/>
    <w:rsid w:val="00FC52CE"/>
    <w:rsid w:val="00FC5649"/>
    <w:rsid w:val="00FC56D5"/>
    <w:rsid w:val="00FC5723"/>
    <w:rsid w:val="00FC589C"/>
    <w:rsid w:val="00FC5936"/>
    <w:rsid w:val="00FC594C"/>
    <w:rsid w:val="00FC5978"/>
    <w:rsid w:val="00FC5C75"/>
    <w:rsid w:val="00FC5F14"/>
    <w:rsid w:val="00FC5F81"/>
    <w:rsid w:val="00FC6241"/>
    <w:rsid w:val="00FC641E"/>
    <w:rsid w:val="00FC66A3"/>
    <w:rsid w:val="00FC67C0"/>
    <w:rsid w:val="00FC6817"/>
    <w:rsid w:val="00FC68DF"/>
    <w:rsid w:val="00FC6A94"/>
    <w:rsid w:val="00FC6BE2"/>
    <w:rsid w:val="00FC6C1B"/>
    <w:rsid w:val="00FC6D81"/>
    <w:rsid w:val="00FC6DB8"/>
    <w:rsid w:val="00FC6E10"/>
    <w:rsid w:val="00FC6E43"/>
    <w:rsid w:val="00FC7168"/>
    <w:rsid w:val="00FC72BC"/>
    <w:rsid w:val="00FC7344"/>
    <w:rsid w:val="00FC7371"/>
    <w:rsid w:val="00FC7784"/>
    <w:rsid w:val="00FC789A"/>
    <w:rsid w:val="00FC7AC2"/>
    <w:rsid w:val="00FC7B54"/>
    <w:rsid w:val="00FC7B5A"/>
    <w:rsid w:val="00FC7BE5"/>
    <w:rsid w:val="00FC7D16"/>
    <w:rsid w:val="00FC7D67"/>
    <w:rsid w:val="00FD00B3"/>
    <w:rsid w:val="00FD01EE"/>
    <w:rsid w:val="00FD02AC"/>
    <w:rsid w:val="00FD05D8"/>
    <w:rsid w:val="00FD0637"/>
    <w:rsid w:val="00FD0781"/>
    <w:rsid w:val="00FD0862"/>
    <w:rsid w:val="00FD0883"/>
    <w:rsid w:val="00FD0BCC"/>
    <w:rsid w:val="00FD0E4B"/>
    <w:rsid w:val="00FD0FAB"/>
    <w:rsid w:val="00FD1013"/>
    <w:rsid w:val="00FD140B"/>
    <w:rsid w:val="00FD1571"/>
    <w:rsid w:val="00FD1795"/>
    <w:rsid w:val="00FD1851"/>
    <w:rsid w:val="00FD1877"/>
    <w:rsid w:val="00FD1B7C"/>
    <w:rsid w:val="00FD1B9E"/>
    <w:rsid w:val="00FD1BF8"/>
    <w:rsid w:val="00FD1C57"/>
    <w:rsid w:val="00FD1E16"/>
    <w:rsid w:val="00FD1E5C"/>
    <w:rsid w:val="00FD1EF4"/>
    <w:rsid w:val="00FD21AD"/>
    <w:rsid w:val="00FD21BD"/>
    <w:rsid w:val="00FD2294"/>
    <w:rsid w:val="00FD22FB"/>
    <w:rsid w:val="00FD2578"/>
    <w:rsid w:val="00FD280B"/>
    <w:rsid w:val="00FD28CF"/>
    <w:rsid w:val="00FD290A"/>
    <w:rsid w:val="00FD2C1F"/>
    <w:rsid w:val="00FD2C55"/>
    <w:rsid w:val="00FD2D9E"/>
    <w:rsid w:val="00FD2DF1"/>
    <w:rsid w:val="00FD2F7A"/>
    <w:rsid w:val="00FD31E8"/>
    <w:rsid w:val="00FD3332"/>
    <w:rsid w:val="00FD33C0"/>
    <w:rsid w:val="00FD3AB2"/>
    <w:rsid w:val="00FD3BA4"/>
    <w:rsid w:val="00FD3BA9"/>
    <w:rsid w:val="00FD3C47"/>
    <w:rsid w:val="00FD3FC6"/>
    <w:rsid w:val="00FD4164"/>
    <w:rsid w:val="00FD4167"/>
    <w:rsid w:val="00FD41F4"/>
    <w:rsid w:val="00FD448D"/>
    <w:rsid w:val="00FD44AE"/>
    <w:rsid w:val="00FD465A"/>
    <w:rsid w:val="00FD467A"/>
    <w:rsid w:val="00FD4695"/>
    <w:rsid w:val="00FD46A1"/>
    <w:rsid w:val="00FD496E"/>
    <w:rsid w:val="00FD4972"/>
    <w:rsid w:val="00FD498E"/>
    <w:rsid w:val="00FD4AD6"/>
    <w:rsid w:val="00FD4BD7"/>
    <w:rsid w:val="00FD4DA1"/>
    <w:rsid w:val="00FD4E5A"/>
    <w:rsid w:val="00FD4F39"/>
    <w:rsid w:val="00FD4F57"/>
    <w:rsid w:val="00FD4F69"/>
    <w:rsid w:val="00FD5388"/>
    <w:rsid w:val="00FD56C3"/>
    <w:rsid w:val="00FD58D4"/>
    <w:rsid w:val="00FD59E5"/>
    <w:rsid w:val="00FD5C77"/>
    <w:rsid w:val="00FD5CB1"/>
    <w:rsid w:val="00FD5DA3"/>
    <w:rsid w:val="00FD5ED8"/>
    <w:rsid w:val="00FD5EE8"/>
    <w:rsid w:val="00FD5FFB"/>
    <w:rsid w:val="00FD6015"/>
    <w:rsid w:val="00FD60F5"/>
    <w:rsid w:val="00FD6229"/>
    <w:rsid w:val="00FD634B"/>
    <w:rsid w:val="00FD63B0"/>
    <w:rsid w:val="00FD63C8"/>
    <w:rsid w:val="00FD6540"/>
    <w:rsid w:val="00FD65A8"/>
    <w:rsid w:val="00FD69C0"/>
    <w:rsid w:val="00FD69E9"/>
    <w:rsid w:val="00FD6B2B"/>
    <w:rsid w:val="00FD6C86"/>
    <w:rsid w:val="00FD6F24"/>
    <w:rsid w:val="00FD6FF8"/>
    <w:rsid w:val="00FD704A"/>
    <w:rsid w:val="00FD70C3"/>
    <w:rsid w:val="00FD71C6"/>
    <w:rsid w:val="00FD71DE"/>
    <w:rsid w:val="00FD7271"/>
    <w:rsid w:val="00FD744C"/>
    <w:rsid w:val="00FD757E"/>
    <w:rsid w:val="00FD797C"/>
    <w:rsid w:val="00FD79D6"/>
    <w:rsid w:val="00FD7A6A"/>
    <w:rsid w:val="00FD7AB8"/>
    <w:rsid w:val="00FD7B66"/>
    <w:rsid w:val="00FD7C67"/>
    <w:rsid w:val="00FD7D79"/>
    <w:rsid w:val="00FD7D90"/>
    <w:rsid w:val="00FD7EC5"/>
    <w:rsid w:val="00FE0075"/>
    <w:rsid w:val="00FE01AE"/>
    <w:rsid w:val="00FE0249"/>
    <w:rsid w:val="00FE02B1"/>
    <w:rsid w:val="00FE04FF"/>
    <w:rsid w:val="00FE05FC"/>
    <w:rsid w:val="00FE05FD"/>
    <w:rsid w:val="00FE0721"/>
    <w:rsid w:val="00FE0782"/>
    <w:rsid w:val="00FE08B8"/>
    <w:rsid w:val="00FE094C"/>
    <w:rsid w:val="00FE0971"/>
    <w:rsid w:val="00FE09BD"/>
    <w:rsid w:val="00FE0B05"/>
    <w:rsid w:val="00FE0CA8"/>
    <w:rsid w:val="00FE0E8D"/>
    <w:rsid w:val="00FE0FB6"/>
    <w:rsid w:val="00FE1000"/>
    <w:rsid w:val="00FE104D"/>
    <w:rsid w:val="00FE1105"/>
    <w:rsid w:val="00FE1233"/>
    <w:rsid w:val="00FE1285"/>
    <w:rsid w:val="00FE15C9"/>
    <w:rsid w:val="00FE17D7"/>
    <w:rsid w:val="00FE1807"/>
    <w:rsid w:val="00FE19E5"/>
    <w:rsid w:val="00FE1B3F"/>
    <w:rsid w:val="00FE1BBD"/>
    <w:rsid w:val="00FE1CBA"/>
    <w:rsid w:val="00FE1CC6"/>
    <w:rsid w:val="00FE1D05"/>
    <w:rsid w:val="00FE1D4D"/>
    <w:rsid w:val="00FE1F13"/>
    <w:rsid w:val="00FE1FAA"/>
    <w:rsid w:val="00FE2034"/>
    <w:rsid w:val="00FE21F9"/>
    <w:rsid w:val="00FE22B3"/>
    <w:rsid w:val="00FE24A6"/>
    <w:rsid w:val="00FE2528"/>
    <w:rsid w:val="00FE271D"/>
    <w:rsid w:val="00FE2767"/>
    <w:rsid w:val="00FE2784"/>
    <w:rsid w:val="00FE27BB"/>
    <w:rsid w:val="00FE2BCC"/>
    <w:rsid w:val="00FE2D3B"/>
    <w:rsid w:val="00FE2F13"/>
    <w:rsid w:val="00FE303F"/>
    <w:rsid w:val="00FE30D5"/>
    <w:rsid w:val="00FE32D1"/>
    <w:rsid w:val="00FE32EB"/>
    <w:rsid w:val="00FE333F"/>
    <w:rsid w:val="00FE33D8"/>
    <w:rsid w:val="00FE346D"/>
    <w:rsid w:val="00FE3531"/>
    <w:rsid w:val="00FE3545"/>
    <w:rsid w:val="00FE363A"/>
    <w:rsid w:val="00FE3675"/>
    <w:rsid w:val="00FE3875"/>
    <w:rsid w:val="00FE38A9"/>
    <w:rsid w:val="00FE38D5"/>
    <w:rsid w:val="00FE3981"/>
    <w:rsid w:val="00FE3A05"/>
    <w:rsid w:val="00FE3A74"/>
    <w:rsid w:val="00FE3AED"/>
    <w:rsid w:val="00FE3B73"/>
    <w:rsid w:val="00FE3BB7"/>
    <w:rsid w:val="00FE3BB8"/>
    <w:rsid w:val="00FE3CB4"/>
    <w:rsid w:val="00FE3CC8"/>
    <w:rsid w:val="00FE3D23"/>
    <w:rsid w:val="00FE41F7"/>
    <w:rsid w:val="00FE4371"/>
    <w:rsid w:val="00FE441D"/>
    <w:rsid w:val="00FE460D"/>
    <w:rsid w:val="00FE4798"/>
    <w:rsid w:val="00FE4828"/>
    <w:rsid w:val="00FE48A3"/>
    <w:rsid w:val="00FE48AE"/>
    <w:rsid w:val="00FE494E"/>
    <w:rsid w:val="00FE4A13"/>
    <w:rsid w:val="00FE4A82"/>
    <w:rsid w:val="00FE4A8F"/>
    <w:rsid w:val="00FE4B49"/>
    <w:rsid w:val="00FE4DF8"/>
    <w:rsid w:val="00FE4E6D"/>
    <w:rsid w:val="00FE4EA1"/>
    <w:rsid w:val="00FE4F0D"/>
    <w:rsid w:val="00FE5023"/>
    <w:rsid w:val="00FE503B"/>
    <w:rsid w:val="00FE50CE"/>
    <w:rsid w:val="00FE51E8"/>
    <w:rsid w:val="00FE5310"/>
    <w:rsid w:val="00FE538A"/>
    <w:rsid w:val="00FE53D8"/>
    <w:rsid w:val="00FE5540"/>
    <w:rsid w:val="00FE5587"/>
    <w:rsid w:val="00FE55C9"/>
    <w:rsid w:val="00FE5620"/>
    <w:rsid w:val="00FE57FA"/>
    <w:rsid w:val="00FE5950"/>
    <w:rsid w:val="00FE5BEB"/>
    <w:rsid w:val="00FE5C3C"/>
    <w:rsid w:val="00FE5CB9"/>
    <w:rsid w:val="00FE5DA2"/>
    <w:rsid w:val="00FE5DCF"/>
    <w:rsid w:val="00FE5E2A"/>
    <w:rsid w:val="00FE5F5D"/>
    <w:rsid w:val="00FE62A3"/>
    <w:rsid w:val="00FE646D"/>
    <w:rsid w:val="00FE653D"/>
    <w:rsid w:val="00FE6788"/>
    <w:rsid w:val="00FE68AE"/>
    <w:rsid w:val="00FE68B1"/>
    <w:rsid w:val="00FE6CB3"/>
    <w:rsid w:val="00FE6CE9"/>
    <w:rsid w:val="00FE6DED"/>
    <w:rsid w:val="00FE6E13"/>
    <w:rsid w:val="00FE6E45"/>
    <w:rsid w:val="00FE6E81"/>
    <w:rsid w:val="00FE7076"/>
    <w:rsid w:val="00FE7100"/>
    <w:rsid w:val="00FE7234"/>
    <w:rsid w:val="00FE7340"/>
    <w:rsid w:val="00FE73AD"/>
    <w:rsid w:val="00FE73F2"/>
    <w:rsid w:val="00FE745B"/>
    <w:rsid w:val="00FE768A"/>
    <w:rsid w:val="00FE78D3"/>
    <w:rsid w:val="00FE7BF1"/>
    <w:rsid w:val="00FE7D7A"/>
    <w:rsid w:val="00FE7FA9"/>
    <w:rsid w:val="00FF00E9"/>
    <w:rsid w:val="00FF05AE"/>
    <w:rsid w:val="00FF080D"/>
    <w:rsid w:val="00FF084B"/>
    <w:rsid w:val="00FF09EF"/>
    <w:rsid w:val="00FF0A08"/>
    <w:rsid w:val="00FF0AF7"/>
    <w:rsid w:val="00FF0BD5"/>
    <w:rsid w:val="00FF0D25"/>
    <w:rsid w:val="00FF0D87"/>
    <w:rsid w:val="00FF0F38"/>
    <w:rsid w:val="00FF1032"/>
    <w:rsid w:val="00FF10F1"/>
    <w:rsid w:val="00FF1215"/>
    <w:rsid w:val="00FF1274"/>
    <w:rsid w:val="00FF1321"/>
    <w:rsid w:val="00FF134D"/>
    <w:rsid w:val="00FF137B"/>
    <w:rsid w:val="00FF1388"/>
    <w:rsid w:val="00FF142C"/>
    <w:rsid w:val="00FF1463"/>
    <w:rsid w:val="00FF1493"/>
    <w:rsid w:val="00FF14A0"/>
    <w:rsid w:val="00FF1536"/>
    <w:rsid w:val="00FF1823"/>
    <w:rsid w:val="00FF1905"/>
    <w:rsid w:val="00FF1A6A"/>
    <w:rsid w:val="00FF1BAC"/>
    <w:rsid w:val="00FF1C1C"/>
    <w:rsid w:val="00FF1D5E"/>
    <w:rsid w:val="00FF1D66"/>
    <w:rsid w:val="00FF1DB7"/>
    <w:rsid w:val="00FF20EF"/>
    <w:rsid w:val="00FF2132"/>
    <w:rsid w:val="00FF23EE"/>
    <w:rsid w:val="00FF25AA"/>
    <w:rsid w:val="00FF2626"/>
    <w:rsid w:val="00FF26B8"/>
    <w:rsid w:val="00FF26EF"/>
    <w:rsid w:val="00FF2715"/>
    <w:rsid w:val="00FF2832"/>
    <w:rsid w:val="00FF2B2E"/>
    <w:rsid w:val="00FF2B50"/>
    <w:rsid w:val="00FF2B6A"/>
    <w:rsid w:val="00FF2B92"/>
    <w:rsid w:val="00FF2C4B"/>
    <w:rsid w:val="00FF3100"/>
    <w:rsid w:val="00FF3268"/>
    <w:rsid w:val="00FF33B9"/>
    <w:rsid w:val="00FF345B"/>
    <w:rsid w:val="00FF3646"/>
    <w:rsid w:val="00FF3679"/>
    <w:rsid w:val="00FF372A"/>
    <w:rsid w:val="00FF38E9"/>
    <w:rsid w:val="00FF3CC0"/>
    <w:rsid w:val="00FF3D05"/>
    <w:rsid w:val="00FF3D93"/>
    <w:rsid w:val="00FF401C"/>
    <w:rsid w:val="00FF418A"/>
    <w:rsid w:val="00FF445D"/>
    <w:rsid w:val="00FF4627"/>
    <w:rsid w:val="00FF4698"/>
    <w:rsid w:val="00FF4752"/>
    <w:rsid w:val="00FF47F4"/>
    <w:rsid w:val="00FF4890"/>
    <w:rsid w:val="00FF49D3"/>
    <w:rsid w:val="00FF4A8A"/>
    <w:rsid w:val="00FF4C5D"/>
    <w:rsid w:val="00FF4EAF"/>
    <w:rsid w:val="00FF50D5"/>
    <w:rsid w:val="00FF5134"/>
    <w:rsid w:val="00FF5220"/>
    <w:rsid w:val="00FF5684"/>
    <w:rsid w:val="00FF56B8"/>
    <w:rsid w:val="00FF56C3"/>
    <w:rsid w:val="00FF5781"/>
    <w:rsid w:val="00FF5CF5"/>
    <w:rsid w:val="00FF5F96"/>
    <w:rsid w:val="00FF5FC2"/>
    <w:rsid w:val="00FF6121"/>
    <w:rsid w:val="00FF6256"/>
    <w:rsid w:val="00FF6381"/>
    <w:rsid w:val="00FF63B8"/>
    <w:rsid w:val="00FF64C7"/>
    <w:rsid w:val="00FF65A3"/>
    <w:rsid w:val="00FF65CF"/>
    <w:rsid w:val="00FF6616"/>
    <w:rsid w:val="00FF6744"/>
    <w:rsid w:val="00FF67B7"/>
    <w:rsid w:val="00FF6830"/>
    <w:rsid w:val="00FF698B"/>
    <w:rsid w:val="00FF6A4B"/>
    <w:rsid w:val="00FF6BC5"/>
    <w:rsid w:val="00FF6BFF"/>
    <w:rsid w:val="00FF6DFC"/>
    <w:rsid w:val="00FF6EEC"/>
    <w:rsid w:val="00FF6EFD"/>
    <w:rsid w:val="00FF6F29"/>
    <w:rsid w:val="00FF6F71"/>
    <w:rsid w:val="00FF720C"/>
    <w:rsid w:val="00FF721F"/>
    <w:rsid w:val="00FF72DF"/>
    <w:rsid w:val="00FF7351"/>
    <w:rsid w:val="00FF74A4"/>
    <w:rsid w:val="00FF7522"/>
    <w:rsid w:val="00FF7542"/>
    <w:rsid w:val="00FF7560"/>
    <w:rsid w:val="00FF7622"/>
    <w:rsid w:val="00FF7623"/>
    <w:rsid w:val="00FF76D0"/>
    <w:rsid w:val="00FF79B8"/>
    <w:rsid w:val="00FF7A40"/>
    <w:rsid w:val="00FF7BF1"/>
    <w:rsid w:val="00FF7C77"/>
    <w:rsid w:val="00FF7D3B"/>
    <w:rsid w:val="0607AAA2"/>
    <w:rsid w:val="0C52B9D0"/>
    <w:rsid w:val="0D35CF49"/>
    <w:rsid w:val="0DE690C4"/>
    <w:rsid w:val="150206F3"/>
    <w:rsid w:val="15C315F0"/>
    <w:rsid w:val="1640E6F8"/>
    <w:rsid w:val="177B6742"/>
    <w:rsid w:val="198AA064"/>
    <w:rsid w:val="1C364780"/>
    <w:rsid w:val="1CDC98A3"/>
    <w:rsid w:val="22AF7A27"/>
    <w:rsid w:val="237F444E"/>
    <w:rsid w:val="2BFBA354"/>
    <w:rsid w:val="3151C91A"/>
    <w:rsid w:val="356BAD35"/>
    <w:rsid w:val="3CAB3B07"/>
    <w:rsid w:val="3E9F955A"/>
    <w:rsid w:val="41310FE2"/>
    <w:rsid w:val="435743E9"/>
    <w:rsid w:val="4535B48E"/>
    <w:rsid w:val="49D345B7"/>
    <w:rsid w:val="4E1E3D63"/>
    <w:rsid w:val="74C9BEFF"/>
    <w:rsid w:val="790C34DF"/>
    <w:rsid w:val="7AF999D0"/>
    <w:rsid w:val="7BBB2C2A"/>
    <w:rsid w:val="7BE44342"/>
    <w:rsid w:val="7F4DF6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20FCC043"/>
  <w15:chartTrackingRefBased/>
  <w15:docId w15:val="{2962A41B-3A85-45D0-87F4-F5F3B7CD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C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7668D"/>
    <w:pPr>
      <w:spacing w:after="240"/>
      <w:outlineLvl w:val="0"/>
    </w:pPr>
    <w:rPr>
      <w:rFonts w:ascii="Arial Bold" w:hAnsi="Arial Bold"/>
      <w:b/>
      <w:kern w:val="34"/>
      <w:sz w:val="36"/>
    </w:rPr>
  </w:style>
  <w:style w:type="paragraph" w:styleId="Heading2">
    <w:name w:val="heading 2"/>
    <w:aliases w:val="Chapter heading"/>
    <w:basedOn w:val="HeadingBase"/>
    <w:next w:val="Normal"/>
    <w:link w:val="Heading2Char"/>
    <w:qFormat/>
    <w:rsid w:val="0007668D"/>
    <w:pPr>
      <w:spacing w:before="240" w:after="240"/>
      <w:outlineLvl w:val="1"/>
    </w:pPr>
    <w:rPr>
      <w:rFonts w:ascii="Arial Bold" w:hAnsi="Arial Bold"/>
      <w:b/>
      <w:sz w:val="26"/>
    </w:rPr>
  </w:style>
  <w:style w:type="paragraph" w:styleId="Heading3">
    <w:name w:val="heading 3"/>
    <w:aliases w:val="Section heading"/>
    <w:basedOn w:val="HeadingBase"/>
    <w:next w:val="Normal"/>
    <w:link w:val="Heading3Char"/>
    <w:qFormat/>
    <w:rsid w:val="0007668D"/>
    <w:pPr>
      <w:spacing w:before="120" w:after="120"/>
      <w:outlineLvl w:val="2"/>
    </w:pPr>
    <w:rPr>
      <w:rFonts w:ascii="Arial Bold" w:hAnsi="Arial Bold"/>
      <w:b/>
      <w:sz w:val="22"/>
    </w:rPr>
  </w:style>
  <w:style w:type="paragraph" w:styleId="Heading4">
    <w:name w:val="heading 4"/>
    <w:basedOn w:val="HeadingBase"/>
    <w:next w:val="Normal"/>
    <w:link w:val="Heading4Char"/>
    <w:qFormat/>
    <w:rsid w:val="0007668D"/>
    <w:pPr>
      <w:spacing w:after="120"/>
      <w:outlineLvl w:val="3"/>
    </w:pPr>
    <w:rPr>
      <w:rFonts w:ascii="Arial Bold" w:hAnsi="Arial Bold"/>
      <w:b/>
      <w:sz w:val="20"/>
    </w:rPr>
  </w:style>
  <w:style w:type="paragraph" w:styleId="Heading5">
    <w:name w:val="heading 5"/>
    <w:basedOn w:val="HeadingBase"/>
    <w:next w:val="Normal"/>
    <w:link w:val="Heading5Char"/>
    <w:qFormat/>
    <w:rsid w:val="0007668D"/>
    <w:pPr>
      <w:spacing w:after="120"/>
      <w:outlineLvl w:val="4"/>
    </w:pPr>
    <w:rPr>
      <w:bCs/>
      <w:i/>
      <w:iCs/>
      <w:sz w:val="20"/>
      <w:szCs w:val="26"/>
    </w:rPr>
  </w:style>
  <w:style w:type="paragraph" w:styleId="Heading6">
    <w:name w:val="heading 6"/>
    <w:basedOn w:val="HeadingBase"/>
    <w:next w:val="Normal"/>
    <w:link w:val="Heading6Char"/>
    <w:rsid w:val="0007668D"/>
    <w:pPr>
      <w:spacing w:after="120"/>
      <w:outlineLvl w:val="5"/>
    </w:pPr>
    <w:rPr>
      <w:bCs/>
      <w:sz w:val="20"/>
      <w:szCs w:val="22"/>
    </w:rPr>
  </w:style>
  <w:style w:type="paragraph" w:styleId="Heading7">
    <w:name w:val="heading 7"/>
    <w:basedOn w:val="HeadingBase"/>
    <w:next w:val="Normal"/>
    <w:link w:val="Heading7Char"/>
    <w:rsid w:val="0007668D"/>
    <w:pPr>
      <w:spacing w:before="120"/>
      <w:outlineLvl w:val="6"/>
    </w:pPr>
    <w:rPr>
      <w:sz w:val="20"/>
      <w:szCs w:val="24"/>
    </w:rPr>
  </w:style>
  <w:style w:type="paragraph" w:styleId="Heading8">
    <w:name w:val="heading 8"/>
    <w:basedOn w:val="HeadingBase"/>
    <w:next w:val="Normal"/>
    <w:link w:val="Heading8Char"/>
    <w:rsid w:val="0007668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7668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07668D"/>
    <w:pPr>
      <w:tabs>
        <w:tab w:val="center" w:pos="4153"/>
        <w:tab w:val="right" w:pos="8306"/>
      </w:tabs>
    </w:pPr>
  </w:style>
  <w:style w:type="character" w:customStyle="1" w:styleId="HeaderChar">
    <w:name w:val="Header Char"/>
    <w:basedOn w:val="DefaultParagraphFont"/>
    <w:link w:val="Header"/>
    <w:rsid w:val="0007668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7668D"/>
    <w:pPr>
      <w:tabs>
        <w:tab w:val="center" w:pos="4153"/>
        <w:tab w:val="right" w:pos="8306"/>
      </w:tabs>
    </w:pPr>
  </w:style>
  <w:style w:type="character" w:customStyle="1" w:styleId="FooterChar">
    <w:name w:val="Footer Char"/>
    <w:basedOn w:val="DefaultParagraphFont"/>
    <w:link w:val="Footer"/>
    <w:rsid w:val="0007668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07668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7668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7668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7668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7668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7668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7668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7668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7668D"/>
    <w:pPr>
      <w:jc w:val="center"/>
    </w:pPr>
    <w:rPr>
      <w:rFonts w:ascii="Arial Bold" w:hAnsi="Arial Bold"/>
      <w:b/>
      <w:caps/>
      <w:sz w:val="22"/>
    </w:rPr>
  </w:style>
  <w:style w:type="paragraph" w:customStyle="1" w:styleId="FileProperties">
    <w:name w:val="File Properties"/>
    <w:basedOn w:val="Normal"/>
    <w:rsid w:val="0007668D"/>
    <w:pPr>
      <w:spacing w:before="0"/>
    </w:pPr>
    <w:rPr>
      <w:i/>
    </w:rPr>
  </w:style>
  <w:style w:type="paragraph" w:customStyle="1" w:styleId="AlphaParagraph">
    <w:name w:val="Alpha Paragraph"/>
    <w:basedOn w:val="Normal"/>
    <w:rsid w:val="0007668D"/>
    <w:pPr>
      <w:numPr>
        <w:numId w:val="1"/>
      </w:numPr>
      <w:tabs>
        <w:tab w:val="clear" w:pos="567"/>
        <w:tab w:val="num" w:pos="360"/>
      </w:tabs>
      <w:ind w:left="0" w:firstLine="0"/>
    </w:pPr>
  </w:style>
  <w:style w:type="paragraph" w:customStyle="1" w:styleId="HeadingBase">
    <w:name w:val="Heading Base"/>
    <w:rsid w:val="0007668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8360A0"/>
    <w:rPr>
      <w:bCs/>
      <w:color w:val="002A54" w:themeColor="text2"/>
      <w:szCs w:val="52"/>
    </w:rPr>
  </w:style>
  <w:style w:type="paragraph" w:customStyle="1" w:styleId="BoxText">
    <w:name w:val="Box Text"/>
    <w:basedOn w:val="Normal"/>
    <w:link w:val="BoxTextChar"/>
    <w:qFormat/>
    <w:rsid w:val="0007668D"/>
    <w:pPr>
      <w:spacing w:before="120" w:after="120" w:line="240" w:lineRule="auto"/>
    </w:pPr>
  </w:style>
  <w:style w:type="paragraph" w:customStyle="1" w:styleId="BoxBullet">
    <w:name w:val="Box Bullet"/>
    <w:basedOn w:val="BoxText"/>
    <w:rsid w:val="0007668D"/>
    <w:pPr>
      <w:numPr>
        <w:numId w:val="2"/>
      </w:numPr>
    </w:pPr>
  </w:style>
  <w:style w:type="paragraph" w:customStyle="1" w:styleId="BoxHeading">
    <w:name w:val="Box Heading"/>
    <w:basedOn w:val="HeadingBase"/>
    <w:next w:val="BoxText"/>
    <w:rsid w:val="0007668D"/>
    <w:pPr>
      <w:spacing w:before="120" w:after="120"/>
    </w:pPr>
    <w:rPr>
      <w:b/>
      <w:sz w:val="20"/>
    </w:rPr>
  </w:style>
  <w:style w:type="character" w:customStyle="1" w:styleId="Heading6Char">
    <w:name w:val="Heading 6 Char"/>
    <w:basedOn w:val="DefaultParagraphFont"/>
    <w:link w:val="Heading6"/>
    <w:rsid w:val="0007668D"/>
    <w:rPr>
      <w:rFonts w:ascii="Arial" w:eastAsia="Times New Roman" w:hAnsi="Arial" w:cs="Times New Roman"/>
      <w:bCs/>
      <w:sz w:val="20"/>
      <w:lang w:eastAsia="en-AU"/>
    </w:rPr>
  </w:style>
  <w:style w:type="paragraph" w:customStyle="1" w:styleId="Bullet">
    <w:name w:val="Bullet"/>
    <w:aliases w:val="Body,Bullet + line,b,b + line,b1,level 1,BodyNum,Bullet Char1,Bullet Char1 Char Char Char Char,b1 Char Char Char,Bullet Char1 Char Char Char Char Char,Bullet Char1 Char Char Char,bulleted,CG-Bullet"/>
    <w:basedOn w:val="Normal"/>
    <w:link w:val="BulletChar"/>
    <w:qFormat/>
    <w:rsid w:val="0007668D"/>
    <w:pPr>
      <w:numPr>
        <w:numId w:val="3"/>
      </w:numPr>
      <w:spacing w:after="160"/>
      <w:ind w:left="284" w:hanging="284"/>
    </w:pPr>
  </w:style>
  <w:style w:type="paragraph" w:styleId="Caption">
    <w:name w:val="caption"/>
    <w:basedOn w:val="Normal"/>
    <w:next w:val="Normal"/>
    <w:rsid w:val="0007668D"/>
    <w:rPr>
      <w:b/>
      <w:bCs/>
    </w:rPr>
  </w:style>
  <w:style w:type="paragraph" w:customStyle="1" w:styleId="ChartandTableFootnote">
    <w:name w:val="Chart and Table Footnote"/>
    <w:basedOn w:val="HeadingBase"/>
    <w:next w:val="Normal"/>
    <w:rsid w:val="0007668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07668D"/>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07668D"/>
    <w:pPr>
      <w:keepNext w:val="0"/>
      <w:tabs>
        <w:tab w:val="left" w:pos="284"/>
      </w:tabs>
      <w:jc w:val="both"/>
    </w:pPr>
    <w:rPr>
      <w:color w:val="000000"/>
      <w:sz w:val="15"/>
    </w:rPr>
  </w:style>
  <w:style w:type="paragraph" w:customStyle="1" w:styleId="ChartGraphic">
    <w:name w:val="Chart Graphic"/>
    <w:basedOn w:val="HeadingBase"/>
    <w:link w:val="ChartGraphicChar"/>
    <w:rsid w:val="0007668D"/>
    <w:rPr>
      <w:sz w:val="20"/>
    </w:rPr>
  </w:style>
  <w:style w:type="paragraph" w:customStyle="1" w:styleId="TableLine">
    <w:name w:val="Table Line"/>
    <w:basedOn w:val="Normal"/>
    <w:next w:val="Normal"/>
    <w:autoRedefine/>
    <w:rsid w:val="0007668D"/>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7668D"/>
    <w:pPr>
      <w:spacing w:after="60"/>
    </w:pPr>
    <w:rPr>
      <w:sz w:val="19"/>
    </w:rPr>
  </w:style>
  <w:style w:type="character" w:styleId="CommentReference">
    <w:name w:val="annotation reference"/>
    <w:basedOn w:val="DefaultParagraphFont"/>
    <w:semiHidden/>
    <w:rsid w:val="0007668D"/>
    <w:rPr>
      <w:sz w:val="16"/>
      <w:szCs w:val="16"/>
    </w:rPr>
  </w:style>
  <w:style w:type="paragraph" w:styleId="CommentText">
    <w:name w:val="annotation text"/>
    <w:basedOn w:val="Normal"/>
    <w:link w:val="CommentTextChar"/>
    <w:rsid w:val="0007668D"/>
  </w:style>
  <w:style w:type="character" w:customStyle="1" w:styleId="CommentTextChar">
    <w:name w:val="Comment Text Char"/>
    <w:basedOn w:val="DefaultParagraphFont"/>
    <w:link w:val="CommentText"/>
    <w:rsid w:val="0007668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07668D"/>
    <w:rPr>
      <w:b/>
      <w:bCs/>
    </w:rPr>
  </w:style>
  <w:style w:type="character" w:customStyle="1" w:styleId="CommentSubjectChar">
    <w:name w:val="Comment Subject Char"/>
    <w:basedOn w:val="CommentTextChar"/>
    <w:link w:val="CommentSubject"/>
    <w:semiHidden/>
    <w:rsid w:val="0007668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07668D"/>
    <w:pPr>
      <w:spacing w:after="720"/>
      <w:outlineLvl w:val="9"/>
    </w:pPr>
  </w:style>
  <w:style w:type="character" w:styleId="Strong">
    <w:name w:val="Strong"/>
    <w:basedOn w:val="DefaultParagraphFont"/>
    <w:uiPriority w:val="22"/>
    <w:qFormat/>
    <w:rsid w:val="0007668D"/>
    <w:rPr>
      <w:b/>
      <w:bCs/>
      <w:color w:val="002A54" w:themeColor="text2"/>
    </w:rPr>
  </w:style>
  <w:style w:type="paragraph" w:customStyle="1" w:styleId="Dash">
    <w:name w:val="Dash"/>
    <w:basedOn w:val="Normal"/>
    <w:link w:val="DashChar"/>
    <w:qFormat/>
    <w:rsid w:val="0007668D"/>
    <w:pPr>
      <w:numPr>
        <w:ilvl w:val="1"/>
        <w:numId w:val="3"/>
      </w:numPr>
      <w:tabs>
        <w:tab w:val="left" w:pos="567"/>
      </w:tabs>
    </w:pPr>
  </w:style>
  <w:style w:type="paragraph" w:styleId="DocumentMap">
    <w:name w:val="Document Map"/>
    <w:basedOn w:val="Normal"/>
    <w:link w:val="DocumentMapChar"/>
    <w:semiHidden/>
    <w:rsid w:val="0007668D"/>
    <w:pPr>
      <w:shd w:val="clear" w:color="auto" w:fill="000080"/>
    </w:pPr>
    <w:rPr>
      <w:rFonts w:ascii="Tahoma" w:hAnsi="Tahoma" w:cs="Tahoma"/>
    </w:rPr>
  </w:style>
  <w:style w:type="character" w:customStyle="1" w:styleId="DocumentMapChar">
    <w:name w:val="Document Map Char"/>
    <w:basedOn w:val="DefaultParagraphFont"/>
    <w:link w:val="DocumentMap"/>
    <w:semiHidden/>
    <w:rsid w:val="0007668D"/>
    <w:rPr>
      <w:rFonts w:ascii="Tahoma" w:eastAsia="Times New Roman" w:hAnsi="Tahoma" w:cs="Tahoma"/>
      <w:sz w:val="19"/>
      <w:szCs w:val="20"/>
      <w:shd w:val="clear" w:color="auto" w:fill="000080"/>
      <w:lang w:eastAsia="en-AU"/>
    </w:rPr>
  </w:style>
  <w:style w:type="paragraph" w:customStyle="1" w:styleId="DoubleDot">
    <w:name w:val="Double Dot"/>
    <w:basedOn w:val="Normal"/>
    <w:qFormat/>
    <w:rsid w:val="0007668D"/>
    <w:pPr>
      <w:numPr>
        <w:ilvl w:val="2"/>
        <w:numId w:val="3"/>
      </w:numPr>
      <w:tabs>
        <w:tab w:val="clear" w:pos="850"/>
        <w:tab w:val="num" w:pos="360"/>
        <w:tab w:val="left" w:pos="851"/>
      </w:tabs>
    </w:pPr>
  </w:style>
  <w:style w:type="paragraph" w:customStyle="1" w:styleId="FigureHeading">
    <w:name w:val="Figure Heading"/>
    <w:basedOn w:val="HeadingBase"/>
    <w:next w:val="ChartGraphic"/>
    <w:rsid w:val="0007668D"/>
    <w:pPr>
      <w:spacing w:before="120" w:after="20"/>
    </w:pPr>
    <w:rPr>
      <w:b/>
      <w:sz w:val="20"/>
    </w:rPr>
  </w:style>
  <w:style w:type="paragraph" w:customStyle="1" w:styleId="FooterBase">
    <w:name w:val="Footer Base"/>
    <w:rsid w:val="0007668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7668D"/>
    <w:pPr>
      <w:pBdr>
        <w:top w:val="single" w:sz="4" w:space="10" w:color="002A54" w:themeColor="text2"/>
      </w:pBdr>
      <w:jc w:val="left"/>
    </w:pPr>
    <w:rPr>
      <w:sz w:val="18"/>
    </w:rPr>
  </w:style>
  <w:style w:type="paragraph" w:customStyle="1" w:styleId="FooterOdd">
    <w:name w:val="Footer Odd"/>
    <w:basedOn w:val="Footer"/>
    <w:qFormat/>
    <w:rsid w:val="0007668D"/>
    <w:pPr>
      <w:pBdr>
        <w:top w:val="single" w:sz="4" w:space="10" w:color="002A54" w:themeColor="text2"/>
      </w:pBdr>
      <w:jc w:val="right"/>
    </w:pPr>
    <w:rPr>
      <w:sz w:val="18"/>
    </w:rPr>
  </w:style>
  <w:style w:type="character" w:styleId="FootnoteReference">
    <w:name w:val="footnote reference"/>
    <w:basedOn w:val="DefaultParagraphFont"/>
    <w:rsid w:val="0007668D"/>
    <w:rPr>
      <w:vertAlign w:val="superscript"/>
    </w:rPr>
  </w:style>
  <w:style w:type="paragraph" w:styleId="FootnoteText">
    <w:name w:val="footnote text"/>
    <w:basedOn w:val="Normal"/>
    <w:link w:val="FootnoteTextChar"/>
    <w:rsid w:val="0007668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7668D"/>
    <w:rPr>
      <w:rFonts w:ascii="Book Antiqua" w:eastAsia="Times New Roman" w:hAnsi="Book Antiqua" w:cs="Times New Roman"/>
      <w:sz w:val="18"/>
      <w:szCs w:val="20"/>
      <w:lang w:eastAsia="en-AU"/>
    </w:rPr>
  </w:style>
  <w:style w:type="paragraph" w:customStyle="1" w:styleId="HeaderBase">
    <w:name w:val="Header Base"/>
    <w:rsid w:val="0007668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7668D"/>
  </w:style>
  <w:style w:type="paragraph" w:customStyle="1" w:styleId="HeaderOdd">
    <w:name w:val="Header Odd"/>
    <w:basedOn w:val="HeaderBase"/>
    <w:rsid w:val="0007668D"/>
    <w:pPr>
      <w:jc w:val="right"/>
    </w:pPr>
  </w:style>
  <w:style w:type="character" w:customStyle="1" w:styleId="Heading1Char">
    <w:name w:val="Heading 1 Char"/>
    <w:basedOn w:val="DefaultParagraphFont"/>
    <w:link w:val="Heading1"/>
    <w:rsid w:val="0007668D"/>
    <w:rPr>
      <w:rFonts w:ascii="Arial Bold" w:eastAsia="Times New Roman" w:hAnsi="Arial Bold" w:cs="Times New Roman"/>
      <w:b/>
      <w:kern w:val="34"/>
      <w:sz w:val="36"/>
      <w:szCs w:val="20"/>
      <w:lang w:eastAsia="en-AU"/>
    </w:rPr>
  </w:style>
  <w:style w:type="character" w:customStyle="1" w:styleId="Heading2Char">
    <w:name w:val="Heading 2 Char"/>
    <w:aliases w:val="Chapter heading Char"/>
    <w:basedOn w:val="DefaultParagraphFont"/>
    <w:link w:val="Heading2"/>
    <w:rsid w:val="0007668D"/>
    <w:rPr>
      <w:rFonts w:ascii="Arial Bold" w:eastAsia="Times New Roman" w:hAnsi="Arial Bold" w:cs="Times New Roman"/>
      <w:b/>
      <w:sz w:val="26"/>
      <w:szCs w:val="20"/>
      <w:lang w:eastAsia="en-AU"/>
    </w:rPr>
  </w:style>
  <w:style w:type="character" w:customStyle="1" w:styleId="Heading3Char">
    <w:name w:val="Heading 3 Char"/>
    <w:aliases w:val="Section heading Char"/>
    <w:basedOn w:val="DefaultParagraphFont"/>
    <w:link w:val="Heading3"/>
    <w:rsid w:val="0007668D"/>
    <w:rPr>
      <w:rFonts w:ascii="Arial Bold" w:eastAsia="Times New Roman" w:hAnsi="Arial Bold" w:cs="Times New Roman"/>
      <w:b/>
      <w:szCs w:val="20"/>
      <w:lang w:eastAsia="en-AU"/>
    </w:rPr>
  </w:style>
  <w:style w:type="paragraph" w:customStyle="1" w:styleId="Heading3noTOC">
    <w:name w:val="Heading 3 no TOC"/>
    <w:basedOn w:val="Heading3"/>
    <w:rsid w:val="0007668D"/>
    <w:pPr>
      <w:outlineLvl w:val="9"/>
    </w:pPr>
  </w:style>
  <w:style w:type="character" w:customStyle="1" w:styleId="Heading4Char">
    <w:name w:val="Heading 4 Char"/>
    <w:basedOn w:val="DefaultParagraphFont"/>
    <w:link w:val="Heading4"/>
    <w:rsid w:val="0007668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07668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07668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7668D"/>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07668D"/>
    <w:rPr>
      <w:color w:val="auto"/>
      <w:u w:val="single"/>
    </w:rPr>
  </w:style>
  <w:style w:type="paragraph" w:styleId="Index4">
    <w:name w:val="index 4"/>
    <w:basedOn w:val="Normal"/>
    <w:next w:val="Normal"/>
    <w:autoRedefine/>
    <w:semiHidden/>
    <w:rsid w:val="0007668D"/>
    <w:pPr>
      <w:ind w:left="800" w:hanging="200"/>
    </w:pPr>
  </w:style>
  <w:style w:type="paragraph" w:styleId="Index5">
    <w:name w:val="index 5"/>
    <w:basedOn w:val="Normal"/>
    <w:next w:val="Normal"/>
    <w:autoRedefine/>
    <w:semiHidden/>
    <w:rsid w:val="0007668D"/>
    <w:pPr>
      <w:ind w:left="1000" w:hanging="200"/>
    </w:pPr>
  </w:style>
  <w:style w:type="paragraph" w:styleId="Index6">
    <w:name w:val="index 6"/>
    <w:basedOn w:val="Normal"/>
    <w:next w:val="Normal"/>
    <w:autoRedefine/>
    <w:semiHidden/>
    <w:rsid w:val="0007668D"/>
    <w:pPr>
      <w:ind w:left="1200" w:hanging="200"/>
    </w:pPr>
  </w:style>
  <w:style w:type="paragraph" w:styleId="Index7">
    <w:name w:val="index 7"/>
    <w:basedOn w:val="Normal"/>
    <w:next w:val="Normal"/>
    <w:autoRedefine/>
    <w:semiHidden/>
    <w:rsid w:val="0007668D"/>
    <w:pPr>
      <w:ind w:left="1400" w:hanging="200"/>
    </w:pPr>
  </w:style>
  <w:style w:type="paragraph" w:styleId="Index8">
    <w:name w:val="index 8"/>
    <w:basedOn w:val="Normal"/>
    <w:next w:val="Normal"/>
    <w:autoRedefine/>
    <w:semiHidden/>
    <w:rsid w:val="0007668D"/>
    <w:pPr>
      <w:ind w:left="1600" w:hanging="200"/>
    </w:pPr>
  </w:style>
  <w:style w:type="paragraph" w:styleId="Index9">
    <w:name w:val="index 9"/>
    <w:basedOn w:val="Normal"/>
    <w:next w:val="Normal"/>
    <w:autoRedefine/>
    <w:semiHidden/>
    <w:rsid w:val="0007668D"/>
    <w:pPr>
      <w:ind w:left="1800" w:hanging="200"/>
    </w:pPr>
  </w:style>
  <w:style w:type="paragraph" w:styleId="MacroText">
    <w:name w:val="macro"/>
    <w:link w:val="MacroTextChar"/>
    <w:unhideWhenUsed/>
    <w:rsid w:val="0007668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7668D"/>
    <w:rPr>
      <w:rFonts w:ascii="Courier New" w:eastAsia="Times New Roman" w:hAnsi="Courier New" w:cs="Courier New"/>
      <w:sz w:val="20"/>
      <w:szCs w:val="20"/>
      <w:lang w:eastAsia="en-AU"/>
    </w:rPr>
  </w:style>
  <w:style w:type="paragraph" w:styleId="NormalIndent">
    <w:name w:val="Normal Indent"/>
    <w:basedOn w:val="Normal"/>
    <w:rsid w:val="0007668D"/>
    <w:pPr>
      <w:ind w:left="567"/>
    </w:pPr>
  </w:style>
  <w:style w:type="paragraph" w:customStyle="1" w:styleId="NoteTableHeading">
    <w:name w:val="Note Table Heading"/>
    <w:basedOn w:val="HeadingBase"/>
    <w:next w:val="Normal"/>
    <w:rsid w:val="0007668D"/>
    <w:pPr>
      <w:spacing w:before="240"/>
    </w:pPr>
    <w:rPr>
      <w:b/>
      <w:sz w:val="20"/>
    </w:rPr>
  </w:style>
  <w:style w:type="paragraph" w:customStyle="1" w:styleId="OverviewParagraph">
    <w:name w:val="Overview Paragraph"/>
    <w:basedOn w:val="Normal"/>
    <w:rsid w:val="0007668D"/>
    <w:pPr>
      <w:spacing w:before="120" w:after="120" w:line="240" w:lineRule="auto"/>
    </w:pPr>
  </w:style>
  <w:style w:type="paragraph" w:customStyle="1" w:styleId="SingleParagraph">
    <w:name w:val="Single Paragraph"/>
    <w:basedOn w:val="Normal"/>
    <w:rsid w:val="0007668D"/>
    <w:pPr>
      <w:spacing w:before="0" w:after="0"/>
    </w:pPr>
  </w:style>
  <w:style w:type="paragraph" w:customStyle="1" w:styleId="Source">
    <w:name w:val="Source"/>
    <w:basedOn w:val="Normal"/>
    <w:rsid w:val="0007668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7668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7668D"/>
    <w:pPr>
      <w:jc w:val="center"/>
    </w:pPr>
  </w:style>
  <w:style w:type="paragraph" w:customStyle="1" w:styleId="TableColumnHeadingLeft">
    <w:name w:val="Table Column Heading Left"/>
    <w:basedOn w:val="TableColumnHeadingBase"/>
    <w:next w:val="Normal"/>
    <w:rsid w:val="0007668D"/>
  </w:style>
  <w:style w:type="paragraph" w:customStyle="1" w:styleId="TableColumnHeadingRight">
    <w:name w:val="Table Column Heading Right"/>
    <w:basedOn w:val="TableColumnHeadingBase"/>
    <w:next w:val="Normal"/>
    <w:rsid w:val="0007668D"/>
    <w:pPr>
      <w:jc w:val="right"/>
    </w:pPr>
  </w:style>
  <w:style w:type="paragraph" w:customStyle="1" w:styleId="TableGraphic">
    <w:name w:val="Table Graphic"/>
    <w:basedOn w:val="Normal"/>
    <w:next w:val="Normal"/>
    <w:rsid w:val="0007668D"/>
    <w:pPr>
      <w:spacing w:after="0" w:line="240" w:lineRule="auto"/>
      <w:ind w:right="-113"/>
    </w:pPr>
  </w:style>
  <w:style w:type="table" w:styleId="TableGrid">
    <w:name w:val="Table Grid"/>
    <w:basedOn w:val="TableNormal"/>
    <w:rsid w:val="0007668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7668D"/>
    <w:pPr>
      <w:spacing w:before="120" w:after="20"/>
    </w:pPr>
    <w:rPr>
      <w:b/>
      <w:sz w:val="20"/>
    </w:rPr>
  </w:style>
  <w:style w:type="paragraph" w:customStyle="1" w:styleId="TableHeadingcontinued">
    <w:name w:val="Table Heading continued"/>
    <w:basedOn w:val="HeadingBase"/>
    <w:next w:val="TableGraphic"/>
    <w:rsid w:val="0007668D"/>
    <w:pPr>
      <w:spacing w:before="120" w:after="20"/>
    </w:pPr>
    <w:rPr>
      <w:rFonts w:ascii="Arial Bold" w:hAnsi="Arial Bold"/>
      <w:b/>
      <w:sz w:val="20"/>
    </w:rPr>
  </w:style>
  <w:style w:type="paragraph" w:styleId="TableofFigures">
    <w:name w:val="table of figures"/>
    <w:basedOn w:val="Normal"/>
    <w:next w:val="Normal"/>
    <w:rsid w:val="0007668D"/>
  </w:style>
  <w:style w:type="paragraph" w:customStyle="1" w:styleId="TableTextBase">
    <w:name w:val="Table Text Base"/>
    <w:basedOn w:val="Normal"/>
    <w:rsid w:val="0007668D"/>
    <w:pPr>
      <w:spacing w:before="20" w:after="20" w:line="240" w:lineRule="auto"/>
    </w:pPr>
    <w:rPr>
      <w:rFonts w:ascii="Arial" w:hAnsi="Arial"/>
      <w:sz w:val="16"/>
    </w:rPr>
  </w:style>
  <w:style w:type="paragraph" w:customStyle="1" w:styleId="TableTextCentred">
    <w:name w:val="Table Text Centred"/>
    <w:basedOn w:val="TableTextBase"/>
    <w:rsid w:val="0007668D"/>
    <w:pPr>
      <w:jc w:val="center"/>
    </w:pPr>
  </w:style>
  <w:style w:type="paragraph" w:customStyle="1" w:styleId="TableTextIndented">
    <w:name w:val="Table Text Indented"/>
    <w:basedOn w:val="TableTextBase"/>
    <w:rsid w:val="0007668D"/>
    <w:pPr>
      <w:ind w:left="284"/>
    </w:pPr>
  </w:style>
  <w:style w:type="paragraph" w:customStyle="1" w:styleId="TableTextLeft">
    <w:name w:val="Table Text Left"/>
    <w:basedOn w:val="TableTextBase"/>
    <w:rsid w:val="0007668D"/>
  </w:style>
  <w:style w:type="paragraph" w:customStyle="1" w:styleId="TableTextRight">
    <w:name w:val="Table Text Right"/>
    <w:basedOn w:val="TableTextBase"/>
    <w:rsid w:val="0007668D"/>
    <w:pPr>
      <w:jc w:val="right"/>
    </w:pPr>
  </w:style>
  <w:style w:type="paragraph" w:styleId="TOAHeading">
    <w:name w:val="toa heading"/>
    <w:basedOn w:val="Normal"/>
    <w:next w:val="Normal"/>
    <w:rsid w:val="0007668D"/>
    <w:pPr>
      <w:spacing w:before="120"/>
    </w:pPr>
    <w:rPr>
      <w:rFonts w:ascii="Arial" w:hAnsi="Arial" w:cs="Arial"/>
      <w:b/>
      <w:bCs/>
      <w:sz w:val="24"/>
      <w:szCs w:val="24"/>
    </w:rPr>
  </w:style>
  <w:style w:type="paragraph" w:styleId="TOC1">
    <w:name w:val="toc 1"/>
    <w:basedOn w:val="HeaderBase"/>
    <w:next w:val="Normal"/>
    <w:uiPriority w:val="39"/>
    <w:rsid w:val="0007668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07668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07668D"/>
    <w:pPr>
      <w:tabs>
        <w:tab w:val="right" w:leader="dot" w:pos="7700"/>
      </w:tabs>
      <w:spacing w:before="40"/>
      <w:ind w:right="851"/>
    </w:pPr>
    <w:rPr>
      <w:sz w:val="20"/>
    </w:rPr>
  </w:style>
  <w:style w:type="paragraph" w:styleId="TOC4">
    <w:name w:val="toc 4"/>
    <w:basedOn w:val="HeadingBase"/>
    <w:next w:val="Normal"/>
    <w:uiPriority w:val="2"/>
    <w:unhideWhenUsed/>
    <w:rsid w:val="0007668D"/>
    <w:pPr>
      <w:tabs>
        <w:tab w:val="right" w:leader="dot" w:pos="7700"/>
      </w:tabs>
      <w:spacing w:before="40"/>
      <w:ind w:right="851"/>
    </w:pPr>
    <w:rPr>
      <w:sz w:val="20"/>
    </w:rPr>
  </w:style>
  <w:style w:type="paragraph" w:styleId="TOC5">
    <w:name w:val="toc 5"/>
    <w:basedOn w:val="Normal"/>
    <w:next w:val="Normal"/>
    <w:autoRedefine/>
    <w:uiPriority w:val="2"/>
    <w:semiHidden/>
    <w:rsid w:val="0007668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7668D"/>
    <w:pPr>
      <w:tabs>
        <w:tab w:val="left" w:pos="851"/>
      </w:tabs>
      <w:ind w:left="851" w:hanging="851"/>
    </w:pPr>
    <w:rPr>
      <w:color w:val="000000"/>
    </w:rPr>
  </w:style>
  <w:style w:type="paragraph" w:styleId="TOC7">
    <w:name w:val="toc 7"/>
    <w:basedOn w:val="Normal"/>
    <w:next w:val="Normal"/>
    <w:autoRedefine/>
    <w:uiPriority w:val="2"/>
    <w:semiHidden/>
    <w:rsid w:val="0007668D"/>
    <w:pPr>
      <w:ind w:left="1200"/>
    </w:pPr>
  </w:style>
  <w:style w:type="paragraph" w:styleId="TOC8">
    <w:name w:val="toc 8"/>
    <w:basedOn w:val="Normal"/>
    <w:next w:val="Normal"/>
    <w:autoRedefine/>
    <w:uiPriority w:val="2"/>
    <w:semiHidden/>
    <w:rsid w:val="0007668D"/>
    <w:pPr>
      <w:ind w:left="1400"/>
    </w:pPr>
  </w:style>
  <w:style w:type="paragraph" w:styleId="TOC9">
    <w:name w:val="toc 9"/>
    <w:basedOn w:val="Normal"/>
    <w:next w:val="Normal"/>
    <w:autoRedefine/>
    <w:uiPriority w:val="2"/>
    <w:semiHidden/>
    <w:rsid w:val="0007668D"/>
    <w:pPr>
      <w:ind w:left="1600"/>
    </w:pPr>
  </w:style>
  <w:style w:type="paragraph" w:customStyle="1" w:styleId="TPHeading1">
    <w:name w:val="TP Heading 1"/>
    <w:basedOn w:val="HeadingBase"/>
    <w:semiHidden/>
    <w:rsid w:val="0007668D"/>
    <w:pPr>
      <w:spacing w:before="60" w:after="60"/>
      <w:ind w:left="1134"/>
    </w:pPr>
    <w:rPr>
      <w:rFonts w:ascii="Arial Bold" w:hAnsi="Arial Bold"/>
      <w:b/>
      <w:caps/>
      <w:spacing w:val="-10"/>
      <w:sz w:val="28"/>
    </w:rPr>
  </w:style>
  <w:style w:type="paragraph" w:customStyle="1" w:styleId="TPHeading2">
    <w:name w:val="TP Heading 2"/>
    <w:basedOn w:val="HeadingBase"/>
    <w:semiHidden/>
    <w:rsid w:val="0007668D"/>
    <w:pPr>
      <w:ind w:left="1134"/>
    </w:pPr>
    <w:rPr>
      <w:caps/>
      <w:spacing w:val="-10"/>
      <w:sz w:val="28"/>
    </w:rPr>
  </w:style>
  <w:style w:type="paragraph" w:customStyle="1" w:styleId="TPHeading3">
    <w:name w:val="TP Heading 3"/>
    <w:basedOn w:val="HeadingBase"/>
    <w:semiHidden/>
    <w:rsid w:val="0007668D"/>
    <w:pPr>
      <w:ind w:left="1134"/>
    </w:pPr>
    <w:rPr>
      <w:caps/>
      <w:spacing w:val="-10"/>
    </w:rPr>
  </w:style>
  <w:style w:type="paragraph" w:customStyle="1" w:styleId="TPHeading3bold">
    <w:name w:val="TP Heading 3 bold"/>
    <w:basedOn w:val="TPHeading3"/>
    <w:semiHidden/>
    <w:rsid w:val="0007668D"/>
    <w:rPr>
      <w:rFonts w:cs="Arial"/>
      <w:b/>
      <w:sz w:val="22"/>
      <w:szCs w:val="22"/>
    </w:rPr>
  </w:style>
  <w:style w:type="paragraph" w:customStyle="1" w:styleId="TPHEADING3boldspace">
    <w:name w:val="TP HEADING 3 bold space"/>
    <w:basedOn w:val="TPHeading3bold"/>
    <w:semiHidden/>
    <w:rsid w:val="0007668D"/>
    <w:pPr>
      <w:spacing w:after="120"/>
    </w:pPr>
  </w:style>
  <w:style w:type="paragraph" w:customStyle="1" w:styleId="TPHEADING3space">
    <w:name w:val="TP HEADING 3 space"/>
    <w:basedOn w:val="TPHeading3"/>
    <w:semiHidden/>
    <w:rsid w:val="0007668D"/>
    <w:pPr>
      <w:spacing w:before="120" w:after="120"/>
    </w:pPr>
    <w:rPr>
      <w:rFonts w:cs="Arial"/>
      <w:sz w:val="22"/>
      <w:szCs w:val="22"/>
    </w:rPr>
  </w:style>
  <w:style w:type="paragraph" w:customStyle="1" w:styleId="TPHeading4">
    <w:name w:val="TP Heading 4"/>
    <w:basedOn w:val="TPHeading3"/>
    <w:semiHidden/>
    <w:rsid w:val="0007668D"/>
    <w:rPr>
      <w:sz w:val="20"/>
    </w:rPr>
  </w:style>
  <w:style w:type="paragraph" w:customStyle="1" w:styleId="TPHEADING4space">
    <w:name w:val="TP HEADING 4 space"/>
    <w:basedOn w:val="TPHEADING3space"/>
    <w:semiHidden/>
    <w:rsid w:val="0007668D"/>
  </w:style>
  <w:style w:type="paragraph" w:customStyle="1" w:styleId="ChartLine">
    <w:name w:val="Chart Line"/>
    <w:basedOn w:val="Normal"/>
    <w:autoRedefine/>
    <w:qFormat/>
    <w:rsid w:val="0025758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7668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7668D"/>
    <w:rPr>
      <w:sz w:val="16"/>
    </w:rPr>
  </w:style>
  <w:style w:type="paragraph" w:customStyle="1" w:styleId="Box-continuedon">
    <w:name w:val="Box - continued on"/>
    <w:basedOn w:val="Normal"/>
    <w:qFormat/>
    <w:rsid w:val="0007668D"/>
    <w:pPr>
      <w:jc w:val="right"/>
    </w:pPr>
    <w:rPr>
      <w:rFonts w:asciiTheme="majorHAnsi" w:hAnsiTheme="majorHAnsi" w:cstheme="majorHAnsi"/>
      <w:i/>
      <w:iCs/>
      <w:sz w:val="18"/>
      <w:szCs w:val="24"/>
    </w:rPr>
  </w:style>
  <w:style w:type="paragraph" w:customStyle="1" w:styleId="BoxHeading2">
    <w:name w:val="Box Heading 2"/>
    <w:basedOn w:val="BoxHeading"/>
    <w:autoRedefine/>
    <w:rsid w:val="0007668D"/>
    <w:pPr>
      <w:spacing w:after="0"/>
    </w:pPr>
    <w:rPr>
      <w:b w:val="0"/>
      <w:bCs/>
      <w:szCs w:val="14"/>
    </w:rPr>
  </w:style>
  <w:style w:type="character" w:customStyle="1" w:styleId="Heading9Char">
    <w:name w:val="Heading 9 Char"/>
    <w:basedOn w:val="DefaultParagraphFont"/>
    <w:link w:val="Heading9"/>
    <w:uiPriority w:val="9"/>
    <w:rsid w:val="0007668D"/>
    <w:rPr>
      <w:rFonts w:ascii="Cambria" w:eastAsia="Times New Roman" w:hAnsi="Cambria" w:cs="Times New Roman"/>
      <w:lang w:eastAsia="en-AU"/>
    </w:rPr>
  </w:style>
  <w:style w:type="paragraph" w:customStyle="1" w:styleId="GhostLine">
    <w:name w:val="Ghost Line"/>
    <w:basedOn w:val="NoSpacing"/>
    <w:qFormat/>
    <w:rsid w:val="0007668D"/>
    <w:pPr>
      <w:jc w:val="both"/>
    </w:pPr>
    <w:rPr>
      <w:rFonts w:ascii="Book Antiqua" w:hAnsi="Book Antiqua"/>
      <w:sz w:val="2"/>
    </w:rPr>
  </w:style>
  <w:style w:type="paragraph" w:styleId="NoSpacing">
    <w:name w:val="No Spacing"/>
    <w:uiPriority w:val="1"/>
    <w:qFormat/>
    <w:rsid w:val="0007668D"/>
    <w:pPr>
      <w:spacing w:after="0" w:line="240" w:lineRule="auto"/>
    </w:pPr>
    <w:rPr>
      <w:rFonts w:eastAsia="Times New Roman" w:cs="Times New Roman"/>
      <w:sz w:val="19"/>
      <w:szCs w:val="20"/>
      <w:lang w:eastAsia="en-AU"/>
    </w:rPr>
  </w:style>
  <w:style w:type="character" w:customStyle="1" w:styleId="BulletChar">
    <w:name w:val="Bullet Char"/>
    <w:aliases w:val="Body Char,Bullet + line Char,Number Char,Recommendation Char,b + line Char,b + line Char Char,b Char,b Char Char,b1 Char,level 1 Char,Bullets Char,L Char,List Paragraph Char,List Paragraph1 Char,List Paragraph11 Char,List Paragraph2 Char"/>
    <w:basedOn w:val="DefaultParagraphFont"/>
    <w:link w:val="Bullet"/>
    <w:qFormat/>
    <w:rsid w:val="00625AA4"/>
    <w:rPr>
      <w:rFonts w:ascii="Book Antiqua" w:eastAsia="Times New Roman" w:hAnsi="Book Antiqua" w:cs="Times New Roman"/>
      <w:sz w:val="19"/>
      <w:szCs w:val="20"/>
      <w:lang w:eastAsia="en-AU"/>
    </w:rPr>
  </w:style>
  <w:style w:type="character" w:customStyle="1" w:styleId="BoxTextChar">
    <w:name w:val="Box Text Char"/>
    <w:basedOn w:val="DefaultParagraphFont"/>
    <w:link w:val="BoxText"/>
    <w:rsid w:val="0007668D"/>
    <w:rPr>
      <w:rFonts w:ascii="Book Antiqua" w:eastAsia="Times New Roman" w:hAnsi="Book Antiqua" w:cs="Times New Roman"/>
      <w:sz w:val="19"/>
      <w:szCs w:val="20"/>
      <w:lang w:eastAsia="en-AU"/>
    </w:rPr>
  </w:style>
  <w:style w:type="paragraph" w:styleId="ListNumber">
    <w:name w:val="List Number"/>
    <w:basedOn w:val="Normal"/>
    <w:uiPriority w:val="99"/>
    <w:semiHidden/>
    <w:unhideWhenUsed/>
    <w:rsid w:val="00625AA4"/>
    <w:pPr>
      <w:tabs>
        <w:tab w:val="num" w:pos="360"/>
      </w:tabs>
      <w:ind w:left="360" w:hanging="360"/>
      <w:contextualSpacing/>
    </w:pPr>
    <w:rPr>
      <w:rFonts w:asciiTheme="minorHAnsi" w:hAnsiTheme="minorHAnsi"/>
    </w:rPr>
  </w:style>
  <w:style w:type="paragraph" w:customStyle="1" w:styleId="ChartHeading">
    <w:name w:val="Chart Heading"/>
    <w:basedOn w:val="HeadingBase"/>
    <w:next w:val="ChartGraphic"/>
    <w:qFormat/>
    <w:rsid w:val="00625AA4"/>
    <w:pPr>
      <w:spacing w:before="120" w:after="20"/>
    </w:pPr>
    <w:rPr>
      <w:b/>
      <w:sz w:val="20"/>
    </w:rPr>
  </w:style>
  <w:style w:type="paragraph" w:customStyle="1" w:styleId="BoxSubHeading">
    <w:name w:val="Box Sub Heading"/>
    <w:basedOn w:val="Heading6"/>
    <w:rsid w:val="00625AA4"/>
    <w:pPr>
      <w:spacing w:before="120" w:after="40"/>
    </w:pPr>
  </w:style>
  <w:style w:type="character" w:customStyle="1" w:styleId="DashChar">
    <w:name w:val="Dash Char"/>
    <w:basedOn w:val="DefaultParagraphFont"/>
    <w:link w:val="Dash"/>
    <w:rsid w:val="00625AA4"/>
    <w:rPr>
      <w:rFonts w:ascii="Book Antiqua" w:eastAsia="Times New Roman" w:hAnsi="Book Antiqua" w:cs="Times New Roman"/>
      <w:sz w:val="19"/>
      <w:szCs w:val="20"/>
      <w:lang w:eastAsia="en-AU"/>
    </w:rPr>
  </w:style>
  <w:style w:type="paragraph" w:styleId="Revision">
    <w:name w:val="Revision"/>
    <w:hidden/>
    <w:uiPriority w:val="99"/>
    <w:semiHidden/>
    <w:rsid w:val="00625AA4"/>
    <w:pPr>
      <w:spacing w:after="0" w:line="240" w:lineRule="auto"/>
    </w:pPr>
    <w:rPr>
      <w:rFonts w:ascii="Book Antiqua" w:eastAsia="Times New Roman" w:hAnsi="Book Antiqua" w:cs="Times New Roman"/>
      <w:sz w:val="19"/>
      <w:szCs w:val="20"/>
      <w:lang w:eastAsia="en-AU"/>
    </w:rPr>
  </w:style>
  <w:style w:type="paragraph" w:customStyle="1" w:styleId="ChartorTableNote">
    <w:name w:val="Chart or Table Note"/>
    <w:basedOn w:val="Normal"/>
    <w:rsid w:val="00625AA4"/>
    <w:pPr>
      <w:spacing w:before="0" w:after="60" w:line="240" w:lineRule="auto"/>
    </w:pPr>
    <w:rPr>
      <w:rFonts w:asciiTheme="minorHAnsi" w:hAnsiTheme="minorHAnsi"/>
      <w:color w:val="000000"/>
      <w:sz w:val="17"/>
      <w:szCs w:val="17"/>
    </w:rPr>
  </w:style>
  <w:style w:type="paragraph" w:customStyle="1" w:styleId="ChartMainHeading-Lvl11">
    <w:name w:val="Chart Main Heading - Lvl 1.1"/>
    <w:next w:val="ChartGraphic"/>
    <w:qFormat/>
    <w:rsid w:val="00625AA4"/>
    <w:pPr>
      <w:keepNext/>
      <w:keepLines/>
      <w:tabs>
        <w:tab w:val="left" w:pos="1134"/>
      </w:tabs>
      <w:spacing w:before="240" w:after="120" w:line="240" w:lineRule="auto"/>
      <w:ind w:left="3544"/>
    </w:pPr>
    <w:rPr>
      <w:rFonts w:ascii="Calibri" w:eastAsia="Times New Roman" w:hAnsi="Calibri" w:cs="Times New Roman"/>
      <w:b/>
      <w:color w:val="0364C3" w:themeColor="accent1"/>
      <w:sz w:val="24"/>
      <w:szCs w:val="20"/>
      <w:lang w:eastAsia="en-AU"/>
    </w:rPr>
  </w:style>
  <w:style w:type="paragraph" w:customStyle="1" w:styleId="TableMainHeading-Lvl11">
    <w:name w:val="Table Main Heading - Lvl 1.1"/>
    <w:basedOn w:val="Normal"/>
    <w:next w:val="Normal"/>
    <w:qFormat/>
    <w:rsid w:val="00625AA4"/>
    <w:pPr>
      <w:keepNext/>
      <w:tabs>
        <w:tab w:val="left" w:pos="1134"/>
      </w:tabs>
      <w:spacing w:after="120" w:line="240" w:lineRule="auto"/>
      <w:outlineLvl w:val="2"/>
    </w:pPr>
    <w:rPr>
      <w:rFonts w:ascii="Calibri" w:hAnsi="Calibri" w:cs="Arial"/>
      <w:b/>
      <w:color w:val="0364C3" w:themeColor="accent1"/>
      <w:kern w:val="32"/>
      <w:sz w:val="24"/>
      <w:szCs w:val="26"/>
    </w:rPr>
  </w:style>
  <w:style w:type="paragraph" w:customStyle="1" w:styleId="BoxHeading-Lvl11">
    <w:name w:val="Box Heading - Lvl 1.1"/>
    <w:basedOn w:val="Normal"/>
    <w:qFormat/>
    <w:rsid w:val="00625AA4"/>
    <w:pPr>
      <w:keepNext/>
      <w:tabs>
        <w:tab w:val="left" w:pos="1134"/>
      </w:tabs>
      <w:spacing w:line="240" w:lineRule="auto"/>
    </w:pPr>
    <w:rPr>
      <w:rFonts w:ascii="Calibri" w:hAnsi="Calibri" w:cs="Arial"/>
      <w:b/>
      <w:kern w:val="32"/>
      <w:sz w:val="28"/>
      <w:szCs w:val="26"/>
    </w:rPr>
  </w:style>
  <w:style w:type="paragraph" w:customStyle="1" w:styleId="FigureMainHeading-Lvl11">
    <w:name w:val="Figure Main Heading - Lvl 1.1"/>
    <w:next w:val="ChartGraphic"/>
    <w:qFormat/>
    <w:rsid w:val="00625AA4"/>
    <w:pPr>
      <w:keepNext/>
      <w:tabs>
        <w:tab w:val="left" w:pos="1134"/>
      </w:tabs>
      <w:spacing w:before="240" w:after="120" w:line="240" w:lineRule="auto"/>
    </w:pPr>
    <w:rPr>
      <w:rFonts w:ascii="Calibri" w:eastAsia="Times New Roman" w:hAnsi="Calibri" w:cs="Times New Roman"/>
      <w:b/>
      <w:color w:val="0364C3" w:themeColor="accent1"/>
      <w:sz w:val="24"/>
      <w:szCs w:val="20"/>
      <w:lang w:eastAsia="en-AU"/>
    </w:rPr>
  </w:style>
  <w:style w:type="paragraph" w:customStyle="1" w:styleId="BoxHeading-Lvl111">
    <w:name w:val="Box Heading - Lvl 1.1.1"/>
    <w:basedOn w:val="BoxHeading-Lvl11"/>
    <w:next w:val="BoxText"/>
    <w:qFormat/>
    <w:rsid w:val="00625AA4"/>
  </w:style>
  <w:style w:type="paragraph" w:customStyle="1" w:styleId="ChartMainHeading-Lvl111">
    <w:name w:val="Chart Main Heading - Lvl 1.1.1"/>
    <w:basedOn w:val="ChartMainHeading-Lvl11"/>
    <w:next w:val="ChartGraphic"/>
    <w:qFormat/>
    <w:rsid w:val="00625AA4"/>
    <w:pPr>
      <w:ind w:left="0"/>
    </w:pPr>
  </w:style>
  <w:style w:type="paragraph" w:customStyle="1" w:styleId="TableMainHeading-Lvl111">
    <w:name w:val="Table Main Heading - Lvl 1.1.1"/>
    <w:basedOn w:val="TableMainHeading-Lvl11"/>
    <w:next w:val="Normal"/>
    <w:qFormat/>
    <w:rsid w:val="00625AA4"/>
  </w:style>
  <w:style w:type="paragraph" w:styleId="ListParagraph">
    <w:name w:val="List Paragraph"/>
    <w:basedOn w:val="Normal"/>
    <w:uiPriority w:val="34"/>
    <w:qFormat/>
    <w:rsid w:val="00625AA4"/>
    <w:pPr>
      <w:ind w:left="720"/>
      <w:contextualSpacing/>
    </w:pPr>
  </w:style>
  <w:style w:type="paragraph" w:styleId="NormalWeb">
    <w:name w:val="Normal (Web)"/>
    <w:basedOn w:val="Normal"/>
    <w:uiPriority w:val="99"/>
    <w:unhideWhenUsed/>
    <w:rsid w:val="00625AA4"/>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625AA4"/>
    <w:rPr>
      <w:color w:val="E61E26" w:themeColor="followedHyperlink"/>
      <w:u w:val="single"/>
    </w:rPr>
  </w:style>
  <w:style w:type="paragraph" w:customStyle="1" w:styleId="Default">
    <w:name w:val="Default"/>
    <w:rsid w:val="00625AA4"/>
    <w:pPr>
      <w:autoSpaceDE w:val="0"/>
      <w:autoSpaceDN w:val="0"/>
      <w:adjustRightInd w:val="0"/>
      <w:spacing w:after="0" w:line="240" w:lineRule="auto"/>
    </w:pPr>
    <w:rPr>
      <w:rFonts w:ascii="Calibri" w:hAnsi="Calibri" w:cs="Calibri"/>
      <w:color w:val="000000"/>
      <w:sz w:val="24"/>
      <w:szCs w:val="24"/>
    </w:rPr>
  </w:style>
  <w:style w:type="paragraph" w:customStyle="1" w:styleId="StatementWhite">
    <w:name w:val="Statement White"/>
    <w:basedOn w:val="Normal"/>
    <w:autoRedefine/>
    <w:qFormat/>
    <w:rsid w:val="00625AA4"/>
    <w:pPr>
      <w:textboxTightWrap w:val="firstAndLastLine"/>
    </w:pPr>
    <w:rPr>
      <w:rFonts w:asciiTheme="minorHAnsi" w:hAnsiTheme="minorHAnsi" w:cstheme="minorHAnsi"/>
      <w:color w:val="FFFFFF" w:themeColor="background1"/>
      <w:kern w:val="18"/>
      <w:sz w:val="18"/>
    </w:rPr>
  </w:style>
  <w:style w:type="character" w:customStyle="1" w:styleId="ChartGraphicChar">
    <w:name w:val="Chart Graphic Char"/>
    <w:basedOn w:val="DefaultParagraphFont"/>
    <w:link w:val="ChartGraphic"/>
    <w:locked/>
    <w:rsid w:val="006B11B6"/>
    <w:rPr>
      <w:rFonts w:ascii="Arial" w:eastAsia="Times New Roman" w:hAnsi="Arial" w:cs="Times New Roman"/>
      <w:sz w:val="20"/>
      <w:szCs w:val="20"/>
      <w:lang w:eastAsia="en-AU"/>
    </w:rPr>
  </w:style>
  <w:style w:type="character" w:styleId="Mention">
    <w:name w:val="Mention"/>
    <w:basedOn w:val="DefaultParagraphFont"/>
    <w:uiPriority w:val="99"/>
    <w:unhideWhenUsed/>
    <w:rsid w:val="00C50D87"/>
    <w:rPr>
      <w:color w:val="2B579A"/>
      <w:shd w:val="clear" w:color="auto" w:fill="E1DFDD"/>
    </w:rPr>
  </w:style>
  <w:style w:type="character" w:styleId="UnresolvedMention">
    <w:name w:val="Unresolved Mention"/>
    <w:basedOn w:val="DefaultParagraphFont"/>
    <w:uiPriority w:val="99"/>
    <w:semiHidden/>
    <w:unhideWhenUsed/>
    <w:rsid w:val="00917EC5"/>
    <w:rPr>
      <w:color w:val="605E5C"/>
      <w:shd w:val="clear" w:color="auto" w:fill="E1DFDD"/>
    </w:rPr>
  </w:style>
  <w:style w:type="paragraph" w:customStyle="1" w:styleId="OutlineNumbered1">
    <w:name w:val="Outline Numbered 1"/>
    <w:basedOn w:val="Normal"/>
    <w:rsid w:val="001A3EC6"/>
    <w:pPr>
      <w:numPr>
        <w:numId w:val="5"/>
      </w:numPr>
      <w:spacing w:before="120" w:after="120" w:line="240" w:lineRule="auto"/>
    </w:pPr>
    <w:rPr>
      <w:rFonts w:ascii="Calibri Light" w:hAnsi="Calibri Light"/>
      <w:sz w:val="20"/>
    </w:rPr>
  </w:style>
  <w:style w:type="paragraph" w:customStyle="1" w:styleId="OutlineNumbered2">
    <w:name w:val="Outline Numbered 2"/>
    <w:basedOn w:val="Normal"/>
    <w:rsid w:val="006B3DC0"/>
    <w:pPr>
      <w:numPr>
        <w:ilvl w:val="1"/>
        <w:numId w:val="5"/>
      </w:numPr>
      <w:spacing w:before="120" w:after="120" w:line="240" w:lineRule="auto"/>
    </w:pPr>
    <w:rPr>
      <w:rFonts w:ascii="Calibri Light" w:hAnsi="Calibri Light"/>
      <w:sz w:val="20"/>
    </w:rPr>
  </w:style>
  <w:style w:type="paragraph" w:customStyle="1" w:styleId="OutlineNumbered3">
    <w:name w:val="Outline Numbered 3"/>
    <w:basedOn w:val="Normal"/>
    <w:rsid w:val="006B3DC0"/>
    <w:pPr>
      <w:numPr>
        <w:ilvl w:val="2"/>
        <w:numId w:val="5"/>
      </w:numPr>
      <w:spacing w:before="120" w:after="120" w:line="240" w:lineRule="auto"/>
    </w:pPr>
    <w:rPr>
      <w:rFonts w:ascii="Calibri Light" w:hAnsi="Calibri Light"/>
      <w:sz w:val="20"/>
    </w:rPr>
  </w:style>
  <w:style w:type="character" w:customStyle="1" w:styleId="normaltextrun">
    <w:name w:val="normaltextrun"/>
    <w:basedOn w:val="DefaultParagraphFont"/>
    <w:rsid w:val="006B3DC0"/>
  </w:style>
  <w:style w:type="character" w:customStyle="1" w:styleId="ui-provider">
    <w:name w:val="ui-provider"/>
    <w:basedOn w:val="DefaultParagraphFont"/>
    <w:rsid w:val="006C1CEA"/>
  </w:style>
  <w:style w:type="table" w:styleId="GridTable3-Accent1">
    <w:name w:val="Grid Table 3 Accent 1"/>
    <w:basedOn w:val="TableNormal"/>
    <w:uiPriority w:val="48"/>
    <w:rsid w:val="006467B6"/>
    <w:pPr>
      <w:spacing w:after="0" w:line="240" w:lineRule="auto"/>
    </w:pPr>
    <w:rPr>
      <w:kern w:val="2"/>
      <w14:ligatures w14:val="standardContextual"/>
    </w:rPr>
    <w:tblPr>
      <w:tblStyleRowBandSize w:val="1"/>
      <w:tblStyleColBandSize w:val="1"/>
      <w:tblBorders>
        <w:top w:val="single" w:sz="4" w:space="0" w:color="46A1FC" w:themeColor="accent1" w:themeTint="99"/>
        <w:left w:val="single" w:sz="4" w:space="0" w:color="46A1FC" w:themeColor="accent1" w:themeTint="99"/>
        <w:bottom w:val="single" w:sz="4" w:space="0" w:color="46A1FC" w:themeColor="accent1" w:themeTint="99"/>
        <w:right w:val="single" w:sz="4" w:space="0" w:color="46A1FC" w:themeColor="accent1" w:themeTint="99"/>
        <w:insideH w:val="single" w:sz="4" w:space="0" w:color="46A1FC" w:themeColor="accent1" w:themeTint="99"/>
        <w:insideV w:val="single" w:sz="4" w:space="0" w:color="46A1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FFE" w:themeFill="accent1" w:themeFillTint="33"/>
      </w:tcPr>
    </w:tblStylePr>
    <w:tblStylePr w:type="band1Horz">
      <w:tblPr/>
      <w:tcPr>
        <w:shd w:val="clear" w:color="auto" w:fill="C1DFFE" w:themeFill="accent1" w:themeFillTint="33"/>
      </w:tcPr>
    </w:tblStylePr>
    <w:tblStylePr w:type="neCell">
      <w:tblPr/>
      <w:tcPr>
        <w:tcBorders>
          <w:bottom w:val="single" w:sz="4" w:space="0" w:color="46A1FC" w:themeColor="accent1" w:themeTint="99"/>
        </w:tcBorders>
      </w:tcPr>
    </w:tblStylePr>
    <w:tblStylePr w:type="nwCell">
      <w:tblPr/>
      <w:tcPr>
        <w:tcBorders>
          <w:bottom w:val="single" w:sz="4" w:space="0" w:color="46A1FC" w:themeColor="accent1" w:themeTint="99"/>
        </w:tcBorders>
      </w:tcPr>
    </w:tblStylePr>
    <w:tblStylePr w:type="seCell">
      <w:tblPr/>
      <w:tcPr>
        <w:tcBorders>
          <w:top w:val="single" w:sz="4" w:space="0" w:color="46A1FC" w:themeColor="accent1" w:themeTint="99"/>
        </w:tcBorders>
      </w:tcPr>
    </w:tblStylePr>
    <w:tblStylePr w:type="swCell">
      <w:tblPr/>
      <w:tcPr>
        <w:tcBorders>
          <w:top w:val="single" w:sz="4" w:space="0" w:color="46A1FC" w:themeColor="accent1" w:themeTint="99"/>
        </w:tcBorders>
      </w:tcPr>
    </w:tblStylePr>
  </w:style>
  <w:style w:type="character" w:customStyle="1" w:styleId="apple-converted-space">
    <w:name w:val="apple-converted-space"/>
    <w:basedOn w:val="DefaultParagraphFont"/>
    <w:rsid w:val="007C3AF5"/>
  </w:style>
  <w:style w:type="character" w:customStyle="1" w:styleId="s4">
    <w:name w:val="s4"/>
    <w:basedOn w:val="DefaultParagraphFont"/>
    <w:rsid w:val="007C3AF5"/>
  </w:style>
  <w:style w:type="character" w:customStyle="1" w:styleId="s6">
    <w:name w:val="s6"/>
    <w:basedOn w:val="DefaultParagraphFont"/>
    <w:rsid w:val="007C3AF5"/>
  </w:style>
  <w:style w:type="character" w:customStyle="1" w:styleId="s9">
    <w:name w:val="s9"/>
    <w:basedOn w:val="DefaultParagraphFont"/>
    <w:rsid w:val="007C3AF5"/>
  </w:style>
  <w:style w:type="character" w:customStyle="1" w:styleId="s7">
    <w:name w:val="s7"/>
    <w:basedOn w:val="DefaultParagraphFont"/>
    <w:rsid w:val="007C3AF5"/>
  </w:style>
  <w:style w:type="paragraph" w:customStyle="1" w:styleId="Chartsource">
    <w:name w:val="Chart source"/>
    <w:basedOn w:val="Normal"/>
    <w:qFormat/>
    <w:rsid w:val="00A8602E"/>
    <w:pPr>
      <w:keepNext/>
      <w:spacing w:before="0" w:after="0" w:line="240" w:lineRule="auto"/>
    </w:pPr>
    <w:rPr>
      <w:rFonts w:ascii="Calibri Light" w:hAnsi="Calibri Light"/>
      <w:sz w:val="16"/>
    </w:rPr>
  </w:style>
  <w:style w:type="table" w:styleId="GridTable5Dark-Accent1">
    <w:name w:val="Grid Table 5 Dark Accent 1"/>
    <w:basedOn w:val="TableNormal"/>
    <w:uiPriority w:val="50"/>
    <w:rsid w:val="007469BA"/>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64C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64C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64C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64C3" w:themeFill="accent1"/>
      </w:tcPr>
    </w:tblStylePr>
    <w:tblStylePr w:type="band1Vert">
      <w:tblPr/>
      <w:tcPr>
        <w:shd w:val="clear" w:color="auto" w:fill="83C0FD" w:themeFill="accent1" w:themeFillTint="66"/>
      </w:tcPr>
    </w:tblStylePr>
    <w:tblStylePr w:type="band1Horz">
      <w:tblPr/>
      <w:tcPr>
        <w:shd w:val="clear" w:color="auto" w:fill="83C0FD" w:themeFill="accent1" w:themeFillTint="66"/>
      </w:tcPr>
    </w:tblStylePr>
  </w:style>
  <w:style w:type="table" w:customStyle="1" w:styleId="TableGrid1">
    <w:name w:val="Table Grid1"/>
    <w:basedOn w:val="TableNormal"/>
    <w:next w:val="TableGrid"/>
    <w:uiPriority w:val="39"/>
    <w:rsid w:val="00D863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medHeader">
    <w:name w:val="Framed Header"/>
    <w:basedOn w:val="DefaultParagraphFont"/>
    <w:rsid w:val="0007668D"/>
    <w:rPr>
      <w:rFonts w:ascii="Book Antiqua" w:hAnsi="Book Antiqua"/>
      <w:i/>
      <w:dstrike w:val="0"/>
      <w:color w:val="auto"/>
      <w:sz w:val="20"/>
      <w:vertAlign w:val="baseline"/>
    </w:rPr>
  </w:style>
  <w:style w:type="character" w:customStyle="1" w:styleId="HiddenSequenceCode">
    <w:name w:val="Hidden Sequence Code"/>
    <w:basedOn w:val="DefaultParagraphFont"/>
    <w:rsid w:val="0007668D"/>
    <w:rPr>
      <w:rFonts w:ascii="Times New Roman" w:hAnsi="Times New Roman"/>
      <w:vanish/>
      <w:sz w:val="16"/>
    </w:rPr>
  </w:style>
  <w:style w:type="character" w:styleId="PageNumber">
    <w:name w:val="page number"/>
    <w:basedOn w:val="DefaultParagraphFont"/>
    <w:rsid w:val="0007668D"/>
    <w:rPr>
      <w:rFonts w:ascii="Arial" w:hAnsi="Arial" w:cs="Arial"/>
    </w:rPr>
  </w:style>
  <w:style w:type="paragraph" w:styleId="TOCHeading">
    <w:name w:val="TOC Heading"/>
    <w:basedOn w:val="Heading1"/>
    <w:next w:val="Normal"/>
    <w:uiPriority w:val="39"/>
    <w:unhideWhenUsed/>
    <w:qFormat/>
    <w:rsid w:val="001F5352"/>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57">
      <w:bodyDiv w:val="1"/>
      <w:marLeft w:val="0"/>
      <w:marRight w:val="0"/>
      <w:marTop w:val="0"/>
      <w:marBottom w:val="0"/>
      <w:divBdr>
        <w:top w:val="none" w:sz="0" w:space="0" w:color="auto"/>
        <w:left w:val="none" w:sz="0" w:space="0" w:color="auto"/>
        <w:bottom w:val="none" w:sz="0" w:space="0" w:color="auto"/>
        <w:right w:val="none" w:sz="0" w:space="0" w:color="auto"/>
      </w:divBdr>
    </w:div>
    <w:div w:id="812528969">
      <w:bodyDiv w:val="1"/>
      <w:marLeft w:val="0"/>
      <w:marRight w:val="0"/>
      <w:marTop w:val="0"/>
      <w:marBottom w:val="0"/>
      <w:divBdr>
        <w:top w:val="none" w:sz="0" w:space="0" w:color="auto"/>
        <w:left w:val="none" w:sz="0" w:space="0" w:color="auto"/>
        <w:bottom w:val="none" w:sz="0" w:space="0" w:color="auto"/>
        <w:right w:val="none" w:sz="0" w:space="0" w:color="auto"/>
      </w:divBdr>
    </w:div>
    <w:div w:id="928737980">
      <w:bodyDiv w:val="1"/>
      <w:marLeft w:val="0"/>
      <w:marRight w:val="0"/>
      <w:marTop w:val="0"/>
      <w:marBottom w:val="0"/>
      <w:divBdr>
        <w:top w:val="none" w:sz="0" w:space="0" w:color="auto"/>
        <w:left w:val="none" w:sz="0" w:space="0" w:color="auto"/>
        <w:bottom w:val="none" w:sz="0" w:space="0" w:color="auto"/>
        <w:right w:val="none" w:sz="0" w:space="0" w:color="auto"/>
      </w:divBdr>
    </w:div>
    <w:div w:id="961765021">
      <w:bodyDiv w:val="1"/>
      <w:marLeft w:val="0"/>
      <w:marRight w:val="0"/>
      <w:marTop w:val="0"/>
      <w:marBottom w:val="0"/>
      <w:divBdr>
        <w:top w:val="none" w:sz="0" w:space="0" w:color="auto"/>
        <w:left w:val="none" w:sz="0" w:space="0" w:color="auto"/>
        <w:bottom w:val="none" w:sz="0" w:space="0" w:color="auto"/>
        <w:right w:val="none" w:sz="0" w:space="0" w:color="auto"/>
      </w:divBdr>
    </w:div>
    <w:div w:id="1063526043">
      <w:bodyDiv w:val="1"/>
      <w:marLeft w:val="0"/>
      <w:marRight w:val="0"/>
      <w:marTop w:val="0"/>
      <w:marBottom w:val="0"/>
      <w:divBdr>
        <w:top w:val="none" w:sz="0" w:space="0" w:color="auto"/>
        <w:left w:val="none" w:sz="0" w:space="0" w:color="auto"/>
        <w:bottom w:val="none" w:sz="0" w:space="0" w:color="auto"/>
        <w:right w:val="none" w:sz="0" w:space="0" w:color="auto"/>
      </w:divBdr>
    </w:div>
    <w:div w:id="1118986974">
      <w:bodyDiv w:val="1"/>
      <w:marLeft w:val="0"/>
      <w:marRight w:val="0"/>
      <w:marTop w:val="0"/>
      <w:marBottom w:val="0"/>
      <w:divBdr>
        <w:top w:val="none" w:sz="0" w:space="0" w:color="auto"/>
        <w:left w:val="none" w:sz="0" w:space="0" w:color="auto"/>
        <w:bottom w:val="none" w:sz="0" w:space="0" w:color="auto"/>
        <w:right w:val="none" w:sz="0" w:space="0" w:color="auto"/>
      </w:divBdr>
    </w:div>
    <w:div w:id="1558122419">
      <w:bodyDiv w:val="1"/>
      <w:marLeft w:val="0"/>
      <w:marRight w:val="0"/>
      <w:marTop w:val="0"/>
      <w:marBottom w:val="0"/>
      <w:divBdr>
        <w:top w:val="none" w:sz="0" w:space="0" w:color="auto"/>
        <w:left w:val="none" w:sz="0" w:space="0" w:color="auto"/>
        <w:bottom w:val="none" w:sz="0" w:space="0" w:color="auto"/>
        <w:right w:val="none" w:sz="0" w:space="0" w:color="auto"/>
      </w:divBdr>
    </w:div>
    <w:div w:id="18009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4.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footer" Target="footer6.xml"/><Relationship Id="rId47" Type="http://schemas.openxmlformats.org/officeDocument/2006/relationships/header" Target="header8.xml"/><Relationship Id="rId50" Type="http://schemas.openxmlformats.org/officeDocument/2006/relationships/header" Target="header10.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footer" Target="footer5.xml"/><Relationship Id="rId45" Type="http://schemas.openxmlformats.org/officeDocument/2006/relationships/footer" Target="footer7.xml"/><Relationship Id="rId53" Type="http://schemas.openxmlformats.org/officeDocument/2006/relationships/header" Target="header1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eader" Target="header7.xm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eader" Target="header6.xml"/><Relationship Id="rId48" Type="http://schemas.openxmlformats.org/officeDocument/2006/relationships/footer" Target="footer9.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footer" Target="footer8.xml"/><Relationship Id="rId20" Type="http://schemas.openxmlformats.org/officeDocument/2006/relationships/image" Target="media/image6.emf"/><Relationship Id="rId41" Type="http://schemas.openxmlformats.org/officeDocument/2006/relationships/header" Target="header5.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61.in/wp-content/uploads/2023/11/Productivity-in-motion-the-role-of-job-switching.pdf" TargetMode="External"/><Relationship Id="rId13" Type="http://schemas.openxmlformats.org/officeDocument/2006/relationships/hyperlink" Target="https://grattan.edu.au/report/housing-affordability-re-imagining-the-australian-dream/" TargetMode="External"/><Relationship Id="rId18" Type="http://schemas.openxmlformats.org/officeDocument/2006/relationships/hyperlink" Target="https://grattan.edu.au/report/housing-affordability-re-imagining-the-australian-dream/" TargetMode="External"/><Relationship Id="rId3" Type="http://schemas.openxmlformats.org/officeDocument/2006/relationships/hyperlink" Target="https://grattan.edu.au/report/housing-affordability-re-imagining-the-australian-dream/" TargetMode="External"/><Relationship Id="rId21" Type="http://schemas.openxmlformats.org/officeDocument/2006/relationships/hyperlink" Target="https://masterbuilders.com.au/wp-content/uploads/2024/03/Finding-Australias-missing-tradies-how-to-harness-the-skilled-migrant-workforce.pdf" TargetMode="External"/><Relationship Id="rId7" Type="http://schemas.openxmlformats.org/officeDocument/2006/relationships/hyperlink" Target="https://e61.in/climbing-the-wage-ladder-linking-job-mobility-and-wages/" TargetMode="External"/><Relationship Id="rId12" Type="http://schemas.openxmlformats.org/officeDocument/2006/relationships/hyperlink" Target="https://www.aph.gov.au/Parliamentary_Business/Committees/House/Former_Committees/Tax_and_Revenue/Housingaffordability/Submissions" TargetMode="External"/><Relationship Id="rId17" Type="http://schemas.openxmlformats.org/officeDocument/2006/relationships/hyperlink" Target="https://www.planningportal.nsw.gov.au/eplanningreport" TargetMode="External"/><Relationship Id="rId2" Type="http://schemas.openxmlformats.org/officeDocument/2006/relationships/hyperlink" Target="https://nhsac.gov.au/reports-and-submissions/state-housing-system-2024" TargetMode="External"/><Relationship Id="rId16" Type="http://schemas.openxmlformats.org/officeDocument/2006/relationships/hyperlink" Target="https://www.planning.vic.gov.au/guides-and-resources/council-resources/planning-permit-activity-reporting" TargetMode="External"/><Relationship Id="rId20" Type="http://schemas.openxmlformats.org/officeDocument/2006/relationships/hyperlink" Target="https://www.productivity.nsw.gov.au/sites/default/files/2023-08/202308_NSW-Productivity-Commission_Building-more-homes-where-infrastructure-costs-less_0.pdf" TargetMode="External"/><Relationship Id="rId1" Type="http://schemas.openxmlformats.org/officeDocument/2006/relationships/hyperlink" Target="https://www.aihw.gov.au/reports-data/health-welfare-services/housing-assistance/glossary" TargetMode="External"/><Relationship Id="rId6" Type="http://schemas.openxmlformats.org/officeDocument/2006/relationships/hyperlink" Target="https://www.aihw.gov.au/reports/homelessness-services/specialist-homelessness-services-annual-report/contents/clients-who-experienced-fdv" TargetMode="External"/><Relationship Id="rId11" Type="http://schemas.openxmlformats.org/officeDocument/2006/relationships/hyperlink" Target="https://nhsac.gov.au/reports-and-submissions/state-housing-system-2024" TargetMode="External"/><Relationship Id="rId5" Type="http://schemas.openxmlformats.org/officeDocument/2006/relationships/hyperlink" Target="https://www.ahuri.edu.au/research/research-papers/overcrowding-and-severe-overcrowding-an-analysis-of-literature%2C-data%2C-policies-and-programs" TargetMode="External"/><Relationship Id="rId15" Type="http://schemas.openxmlformats.org/officeDocument/2006/relationships/hyperlink" Target="https://nhsac.gov.au/reports-and-submissions/state-housing-system-2024" TargetMode="External"/><Relationship Id="rId23" Type="http://schemas.openxmlformats.org/officeDocument/2006/relationships/hyperlink" Target="https://udia.com.au/wp-content/uploads/2024/03/UDIA-State-of-the-Land-Report-2024_.pdf" TargetMode="External"/><Relationship Id="rId10" Type="http://schemas.openxmlformats.org/officeDocument/2006/relationships/hyperlink" Target="https://e61.in/climbing-the-wage-ladder-linking-job-mobility-and-wages/" TargetMode="External"/><Relationship Id="rId19" Type="http://schemas.openxmlformats.org/officeDocument/2006/relationships/hyperlink" Target="https://www.rba.gov.au/publications/rdp/2020/pdf/rdp2020-04.pdf" TargetMode="External"/><Relationship Id="rId4" Type="http://schemas.openxmlformats.org/officeDocument/2006/relationships/hyperlink" Target="https://www.ahuri.edu.au/research/final-reports/201" TargetMode="External"/><Relationship Id="rId9" Type="http://schemas.openxmlformats.org/officeDocument/2006/relationships/hyperlink" Target="https://treasury.gov.au/sites/default/files/2019-11/p2019-37418-jobswitching-v2.pdf" TargetMode="External"/><Relationship Id="rId14" Type="http://schemas.openxmlformats.org/officeDocument/2006/relationships/hyperlink" Target="https://www.rba.gov.au/publications/rdp/2019/pdf/rdp2019-01.pdf" TargetMode="External"/><Relationship Id="rId22" Type="http://schemas.openxmlformats.org/officeDocument/2006/relationships/hyperlink" Target="https://hia.com.au/our-industry/newsroom/economic-research-and-forecasting/2024/04/access-to-skilled-labour-a-barrier-to-12-million-new-homes"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B6D360F6-099A-4CA8-ABC1-6857A60B9F3E}">
  <ds:schemaRefs>
    <ds:schemaRef ds:uri="http://schemas.microsoft.com/sharepoint/v3/contenttype/forms"/>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5D5F2226-708E-41CA-BFB2-2469DF6B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1F2EE-1175-44EB-BCBF-55CE17EF5BD9}">
  <ds:schemaRefs>
    <ds:schemaRef ds:uri="http://purl.org/dc/elements/1.1/"/>
    <ds:schemaRef ds:uri="http://schemas.microsoft.com/office/2006/metadata/properties"/>
    <ds:schemaRef ds:uri="9115ddca-c623-419f-a3c0-6a1c58c4dac8"/>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44fe85f-b655-4145-9b20-543b75dc1c24"/>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Budget Template.dotm</Template>
  <TotalTime>95</TotalTime>
  <Pages>42</Pages>
  <Words>11365</Words>
  <Characters>64274</Characters>
  <Application>Microsoft Office Word</Application>
  <DocSecurity>0</DocSecurity>
  <Lines>1450</Lines>
  <Paragraphs>457</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75379</CharactersWithSpaces>
  <SharedDoc>false</SharedDoc>
  <HLinks>
    <vt:vector size="264" baseType="variant">
      <vt:variant>
        <vt:i4>1703986</vt:i4>
      </vt:variant>
      <vt:variant>
        <vt:i4>122</vt:i4>
      </vt:variant>
      <vt:variant>
        <vt:i4>0</vt:i4>
      </vt:variant>
      <vt:variant>
        <vt:i4>5</vt:i4>
      </vt:variant>
      <vt:variant>
        <vt:lpwstr/>
      </vt:variant>
      <vt:variant>
        <vt:lpwstr>_Toc166329711</vt:lpwstr>
      </vt:variant>
      <vt:variant>
        <vt:i4>1703986</vt:i4>
      </vt:variant>
      <vt:variant>
        <vt:i4>116</vt:i4>
      </vt:variant>
      <vt:variant>
        <vt:i4>0</vt:i4>
      </vt:variant>
      <vt:variant>
        <vt:i4>5</vt:i4>
      </vt:variant>
      <vt:variant>
        <vt:lpwstr/>
      </vt:variant>
      <vt:variant>
        <vt:lpwstr>_Toc166329710</vt:lpwstr>
      </vt:variant>
      <vt:variant>
        <vt:i4>1769522</vt:i4>
      </vt:variant>
      <vt:variant>
        <vt:i4>110</vt:i4>
      </vt:variant>
      <vt:variant>
        <vt:i4>0</vt:i4>
      </vt:variant>
      <vt:variant>
        <vt:i4>5</vt:i4>
      </vt:variant>
      <vt:variant>
        <vt:lpwstr/>
      </vt:variant>
      <vt:variant>
        <vt:lpwstr>_Toc166329709</vt:lpwstr>
      </vt:variant>
      <vt:variant>
        <vt:i4>1769522</vt:i4>
      </vt:variant>
      <vt:variant>
        <vt:i4>104</vt:i4>
      </vt:variant>
      <vt:variant>
        <vt:i4>0</vt:i4>
      </vt:variant>
      <vt:variant>
        <vt:i4>5</vt:i4>
      </vt:variant>
      <vt:variant>
        <vt:lpwstr/>
      </vt:variant>
      <vt:variant>
        <vt:lpwstr>_Toc166329708</vt:lpwstr>
      </vt:variant>
      <vt:variant>
        <vt:i4>1769522</vt:i4>
      </vt:variant>
      <vt:variant>
        <vt:i4>98</vt:i4>
      </vt:variant>
      <vt:variant>
        <vt:i4>0</vt:i4>
      </vt:variant>
      <vt:variant>
        <vt:i4>5</vt:i4>
      </vt:variant>
      <vt:variant>
        <vt:lpwstr/>
      </vt:variant>
      <vt:variant>
        <vt:lpwstr>_Toc166329707</vt:lpwstr>
      </vt:variant>
      <vt:variant>
        <vt:i4>1769522</vt:i4>
      </vt:variant>
      <vt:variant>
        <vt:i4>92</vt:i4>
      </vt:variant>
      <vt:variant>
        <vt:i4>0</vt:i4>
      </vt:variant>
      <vt:variant>
        <vt:i4>5</vt:i4>
      </vt:variant>
      <vt:variant>
        <vt:lpwstr/>
      </vt:variant>
      <vt:variant>
        <vt:lpwstr>_Toc166329706</vt:lpwstr>
      </vt:variant>
      <vt:variant>
        <vt:i4>1769522</vt:i4>
      </vt:variant>
      <vt:variant>
        <vt:i4>86</vt:i4>
      </vt:variant>
      <vt:variant>
        <vt:i4>0</vt:i4>
      </vt:variant>
      <vt:variant>
        <vt:i4>5</vt:i4>
      </vt:variant>
      <vt:variant>
        <vt:lpwstr/>
      </vt:variant>
      <vt:variant>
        <vt:lpwstr>_Toc166329705</vt:lpwstr>
      </vt:variant>
      <vt:variant>
        <vt:i4>1769522</vt:i4>
      </vt:variant>
      <vt:variant>
        <vt:i4>80</vt:i4>
      </vt:variant>
      <vt:variant>
        <vt:i4>0</vt:i4>
      </vt:variant>
      <vt:variant>
        <vt:i4>5</vt:i4>
      </vt:variant>
      <vt:variant>
        <vt:lpwstr/>
      </vt:variant>
      <vt:variant>
        <vt:lpwstr>_Toc166329704</vt:lpwstr>
      </vt:variant>
      <vt:variant>
        <vt:i4>1769522</vt:i4>
      </vt:variant>
      <vt:variant>
        <vt:i4>74</vt:i4>
      </vt:variant>
      <vt:variant>
        <vt:i4>0</vt:i4>
      </vt:variant>
      <vt:variant>
        <vt:i4>5</vt:i4>
      </vt:variant>
      <vt:variant>
        <vt:lpwstr/>
      </vt:variant>
      <vt:variant>
        <vt:lpwstr>_Toc166329703</vt:lpwstr>
      </vt:variant>
      <vt:variant>
        <vt:i4>1769522</vt:i4>
      </vt:variant>
      <vt:variant>
        <vt:i4>68</vt:i4>
      </vt:variant>
      <vt:variant>
        <vt:i4>0</vt:i4>
      </vt:variant>
      <vt:variant>
        <vt:i4>5</vt:i4>
      </vt:variant>
      <vt:variant>
        <vt:lpwstr/>
      </vt:variant>
      <vt:variant>
        <vt:lpwstr>_Toc166329702</vt:lpwstr>
      </vt:variant>
      <vt:variant>
        <vt:i4>1769522</vt:i4>
      </vt:variant>
      <vt:variant>
        <vt:i4>62</vt:i4>
      </vt:variant>
      <vt:variant>
        <vt:i4>0</vt:i4>
      </vt:variant>
      <vt:variant>
        <vt:i4>5</vt:i4>
      </vt:variant>
      <vt:variant>
        <vt:lpwstr/>
      </vt:variant>
      <vt:variant>
        <vt:lpwstr>_Toc166329701</vt:lpwstr>
      </vt:variant>
      <vt:variant>
        <vt:i4>1769522</vt:i4>
      </vt:variant>
      <vt:variant>
        <vt:i4>56</vt:i4>
      </vt:variant>
      <vt:variant>
        <vt:i4>0</vt:i4>
      </vt:variant>
      <vt:variant>
        <vt:i4>5</vt:i4>
      </vt:variant>
      <vt:variant>
        <vt:lpwstr/>
      </vt:variant>
      <vt:variant>
        <vt:lpwstr>_Toc166329700</vt:lpwstr>
      </vt:variant>
      <vt:variant>
        <vt:i4>1179699</vt:i4>
      </vt:variant>
      <vt:variant>
        <vt:i4>50</vt:i4>
      </vt:variant>
      <vt:variant>
        <vt:i4>0</vt:i4>
      </vt:variant>
      <vt:variant>
        <vt:i4>5</vt:i4>
      </vt:variant>
      <vt:variant>
        <vt:lpwstr/>
      </vt:variant>
      <vt:variant>
        <vt:lpwstr>_Toc166329699</vt:lpwstr>
      </vt:variant>
      <vt:variant>
        <vt:i4>1179699</vt:i4>
      </vt:variant>
      <vt:variant>
        <vt:i4>44</vt:i4>
      </vt:variant>
      <vt:variant>
        <vt:i4>0</vt:i4>
      </vt:variant>
      <vt:variant>
        <vt:i4>5</vt:i4>
      </vt:variant>
      <vt:variant>
        <vt:lpwstr/>
      </vt:variant>
      <vt:variant>
        <vt:lpwstr>_Toc166329698</vt:lpwstr>
      </vt:variant>
      <vt:variant>
        <vt:i4>1179699</vt:i4>
      </vt:variant>
      <vt:variant>
        <vt:i4>38</vt:i4>
      </vt:variant>
      <vt:variant>
        <vt:i4>0</vt:i4>
      </vt:variant>
      <vt:variant>
        <vt:i4>5</vt:i4>
      </vt:variant>
      <vt:variant>
        <vt:lpwstr/>
      </vt:variant>
      <vt:variant>
        <vt:lpwstr>_Toc166329697</vt:lpwstr>
      </vt:variant>
      <vt:variant>
        <vt:i4>1179699</vt:i4>
      </vt:variant>
      <vt:variant>
        <vt:i4>32</vt:i4>
      </vt:variant>
      <vt:variant>
        <vt:i4>0</vt:i4>
      </vt:variant>
      <vt:variant>
        <vt:i4>5</vt:i4>
      </vt:variant>
      <vt:variant>
        <vt:lpwstr/>
      </vt:variant>
      <vt:variant>
        <vt:lpwstr>_Toc166329696</vt:lpwstr>
      </vt:variant>
      <vt:variant>
        <vt:i4>1179699</vt:i4>
      </vt:variant>
      <vt:variant>
        <vt:i4>26</vt:i4>
      </vt:variant>
      <vt:variant>
        <vt:i4>0</vt:i4>
      </vt:variant>
      <vt:variant>
        <vt:i4>5</vt:i4>
      </vt:variant>
      <vt:variant>
        <vt:lpwstr/>
      </vt:variant>
      <vt:variant>
        <vt:lpwstr>_Toc166329695</vt:lpwstr>
      </vt:variant>
      <vt:variant>
        <vt:i4>1179699</vt:i4>
      </vt:variant>
      <vt:variant>
        <vt:i4>20</vt:i4>
      </vt:variant>
      <vt:variant>
        <vt:i4>0</vt:i4>
      </vt:variant>
      <vt:variant>
        <vt:i4>5</vt:i4>
      </vt:variant>
      <vt:variant>
        <vt:lpwstr/>
      </vt:variant>
      <vt:variant>
        <vt:lpwstr>_Toc166329694</vt:lpwstr>
      </vt:variant>
      <vt:variant>
        <vt:i4>1179699</vt:i4>
      </vt:variant>
      <vt:variant>
        <vt:i4>14</vt:i4>
      </vt:variant>
      <vt:variant>
        <vt:i4>0</vt:i4>
      </vt:variant>
      <vt:variant>
        <vt:i4>5</vt:i4>
      </vt:variant>
      <vt:variant>
        <vt:lpwstr/>
      </vt:variant>
      <vt:variant>
        <vt:lpwstr>_Toc166329693</vt:lpwstr>
      </vt:variant>
      <vt:variant>
        <vt:i4>1179699</vt:i4>
      </vt:variant>
      <vt:variant>
        <vt:i4>8</vt:i4>
      </vt:variant>
      <vt:variant>
        <vt:i4>0</vt:i4>
      </vt:variant>
      <vt:variant>
        <vt:i4>5</vt:i4>
      </vt:variant>
      <vt:variant>
        <vt:lpwstr/>
      </vt:variant>
      <vt:variant>
        <vt:lpwstr>_Toc166329692</vt:lpwstr>
      </vt:variant>
      <vt:variant>
        <vt:i4>1179699</vt:i4>
      </vt:variant>
      <vt:variant>
        <vt:i4>2</vt:i4>
      </vt:variant>
      <vt:variant>
        <vt:i4>0</vt:i4>
      </vt:variant>
      <vt:variant>
        <vt:i4>5</vt:i4>
      </vt:variant>
      <vt:variant>
        <vt:lpwstr/>
      </vt:variant>
      <vt:variant>
        <vt:lpwstr>_Toc166329691</vt:lpwstr>
      </vt:variant>
      <vt:variant>
        <vt:i4>6029418</vt:i4>
      </vt:variant>
      <vt:variant>
        <vt:i4>66</vt:i4>
      </vt:variant>
      <vt:variant>
        <vt:i4>0</vt:i4>
      </vt:variant>
      <vt:variant>
        <vt:i4>5</vt:i4>
      </vt:variant>
      <vt:variant>
        <vt:lpwstr>https://udia.com.au/wp-content/uploads/2024/03/UDIA-State-of-the-Land-Report-2024_.pdf</vt:lpwstr>
      </vt:variant>
      <vt:variant>
        <vt:lpwstr/>
      </vt:variant>
      <vt:variant>
        <vt:i4>6619252</vt:i4>
      </vt:variant>
      <vt:variant>
        <vt:i4>63</vt:i4>
      </vt:variant>
      <vt:variant>
        <vt:i4>0</vt:i4>
      </vt:variant>
      <vt:variant>
        <vt:i4>5</vt:i4>
      </vt:variant>
      <vt:variant>
        <vt:lpwstr>https://hia.com.au/our-industry/newsroom/economic-research-and-forecasting/2024/04/access-to-skilled-labour-a-barrier-to-12-million-new-homes</vt:lpwstr>
      </vt:variant>
      <vt:variant>
        <vt:lpwstr>:~:text=%E2%80%9CThe%20HIA%20Trades%20Availability%20Index,building%20activity%E2%80%9D%20added%20Mr%20Devitt.</vt:lpwstr>
      </vt:variant>
      <vt:variant>
        <vt:i4>6029407</vt:i4>
      </vt:variant>
      <vt:variant>
        <vt:i4>60</vt:i4>
      </vt:variant>
      <vt:variant>
        <vt:i4>0</vt:i4>
      </vt:variant>
      <vt:variant>
        <vt:i4>5</vt:i4>
      </vt:variant>
      <vt:variant>
        <vt:lpwstr>https://masterbuilders.com.au/wp-content/uploads/2024/03/Finding-Australias-missing-tradies-how-to-harness-the-skilled-migrant-workforce.pdf</vt:lpwstr>
      </vt:variant>
      <vt:variant>
        <vt:lpwstr/>
      </vt:variant>
      <vt:variant>
        <vt:i4>5832747</vt:i4>
      </vt:variant>
      <vt:variant>
        <vt:i4>57</vt:i4>
      </vt:variant>
      <vt:variant>
        <vt:i4>0</vt:i4>
      </vt:variant>
      <vt:variant>
        <vt:i4>5</vt:i4>
      </vt:variant>
      <vt:variant>
        <vt:lpwstr>https://www.productivity.nsw.gov.au/sites/default/files/2023-08/202308_NSW-Productivity-Commission_Building-more-homes-where-infrastructure-costs-less_0.pdf</vt:lpwstr>
      </vt:variant>
      <vt:variant>
        <vt:lpwstr/>
      </vt:variant>
      <vt:variant>
        <vt:i4>2556021</vt:i4>
      </vt:variant>
      <vt:variant>
        <vt:i4>54</vt:i4>
      </vt:variant>
      <vt:variant>
        <vt:i4>0</vt:i4>
      </vt:variant>
      <vt:variant>
        <vt:i4>5</vt:i4>
      </vt:variant>
      <vt:variant>
        <vt:lpwstr>https://www.rba.gov.au/publications/rdp/2020/pdf/rdp2020-04.pdf</vt:lpwstr>
      </vt:variant>
      <vt:variant>
        <vt:lpwstr/>
      </vt:variant>
      <vt:variant>
        <vt:i4>3801140</vt:i4>
      </vt:variant>
      <vt:variant>
        <vt:i4>51</vt:i4>
      </vt:variant>
      <vt:variant>
        <vt:i4>0</vt:i4>
      </vt:variant>
      <vt:variant>
        <vt:i4>5</vt:i4>
      </vt:variant>
      <vt:variant>
        <vt:lpwstr>https://grattan.edu.au/report/housing-affordability-re-imagining-the-australian-dream/</vt:lpwstr>
      </vt:variant>
      <vt:variant>
        <vt:lpwstr/>
      </vt:variant>
      <vt:variant>
        <vt:i4>1310742</vt:i4>
      </vt:variant>
      <vt:variant>
        <vt:i4>48</vt:i4>
      </vt:variant>
      <vt:variant>
        <vt:i4>0</vt:i4>
      </vt:variant>
      <vt:variant>
        <vt:i4>5</vt:i4>
      </vt:variant>
      <vt:variant>
        <vt:lpwstr>https://www.planningportal.nsw.gov.au/eplanningreport</vt:lpwstr>
      </vt:variant>
      <vt:variant>
        <vt:lpwstr/>
      </vt:variant>
      <vt:variant>
        <vt:i4>1703941</vt:i4>
      </vt:variant>
      <vt:variant>
        <vt:i4>45</vt:i4>
      </vt:variant>
      <vt:variant>
        <vt:i4>0</vt:i4>
      </vt:variant>
      <vt:variant>
        <vt:i4>5</vt:i4>
      </vt:variant>
      <vt:variant>
        <vt:lpwstr>https://www.planning.vic.gov.au/guides-and-resources/council-resources/planning-permit-activity-reporting</vt:lpwstr>
      </vt:variant>
      <vt:variant>
        <vt:lpwstr/>
      </vt:variant>
      <vt:variant>
        <vt:i4>3866656</vt:i4>
      </vt:variant>
      <vt:variant>
        <vt:i4>42</vt:i4>
      </vt:variant>
      <vt:variant>
        <vt:i4>0</vt:i4>
      </vt:variant>
      <vt:variant>
        <vt:i4>5</vt:i4>
      </vt:variant>
      <vt:variant>
        <vt:lpwstr>https://nhsac.gov.au/reports-and-submissions/state-housing-system-2024</vt:lpwstr>
      </vt:variant>
      <vt:variant>
        <vt:lpwstr/>
      </vt:variant>
      <vt:variant>
        <vt:i4>2556016</vt:i4>
      </vt:variant>
      <vt:variant>
        <vt:i4>39</vt:i4>
      </vt:variant>
      <vt:variant>
        <vt:i4>0</vt:i4>
      </vt:variant>
      <vt:variant>
        <vt:i4>5</vt:i4>
      </vt:variant>
      <vt:variant>
        <vt:lpwstr>https://www.rba.gov.au/publications/rdp/2019/pdf/rdp2019-01.pdf</vt:lpwstr>
      </vt:variant>
      <vt:variant>
        <vt:lpwstr/>
      </vt:variant>
      <vt:variant>
        <vt:i4>3801140</vt:i4>
      </vt:variant>
      <vt:variant>
        <vt:i4>36</vt:i4>
      </vt:variant>
      <vt:variant>
        <vt:i4>0</vt:i4>
      </vt:variant>
      <vt:variant>
        <vt:i4>5</vt:i4>
      </vt:variant>
      <vt:variant>
        <vt:lpwstr>https://grattan.edu.au/report/housing-affordability-re-imagining-the-australian-dream/</vt:lpwstr>
      </vt:variant>
      <vt:variant>
        <vt:lpwstr/>
      </vt:variant>
      <vt:variant>
        <vt:i4>6684705</vt:i4>
      </vt:variant>
      <vt:variant>
        <vt:i4>33</vt:i4>
      </vt:variant>
      <vt:variant>
        <vt:i4>0</vt:i4>
      </vt:variant>
      <vt:variant>
        <vt:i4>5</vt:i4>
      </vt:variant>
      <vt:variant>
        <vt:lpwstr>https://www.aph.gov.au/Parliamentary_Business/Committees/House/Former_Committees/Tax_and_Revenue/Housingaffordability/Submissions</vt:lpwstr>
      </vt:variant>
      <vt:variant>
        <vt:lpwstr/>
      </vt:variant>
      <vt:variant>
        <vt:i4>3866656</vt:i4>
      </vt:variant>
      <vt:variant>
        <vt:i4>30</vt:i4>
      </vt:variant>
      <vt:variant>
        <vt:i4>0</vt:i4>
      </vt:variant>
      <vt:variant>
        <vt:i4>5</vt:i4>
      </vt:variant>
      <vt:variant>
        <vt:lpwstr>https://nhsac.gov.au/reports-and-submissions/state-housing-system-2024</vt:lpwstr>
      </vt:variant>
      <vt:variant>
        <vt:lpwstr/>
      </vt:variant>
      <vt:variant>
        <vt:i4>4063359</vt:i4>
      </vt:variant>
      <vt:variant>
        <vt:i4>27</vt:i4>
      </vt:variant>
      <vt:variant>
        <vt:i4>0</vt:i4>
      </vt:variant>
      <vt:variant>
        <vt:i4>5</vt:i4>
      </vt:variant>
      <vt:variant>
        <vt:lpwstr>https://e61.in/climbing-the-wage-ladder-linking-job-mobility-and-wages/</vt:lpwstr>
      </vt:variant>
      <vt:variant>
        <vt:lpwstr/>
      </vt:variant>
      <vt:variant>
        <vt:i4>2097279</vt:i4>
      </vt:variant>
      <vt:variant>
        <vt:i4>24</vt:i4>
      </vt:variant>
      <vt:variant>
        <vt:i4>0</vt:i4>
      </vt:variant>
      <vt:variant>
        <vt:i4>5</vt:i4>
      </vt:variant>
      <vt:variant>
        <vt:lpwstr>https://treasury.gov.au/sites/default/files/2019-11/p2019-37418-jobswitching-v2.pdf</vt:lpwstr>
      </vt:variant>
      <vt:variant>
        <vt:lpwstr/>
      </vt:variant>
      <vt:variant>
        <vt:i4>2293807</vt:i4>
      </vt:variant>
      <vt:variant>
        <vt:i4>21</vt:i4>
      </vt:variant>
      <vt:variant>
        <vt:i4>0</vt:i4>
      </vt:variant>
      <vt:variant>
        <vt:i4>5</vt:i4>
      </vt:variant>
      <vt:variant>
        <vt:lpwstr>https://e61.in/wp-content/uploads/2023/11/Productivity-in-motion-the-role-of-job-switching.pdf</vt:lpwstr>
      </vt:variant>
      <vt:variant>
        <vt:lpwstr/>
      </vt:variant>
      <vt:variant>
        <vt:i4>4063359</vt:i4>
      </vt:variant>
      <vt:variant>
        <vt:i4>18</vt:i4>
      </vt:variant>
      <vt:variant>
        <vt:i4>0</vt:i4>
      </vt:variant>
      <vt:variant>
        <vt:i4>5</vt:i4>
      </vt:variant>
      <vt:variant>
        <vt:lpwstr>https://e61.in/climbing-the-wage-ladder-linking-job-mobility-and-wages/</vt:lpwstr>
      </vt:variant>
      <vt:variant>
        <vt:lpwstr/>
      </vt:variant>
      <vt:variant>
        <vt:i4>1769564</vt:i4>
      </vt:variant>
      <vt:variant>
        <vt:i4>15</vt:i4>
      </vt:variant>
      <vt:variant>
        <vt:i4>0</vt:i4>
      </vt:variant>
      <vt:variant>
        <vt:i4>5</vt:i4>
      </vt:variant>
      <vt:variant>
        <vt:lpwstr>https://www.aihw.gov.au/reports/homelessness-services/specialist-homelessness-services-annual-report/contents/clients-who-experienced-fdv</vt:lpwstr>
      </vt:variant>
      <vt:variant>
        <vt:lpwstr/>
      </vt:variant>
      <vt:variant>
        <vt:i4>2031695</vt:i4>
      </vt:variant>
      <vt:variant>
        <vt:i4>12</vt:i4>
      </vt:variant>
      <vt:variant>
        <vt:i4>0</vt:i4>
      </vt:variant>
      <vt:variant>
        <vt:i4>5</vt:i4>
      </vt:variant>
      <vt:variant>
        <vt:lpwstr>https://www.ahuri.edu.au/research/research-papers/overcrowding-and-severe-overcrowding-an-analysis-of-literature%2C-data%2C-policies-and-programs</vt:lpwstr>
      </vt:variant>
      <vt:variant>
        <vt:lpwstr/>
      </vt:variant>
      <vt:variant>
        <vt:i4>2818092</vt:i4>
      </vt:variant>
      <vt:variant>
        <vt:i4>9</vt:i4>
      </vt:variant>
      <vt:variant>
        <vt:i4>0</vt:i4>
      </vt:variant>
      <vt:variant>
        <vt:i4>5</vt:i4>
      </vt:variant>
      <vt:variant>
        <vt:lpwstr>https://www.ahuri.edu.au/research/final-reports/201</vt:lpwstr>
      </vt:variant>
      <vt:variant>
        <vt:lpwstr/>
      </vt:variant>
      <vt:variant>
        <vt:i4>3801140</vt:i4>
      </vt:variant>
      <vt:variant>
        <vt:i4>6</vt:i4>
      </vt:variant>
      <vt:variant>
        <vt:i4>0</vt:i4>
      </vt:variant>
      <vt:variant>
        <vt:i4>5</vt:i4>
      </vt:variant>
      <vt:variant>
        <vt:lpwstr>https://grattan.edu.au/report/housing-affordability-re-imagining-the-australian-dream/</vt:lpwstr>
      </vt:variant>
      <vt:variant>
        <vt:lpwstr/>
      </vt:variant>
      <vt:variant>
        <vt:i4>3866656</vt:i4>
      </vt:variant>
      <vt:variant>
        <vt:i4>3</vt:i4>
      </vt:variant>
      <vt:variant>
        <vt:i4>0</vt:i4>
      </vt:variant>
      <vt:variant>
        <vt:i4>5</vt:i4>
      </vt:variant>
      <vt:variant>
        <vt:lpwstr>https://nhsac.gov.au/reports-and-submissions/state-housing-system-2024</vt:lpwstr>
      </vt:variant>
      <vt:variant>
        <vt:lpwstr/>
      </vt:variant>
      <vt:variant>
        <vt:i4>851968</vt:i4>
      </vt:variant>
      <vt:variant>
        <vt:i4>0</vt:i4>
      </vt:variant>
      <vt:variant>
        <vt:i4>0</vt:i4>
      </vt:variant>
      <vt:variant>
        <vt:i4>5</vt:i4>
      </vt:variant>
      <vt:variant>
        <vt:lpwstr>https://www.aihw.gov.au/reports-data/health-welfare-services/housing-assistance/glossary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4: Meeting Australia's Housing Challenge</dc:subject>
  <dc:creator>Australian Government</dc:creator>
  <cp:keywords/>
  <dc:description/>
  <cp:lastModifiedBy>Hill, Christine</cp:lastModifiedBy>
  <cp:revision>106</cp:revision>
  <cp:lastPrinted>2024-05-12T01:11:00Z</cp:lastPrinted>
  <dcterms:created xsi:type="dcterms:W3CDTF">2024-05-11T05:39:00Z</dcterms:created>
  <dcterms:modified xsi:type="dcterms:W3CDTF">2024-05-13T04:29:00Z</dcterms:modified>
</cp:coreProperties>
</file>