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131DA" w14:textId="5186143D" w:rsidR="00356E70" w:rsidRPr="0065710C" w:rsidRDefault="00356E70" w:rsidP="0065710C">
      <w:pPr>
        <w:pStyle w:val="Heading1-Statement"/>
      </w:pPr>
      <w:r w:rsidRPr="0065710C">
        <w:t xml:space="preserve">Statement 5: </w:t>
      </w:r>
      <w:r w:rsidRPr="0065710C">
        <w:br/>
        <w:t>Revenue</w:t>
      </w:r>
    </w:p>
    <w:p w14:paraId="524F6CCA" w14:textId="4F9419AD" w:rsidR="00E6122C" w:rsidRPr="00673C1F" w:rsidRDefault="00AC1D02" w:rsidP="005640E7">
      <w:r w:rsidRPr="00673C1F">
        <w:t>The</w:t>
      </w:r>
      <w:r w:rsidR="003D667F" w:rsidRPr="00673C1F" w:rsidDel="00034016">
        <w:t xml:space="preserve"> </w:t>
      </w:r>
      <w:r w:rsidR="003D667F" w:rsidRPr="00673C1F">
        <w:t xml:space="preserve">upgrades </w:t>
      </w:r>
      <w:r w:rsidRPr="00673C1F">
        <w:t>to receipts</w:t>
      </w:r>
      <w:r w:rsidR="003D667F" w:rsidRPr="00673C1F">
        <w:t xml:space="preserve"> </w:t>
      </w:r>
      <w:r w:rsidR="00FF6A68" w:rsidRPr="00673C1F">
        <w:t>in this Budget</w:t>
      </w:r>
      <w:r w:rsidR="003D667F" w:rsidRPr="00673C1F">
        <w:t xml:space="preserve"> are much smaller than </w:t>
      </w:r>
      <w:r w:rsidR="00C54723" w:rsidRPr="00673C1F">
        <w:t xml:space="preserve">recent </w:t>
      </w:r>
      <w:r w:rsidR="003D667F" w:rsidRPr="00673C1F">
        <w:t>budget</w:t>
      </w:r>
      <w:r w:rsidR="00FE4438" w:rsidRPr="00673C1F">
        <w:t xml:space="preserve"> </w:t>
      </w:r>
      <w:r w:rsidR="003D667F" w:rsidRPr="00673C1F">
        <w:t>upgrades</w:t>
      </w:r>
      <w:r w:rsidR="000B2F31" w:rsidRPr="00673C1F">
        <w:t xml:space="preserve">, at around a fifth of the average of the previous three </w:t>
      </w:r>
      <w:r w:rsidR="00FF6A12" w:rsidRPr="00673C1F">
        <w:t>B</w:t>
      </w:r>
      <w:r w:rsidR="000B2F31" w:rsidRPr="00673C1F">
        <w:t>udgets</w:t>
      </w:r>
      <w:r w:rsidR="003D667F" w:rsidRPr="00673C1F">
        <w:t xml:space="preserve">. </w:t>
      </w:r>
      <w:r w:rsidR="001363BA" w:rsidRPr="00673C1F">
        <w:t>This Budget sees tax receipts excluding</w:t>
      </w:r>
      <w:r w:rsidR="00BF178E" w:rsidRPr="00673C1F">
        <w:t xml:space="preserve"> GST and </w:t>
      </w:r>
      <w:r w:rsidR="0030660E" w:rsidRPr="00673C1F">
        <w:t>policy decisions, increasing</w:t>
      </w:r>
      <w:r w:rsidR="003D667F" w:rsidRPr="00673C1F">
        <w:t xml:space="preserve"> </w:t>
      </w:r>
      <w:r w:rsidR="00936658" w:rsidRPr="00673C1F">
        <w:t>since MYEFO</w:t>
      </w:r>
      <w:r w:rsidR="003D7740" w:rsidRPr="00673C1F">
        <w:t xml:space="preserve"> </w:t>
      </w:r>
      <w:r w:rsidR="001A27CF" w:rsidRPr="00673C1F">
        <w:t>by</w:t>
      </w:r>
      <w:r w:rsidR="00936658" w:rsidRPr="00673C1F">
        <w:t xml:space="preserve"> $</w:t>
      </w:r>
      <w:r w:rsidR="00981FC4" w:rsidRPr="00673C1F">
        <w:t>8</w:t>
      </w:r>
      <w:r w:rsidR="00264E94" w:rsidRPr="00673C1F">
        <w:t>.</w:t>
      </w:r>
      <w:r w:rsidR="00981FC4" w:rsidRPr="00673C1F">
        <w:t>2</w:t>
      </w:r>
      <w:r w:rsidR="00871F27" w:rsidRPr="00673C1F">
        <w:t> </w:t>
      </w:r>
      <w:r w:rsidR="00C73A2F" w:rsidRPr="00673C1F">
        <w:t>billion in 202</w:t>
      </w:r>
      <w:r w:rsidR="00F73A72" w:rsidRPr="00673C1F">
        <w:t>4</w:t>
      </w:r>
      <w:r w:rsidR="00C2419C" w:rsidRPr="00673C1F">
        <w:t>–</w:t>
      </w:r>
      <w:r w:rsidR="00C73A2F" w:rsidRPr="00673C1F">
        <w:t>2</w:t>
      </w:r>
      <w:r w:rsidR="00F73A72" w:rsidRPr="00673C1F">
        <w:t>5</w:t>
      </w:r>
      <w:r w:rsidR="00C73A2F" w:rsidRPr="00673C1F">
        <w:t xml:space="preserve"> and </w:t>
      </w:r>
      <w:r w:rsidR="00936658" w:rsidRPr="00673C1F">
        <w:t>$</w:t>
      </w:r>
      <w:r w:rsidR="00264E94" w:rsidRPr="00673C1F">
        <w:t>2</w:t>
      </w:r>
      <w:r w:rsidR="00420142" w:rsidRPr="00673C1F">
        <w:t>7</w:t>
      </w:r>
      <w:r w:rsidR="00264E94" w:rsidRPr="00673C1F">
        <w:t>.0</w:t>
      </w:r>
      <w:r w:rsidR="007C61D4" w:rsidRPr="00673C1F">
        <w:t xml:space="preserve"> billion over the forward estimates period.</w:t>
      </w:r>
    </w:p>
    <w:p w14:paraId="1666B82A" w14:textId="4EF83C14" w:rsidR="000A5EF4" w:rsidRPr="00673C1F" w:rsidRDefault="0088152C" w:rsidP="005640E7">
      <w:r w:rsidRPr="00673C1F">
        <w:t>Higher employment</w:t>
      </w:r>
      <w:r w:rsidR="00C93155" w:rsidRPr="00673C1F">
        <w:t xml:space="preserve"> and</w:t>
      </w:r>
      <w:r w:rsidR="00EB00D9" w:rsidRPr="00673C1F">
        <w:t xml:space="preserve"> c</w:t>
      </w:r>
      <w:r w:rsidR="00551CB8" w:rsidRPr="00673C1F">
        <w:t xml:space="preserve">ontinuing strength in the labour market </w:t>
      </w:r>
      <w:r w:rsidR="00C3151C" w:rsidRPr="00673C1F">
        <w:t xml:space="preserve">is a </w:t>
      </w:r>
      <w:r w:rsidR="00C33AC3" w:rsidRPr="00673C1F">
        <w:t>key</w:t>
      </w:r>
      <w:r w:rsidR="00C3151C" w:rsidRPr="00673C1F">
        <w:t xml:space="preserve"> driver of</w:t>
      </w:r>
      <w:r w:rsidR="004D68F2" w:rsidRPr="00673C1F">
        <w:t xml:space="preserve"> upgrades, accounting </w:t>
      </w:r>
      <w:r w:rsidR="00920EED" w:rsidRPr="00673C1F">
        <w:t>for $21.6</w:t>
      </w:r>
      <w:r w:rsidR="00871F27" w:rsidRPr="00673C1F">
        <w:t> </w:t>
      </w:r>
      <w:r w:rsidR="00920EED" w:rsidRPr="00673C1F">
        <w:t>billion of the net</w:t>
      </w:r>
      <w:r w:rsidR="003928DE" w:rsidRPr="00673C1F">
        <w:t xml:space="preserve"> $27.0 billion</w:t>
      </w:r>
      <w:r w:rsidR="00C3151C" w:rsidRPr="00673C1F">
        <w:t xml:space="preserve"> upgrade</w:t>
      </w:r>
      <w:r w:rsidR="001F27C2" w:rsidRPr="00673C1F">
        <w:t xml:space="preserve"> to tax receipts </w:t>
      </w:r>
      <w:r w:rsidR="00FE7B80" w:rsidRPr="00673C1F">
        <w:t>since MYEFO</w:t>
      </w:r>
      <w:r w:rsidR="002F3B6C" w:rsidRPr="00673C1F">
        <w:t xml:space="preserve">. </w:t>
      </w:r>
      <w:r w:rsidR="00AE0BDA" w:rsidRPr="00673C1F">
        <w:t xml:space="preserve">Higher corporate profits </w:t>
      </w:r>
      <w:r w:rsidR="00A20052" w:rsidRPr="00673C1F">
        <w:t>make a</w:t>
      </w:r>
      <w:r w:rsidR="008A3740" w:rsidRPr="00673C1F">
        <w:t xml:space="preserve"> broadly</w:t>
      </w:r>
      <w:r w:rsidR="00A20052" w:rsidRPr="00673C1F">
        <w:t xml:space="preserve"> similar contribution to the upgrade to tax receipts</w:t>
      </w:r>
      <w:r w:rsidR="00AE0BDA" w:rsidRPr="00673C1F">
        <w:t>.</w:t>
      </w:r>
      <w:r w:rsidR="005F3D3F" w:rsidRPr="00673C1F">
        <w:t xml:space="preserve"> </w:t>
      </w:r>
      <w:r w:rsidR="006123DB" w:rsidRPr="00673C1F">
        <w:t>These have been par</w:t>
      </w:r>
      <w:r w:rsidR="00D67C0A" w:rsidRPr="00673C1F">
        <w:t xml:space="preserve">tly </w:t>
      </w:r>
      <w:r w:rsidR="004258DB" w:rsidRPr="00673C1F">
        <w:t xml:space="preserve">offset </w:t>
      </w:r>
      <w:r w:rsidR="00C8479F" w:rsidRPr="00673C1F">
        <w:t>by</w:t>
      </w:r>
      <w:r w:rsidR="00E245FD" w:rsidRPr="00673C1F">
        <w:t xml:space="preserve"> a weaker </w:t>
      </w:r>
      <w:r w:rsidR="00C777F4" w:rsidRPr="00673C1F">
        <w:t xml:space="preserve">than expected </w:t>
      </w:r>
      <w:r w:rsidR="00E245FD" w:rsidRPr="00673C1F">
        <w:t>outlook for tobacco excise and superannuation fund earnings.</w:t>
      </w:r>
    </w:p>
    <w:p w14:paraId="77405577" w14:textId="6D52DD07" w:rsidR="0078346F" w:rsidRPr="00673C1F" w:rsidRDefault="00CC0880" w:rsidP="005640E7">
      <w:r w:rsidRPr="00673C1F">
        <w:t xml:space="preserve">The revenue </w:t>
      </w:r>
      <w:r w:rsidR="0078346F" w:rsidRPr="00673C1F">
        <w:t xml:space="preserve">outlook </w:t>
      </w:r>
      <w:r w:rsidRPr="00673C1F">
        <w:t>co</w:t>
      </w:r>
      <w:r w:rsidR="00172D15" w:rsidRPr="00673C1F">
        <w:t xml:space="preserve">ntinues to be exposed </w:t>
      </w:r>
      <w:r w:rsidR="006656A6" w:rsidRPr="00673C1F">
        <w:t xml:space="preserve">to </w:t>
      </w:r>
      <w:r w:rsidR="00141B80" w:rsidRPr="00673C1F">
        <w:t>underlying economic risks</w:t>
      </w:r>
      <w:r w:rsidR="001015BD" w:rsidRPr="00673C1F">
        <w:t>.</w:t>
      </w:r>
      <w:r w:rsidRPr="00673C1F">
        <w:t xml:space="preserve"> </w:t>
      </w:r>
      <w:r w:rsidR="00283909" w:rsidRPr="00673C1F">
        <w:t xml:space="preserve">The global economic outlook </w:t>
      </w:r>
      <w:r w:rsidR="00D434D1" w:rsidRPr="00673C1F">
        <w:t>is</w:t>
      </w:r>
      <w:r w:rsidR="00283909" w:rsidRPr="00673C1F">
        <w:t xml:space="preserve"> uncertain, posing c</w:t>
      </w:r>
      <w:r w:rsidR="00B10749" w:rsidRPr="00673C1F">
        <w:t xml:space="preserve">onsiderable risks </w:t>
      </w:r>
      <w:r w:rsidR="394230F2" w:rsidRPr="00673C1F">
        <w:t xml:space="preserve">for exports and </w:t>
      </w:r>
      <w:r w:rsidR="3EBF71D9" w:rsidRPr="00673C1F">
        <w:t xml:space="preserve">global </w:t>
      </w:r>
      <w:r w:rsidR="0078346F" w:rsidRPr="00673C1F">
        <w:t>commodity prices</w:t>
      </w:r>
      <w:r w:rsidR="00FE5C92" w:rsidRPr="00673C1F">
        <w:t>. There is also</w:t>
      </w:r>
      <w:r w:rsidR="00093C02" w:rsidRPr="00673C1F">
        <w:t xml:space="preserve"> </w:t>
      </w:r>
      <w:r w:rsidR="0078346F" w:rsidRPr="00673C1F">
        <w:t>uncertain</w:t>
      </w:r>
      <w:r w:rsidR="00450663" w:rsidRPr="00673C1F">
        <w:t>ty around the responsiveness of</w:t>
      </w:r>
      <w:r w:rsidR="0078346F" w:rsidRPr="00673C1F">
        <w:t xml:space="preserve"> household consumption</w:t>
      </w:r>
      <w:r w:rsidR="007367E2" w:rsidRPr="00673C1F">
        <w:t xml:space="preserve"> and the labour market</w:t>
      </w:r>
      <w:r w:rsidR="0078346F" w:rsidRPr="00673C1F">
        <w:t xml:space="preserve"> </w:t>
      </w:r>
      <w:r w:rsidR="006549CC" w:rsidRPr="00673C1F">
        <w:t>to evolving economic conditions</w:t>
      </w:r>
      <w:r w:rsidR="0078346F" w:rsidRPr="00673C1F">
        <w:t xml:space="preserve">. </w:t>
      </w:r>
    </w:p>
    <w:p w14:paraId="57DC058D" w14:textId="3C7387AD" w:rsidR="000D6257" w:rsidRPr="00673C1F" w:rsidRDefault="00D65591" w:rsidP="005640E7">
      <w:r w:rsidRPr="00673C1F">
        <w:t>The Government has legislated tax cuts for all 13.6</w:t>
      </w:r>
      <w:r w:rsidR="001166A9" w:rsidRPr="00673C1F">
        <w:t> </w:t>
      </w:r>
      <w:r w:rsidRPr="00673C1F">
        <w:t>million Australian taxpayers from 1</w:t>
      </w:r>
      <w:r w:rsidR="00C50F3A" w:rsidRPr="00673C1F">
        <w:t> </w:t>
      </w:r>
      <w:r w:rsidRPr="00673C1F">
        <w:t>July</w:t>
      </w:r>
      <w:r w:rsidR="00C50F3A" w:rsidRPr="00673C1F">
        <w:t> </w:t>
      </w:r>
      <w:r w:rsidR="00C96217" w:rsidRPr="00673C1F">
        <w:t>2024 to provide cost</w:t>
      </w:r>
      <w:r w:rsidR="006D727E" w:rsidRPr="00673C1F">
        <w:noBreakHyphen/>
      </w:r>
      <w:r w:rsidR="00C96217" w:rsidRPr="00673C1F">
        <w:t>of</w:t>
      </w:r>
      <w:r w:rsidR="006D727E" w:rsidRPr="00673C1F">
        <w:noBreakHyphen/>
      </w:r>
      <w:r w:rsidR="00C96217" w:rsidRPr="00673C1F">
        <w:t xml:space="preserve">living relief, return bracket creep and boost labour supply. </w:t>
      </w:r>
      <w:r w:rsidR="006219D0" w:rsidRPr="00673C1F">
        <w:t>The Government is also implementing production tax incentives to accelerate investment in Future Made in Australia priority industries and reforms</w:t>
      </w:r>
      <w:r w:rsidR="00A92BD5" w:rsidRPr="00673C1F" w:rsidDel="00B70CDA">
        <w:t xml:space="preserve"> </w:t>
      </w:r>
      <w:r w:rsidR="00791E17" w:rsidRPr="00673C1F">
        <w:t xml:space="preserve">to </w:t>
      </w:r>
      <w:r w:rsidR="00A64C24" w:rsidRPr="00673C1F">
        <w:t xml:space="preserve">enhance </w:t>
      </w:r>
      <w:r w:rsidR="00A64C24" w:rsidRPr="00673C1F" w:rsidDel="00B70CDA">
        <w:t>tax system compliance and integrity</w:t>
      </w:r>
      <w:r w:rsidR="00A64C24" w:rsidRPr="00673C1F">
        <w:t xml:space="preserve">. </w:t>
      </w:r>
    </w:p>
    <w:p w14:paraId="153EDBE6" w14:textId="50E41063" w:rsidR="00EE3C34" w:rsidRPr="00673C1F" w:rsidRDefault="00A64C24" w:rsidP="005640E7">
      <w:r w:rsidRPr="00673C1F">
        <w:t xml:space="preserve">Policy decisions taken </w:t>
      </w:r>
      <w:r w:rsidR="0078346F" w:rsidRPr="00673C1F">
        <w:t>since</w:t>
      </w:r>
      <w:r w:rsidRPr="00673C1F">
        <w:t xml:space="preserve"> </w:t>
      </w:r>
      <w:r w:rsidR="0078346F" w:rsidRPr="00673C1F">
        <w:t xml:space="preserve">MYEFO increase </w:t>
      </w:r>
      <w:r w:rsidR="00C23B8A" w:rsidRPr="00673C1F">
        <w:t xml:space="preserve">tax </w:t>
      </w:r>
      <w:r w:rsidR="0078346F" w:rsidRPr="00673C1F">
        <w:t xml:space="preserve">receipts by </w:t>
      </w:r>
      <w:r w:rsidRPr="00673C1F">
        <w:t>$</w:t>
      </w:r>
      <w:r w:rsidR="00F168B7" w:rsidRPr="00673C1F">
        <w:t>1.7</w:t>
      </w:r>
      <w:r w:rsidR="001166A9" w:rsidRPr="00673C1F">
        <w:t> </w:t>
      </w:r>
      <w:r w:rsidR="0078346F" w:rsidRPr="00673C1F">
        <w:t>billion in 2024</w:t>
      </w:r>
      <w:r w:rsidR="006148FB" w:rsidRPr="00673C1F">
        <w:t>–</w:t>
      </w:r>
      <w:r w:rsidR="0078346F" w:rsidRPr="00673C1F">
        <w:t xml:space="preserve">25 and </w:t>
      </w:r>
      <w:r w:rsidRPr="00673C1F">
        <w:t>$</w:t>
      </w:r>
      <w:r w:rsidR="00430D6A" w:rsidRPr="00673C1F">
        <w:t>4.9</w:t>
      </w:r>
      <w:r w:rsidR="00382380" w:rsidRPr="00673C1F">
        <w:t> </w:t>
      </w:r>
      <w:r w:rsidR="0078346F" w:rsidRPr="00673C1F">
        <w:t xml:space="preserve">billion over the </w:t>
      </w:r>
      <w:r w:rsidR="007A22C6" w:rsidRPr="00673C1F">
        <w:t>five</w:t>
      </w:r>
      <w:r w:rsidR="000134EB" w:rsidRPr="00673C1F">
        <w:t> </w:t>
      </w:r>
      <w:r w:rsidR="007A22C6" w:rsidRPr="00673C1F">
        <w:t>years</w:t>
      </w:r>
      <w:r w:rsidR="0078346F" w:rsidRPr="00673C1F">
        <w:t xml:space="preserve"> from 2023</w:t>
      </w:r>
      <w:r w:rsidR="006148FB" w:rsidRPr="00673C1F">
        <w:t>–</w:t>
      </w:r>
      <w:r w:rsidR="0078346F" w:rsidRPr="00673C1F">
        <w:t>24 to 2027</w:t>
      </w:r>
      <w:r w:rsidR="006148FB" w:rsidRPr="00673C1F">
        <w:t>–</w:t>
      </w:r>
      <w:r w:rsidR="0078346F" w:rsidRPr="00673C1F">
        <w:t>28.</w:t>
      </w:r>
    </w:p>
    <w:p w14:paraId="476E00FA" w14:textId="6DF0F280" w:rsidR="00356E70" w:rsidRPr="00E67E4F" w:rsidRDefault="00356E70" w:rsidP="00356E70">
      <w:r w:rsidRPr="00E67E4F">
        <w:br w:type="page"/>
      </w:r>
    </w:p>
    <w:p w14:paraId="17A901CE" w14:textId="77777777" w:rsidR="00EE3C34" w:rsidRPr="00E67E4F" w:rsidRDefault="00EE3C34" w:rsidP="00356E70"/>
    <w:p w14:paraId="62284D70" w14:textId="3581EB8C" w:rsidR="00356E70" w:rsidRPr="00E67E4F" w:rsidRDefault="00356E70" w:rsidP="00DA737C">
      <w:pPr>
        <w:sectPr w:rsidR="00356E70" w:rsidRPr="00E67E4F" w:rsidSect="000D1306">
          <w:headerReference w:type="even" r:id="rId11"/>
          <w:footerReference w:type="default" r:id="rId12"/>
          <w:headerReference w:type="first" r:id="rId13"/>
          <w:footerReference w:type="first" r:id="rId14"/>
          <w:pgSz w:w="11906" w:h="16838" w:code="9"/>
          <w:pgMar w:top="2835" w:right="2098" w:bottom="2466" w:left="2098" w:header="1814" w:footer="1814" w:gutter="0"/>
          <w:pgNumType w:start="163"/>
          <w:cols w:space="708"/>
          <w:titlePg/>
          <w:docGrid w:linePitch="360"/>
        </w:sectPr>
      </w:pPr>
    </w:p>
    <w:p w14:paraId="3F2F9AA1" w14:textId="77777777" w:rsidR="00356E70" w:rsidRPr="00E67E4F" w:rsidRDefault="00356E70" w:rsidP="00356E70">
      <w:pPr>
        <w:pStyle w:val="ContentsHeading"/>
      </w:pPr>
      <w:r w:rsidRPr="00E67E4F">
        <w:lastRenderedPageBreak/>
        <w:t>Statement contents</w:t>
      </w:r>
    </w:p>
    <w:p w14:paraId="204BDD45" w14:textId="011D50CE" w:rsidR="00356E70" w:rsidRPr="00E67E4F" w:rsidRDefault="00356E70" w:rsidP="00356E70">
      <w:pPr>
        <w:pStyle w:val="TOC1"/>
        <w:rPr>
          <w:rFonts w:asciiTheme="minorHAnsi" w:eastAsiaTheme="minorEastAsia" w:hAnsiTheme="minorHAnsi" w:cstheme="minorBidi"/>
          <w:b w:val="0"/>
          <w:noProof/>
          <w:sz w:val="22"/>
          <w:szCs w:val="22"/>
        </w:rPr>
      </w:pPr>
      <w:r w:rsidRPr="00E67E4F">
        <w:fldChar w:fldCharType="begin"/>
      </w:r>
      <w:r w:rsidRPr="00E67E4F">
        <w:instrText xml:space="preserve"> TOC \h \z \u \t "Heading 2,1,Heading 3,2" </w:instrText>
      </w:r>
      <w:r w:rsidRPr="00E67E4F">
        <w:fldChar w:fldCharType="separate"/>
      </w:r>
      <w:hyperlink w:anchor="_Toc134182344" w:history="1">
        <w:r w:rsidRPr="00E67E4F">
          <w:rPr>
            <w:rStyle w:val="Hyperlink"/>
            <w:noProof/>
          </w:rPr>
          <w:t>Overview</w:t>
        </w:r>
        <w:r w:rsidRPr="00E67E4F">
          <w:rPr>
            <w:noProof/>
            <w:webHidden/>
          </w:rPr>
          <w:tab/>
        </w:r>
        <w:r w:rsidRPr="00E67E4F">
          <w:rPr>
            <w:noProof/>
            <w:webHidden/>
          </w:rPr>
          <w:fldChar w:fldCharType="begin"/>
        </w:r>
        <w:r w:rsidRPr="00E67E4F">
          <w:rPr>
            <w:noProof/>
            <w:webHidden/>
          </w:rPr>
          <w:instrText xml:space="preserve"> PAGEREF _Toc134182344 \h </w:instrText>
        </w:r>
        <w:r w:rsidRPr="00E67E4F">
          <w:rPr>
            <w:noProof/>
            <w:webHidden/>
          </w:rPr>
        </w:r>
        <w:r w:rsidRPr="00E67E4F">
          <w:rPr>
            <w:noProof/>
            <w:webHidden/>
          </w:rPr>
          <w:fldChar w:fldCharType="separate"/>
        </w:r>
        <w:r w:rsidR="00BB41CC">
          <w:rPr>
            <w:noProof/>
            <w:webHidden/>
          </w:rPr>
          <w:t>167</w:t>
        </w:r>
        <w:r w:rsidRPr="00E67E4F">
          <w:rPr>
            <w:noProof/>
            <w:webHidden/>
          </w:rPr>
          <w:fldChar w:fldCharType="end"/>
        </w:r>
      </w:hyperlink>
    </w:p>
    <w:p w14:paraId="204DFACE" w14:textId="139F4C8A" w:rsidR="00356E70" w:rsidRPr="00E67E4F" w:rsidRDefault="00D42EF7" w:rsidP="00356E70">
      <w:pPr>
        <w:pStyle w:val="TOC2"/>
        <w:rPr>
          <w:rFonts w:asciiTheme="minorHAnsi" w:eastAsiaTheme="minorEastAsia" w:hAnsiTheme="minorHAnsi" w:cstheme="minorBidi"/>
          <w:noProof/>
          <w:sz w:val="22"/>
          <w:szCs w:val="22"/>
        </w:rPr>
      </w:pPr>
      <w:hyperlink w:anchor="_Toc134182346" w:history="1">
        <w:r w:rsidR="00356E70" w:rsidRPr="00E67E4F">
          <w:rPr>
            <w:rStyle w:val="Hyperlink"/>
            <w:noProof/>
          </w:rPr>
          <w:t>Tax receipts outlook</w:t>
        </w:r>
        <w:r w:rsidR="00356E70" w:rsidRPr="00E67E4F">
          <w:rPr>
            <w:noProof/>
            <w:webHidden/>
          </w:rPr>
          <w:tab/>
        </w:r>
        <w:r w:rsidR="00356E70" w:rsidRPr="00E67E4F">
          <w:rPr>
            <w:noProof/>
            <w:webHidden/>
          </w:rPr>
          <w:fldChar w:fldCharType="begin"/>
        </w:r>
        <w:r w:rsidR="00356E70" w:rsidRPr="00E67E4F">
          <w:rPr>
            <w:noProof/>
            <w:webHidden/>
          </w:rPr>
          <w:instrText xml:space="preserve"> PAGEREF _Toc134182346 \h </w:instrText>
        </w:r>
        <w:r w:rsidR="00356E70" w:rsidRPr="00E67E4F">
          <w:rPr>
            <w:noProof/>
            <w:webHidden/>
          </w:rPr>
        </w:r>
        <w:r w:rsidR="00356E70" w:rsidRPr="00E67E4F">
          <w:rPr>
            <w:noProof/>
            <w:webHidden/>
          </w:rPr>
          <w:fldChar w:fldCharType="separate"/>
        </w:r>
        <w:r w:rsidR="00BB41CC">
          <w:rPr>
            <w:noProof/>
            <w:webHidden/>
          </w:rPr>
          <w:t>168</w:t>
        </w:r>
        <w:r w:rsidR="00356E70" w:rsidRPr="00E67E4F">
          <w:rPr>
            <w:noProof/>
            <w:webHidden/>
          </w:rPr>
          <w:fldChar w:fldCharType="end"/>
        </w:r>
      </w:hyperlink>
    </w:p>
    <w:p w14:paraId="6A9B807C" w14:textId="2514F61A" w:rsidR="00356E70" w:rsidRPr="00E67E4F" w:rsidRDefault="00D42EF7" w:rsidP="00356E70">
      <w:pPr>
        <w:pStyle w:val="TOC1"/>
        <w:rPr>
          <w:rFonts w:asciiTheme="minorHAnsi" w:eastAsiaTheme="minorEastAsia" w:hAnsiTheme="minorHAnsi" w:cstheme="minorBidi"/>
          <w:b w:val="0"/>
          <w:noProof/>
          <w:sz w:val="22"/>
          <w:szCs w:val="22"/>
        </w:rPr>
      </w:pPr>
      <w:hyperlink w:anchor="_Toc134182347" w:history="1">
        <w:r w:rsidR="00356E70" w:rsidRPr="00E67E4F">
          <w:rPr>
            <w:rStyle w:val="Hyperlink"/>
            <w:noProof/>
          </w:rPr>
          <w:t>Variations in receipts estimates</w:t>
        </w:r>
        <w:r w:rsidR="00356E70" w:rsidRPr="00E67E4F">
          <w:rPr>
            <w:noProof/>
            <w:webHidden/>
          </w:rPr>
          <w:tab/>
        </w:r>
        <w:r w:rsidR="00356E70" w:rsidRPr="00E67E4F">
          <w:rPr>
            <w:noProof/>
            <w:webHidden/>
          </w:rPr>
          <w:fldChar w:fldCharType="begin"/>
        </w:r>
        <w:r w:rsidR="00356E70" w:rsidRPr="00E67E4F">
          <w:rPr>
            <w:noProof/>
            <w:webHidden/>
          </w:rPr>
          <w:instrText xml:space="preserve"> PAGEREF _Toc134182347 \h </w:instrText>
        </w:r>
        <w:r w:rsidR="00356E70" w:rsidRPr="00E67E4F">
          <w:rPr>
            <w:noProof/>
            <w:webHidden/>
          </w:rPr>
        </w:r>
        <w:r w:rsidR="00356E70" w:rsidRPr="00E67E4F">
          <w:rPr>
            <w:noProof/>
            <w:webHidden/>
          </w:rPr>
          <w:fldChar w:fldCharType="separate"/>
        </w:r>
        <w:r w:rsidR="00BB41CC">
          <w:rPr>
            <w:noProof/>
            <w:webHidden/>
          </w:rPr>
          <w:t>172</w:t>
        </w:r>
        <w:r w:rsidR="00356E70" w:rsidRPr="00E67E4F">
          <w:rPr>
            <w:noProof/>
            <w:webHidden/>
          </w:rPr>
          <w:fldChar w:fldCharType="end"/>
        </w:r>
      </w:hyperlink>
    </w:p>
    <w:p w14:paraId="6A9CF21B" w14:textId="08254A0C" w:rsidR="00356E70" w:rsidRPr="00E67E4F" w:rsidRDefault="00D42EF7" w:rsidP="00356E70">
      <w:pPr>
        <w:pStyle w:val="TOC2"/>
        <w:rPr>
          <w:rFonts w:asciiTheme="minorHAnsi" w:eastAsiaTheme="minorEastAsia" w:hAnsiTheme="minorHAnsi" w:cstheme="minorBidi"/>
          <w:noProof/>
          <w:sz w:val="22"/>
          <w:szCs w:val="22"/>
        </w:rPr>
      </w:pPr>
      <w:hyperlink w:anchor="_Toc134182348" w:history="1">
        <w:r w:rsidR="00356E70" w:rsidRPr="00E67E4F">
          <w:rPr>
            <w:rStyle w:val="Hyperlink"/>
            <w:noProof/>
          </w:rPr>
          <w:t>Tax receipts estimates</w:t>
        </w:r>
        <w:r w:rsidR="00356E70" w:rsidRPr="00E67E4F">
          <w:rPr>
            <w:noProof/>
            <w:webHidden/>
          </w:rPr>
          <w:tab/>
        </w:r>
        <w:r w:rsidR="00356E70" w:rsidRPr="00E67E4F">
          <w:rPr>
            <w:noProof/>
            <w:webHidden/>
          </w:rPr>
          <w:fldChar w:fldCharType="begin"/>
        </w:r>
        <w:r w:rsidR="00356E70" w:rsidRPr="00E67E4F">
          <w:rPr>
            <w:noProof/>
            <w:webHidden/>
          </w:rPr>
          <w:instrText xml:space="preserve"> PAGEREF _Toc134182348 \h </w:instrText>
        </w:r>
        <w:r w:rsidR="00356E70" w:rsidRPr="00E67E4F">
          <w:rPr>
            <w:noProof/>
            <w:webHidden/>
          </w:rPr>
        </w:r>
        <w:r w:rsidR="00356E70" w:rsidRPr="00E67E4F">
          <w:rPr>
            <w:noProof/>
            <w:webHidden/>
          </w:rPr>
          <w:fldChar w:fldCharType="separate"/>
        </w:r>
        <w:r w:rsidR="00BB41CC">
          <w:rPr>
            <w:noProof/>
            <w:webHidden/>
          </w:rPr>
          <w:t>172</w:t>
        </w:r>
        <w:r w:rsidR="00356E70" w:rsidRPr="00E67E4F">
          <w:rPr>
            <w:noProof/>
            <w:webHidden/>
          </w:rPr>
          <w:fldChar w:fldCharType="end"/>
        </w:r>
      </w:hyperlink>
    </w:p>
    <w:p w14:paraId="2200E694" w14:textId="3A53937B" w:rsidR="00356E70" w:rsidRPr="00E67E4F" w:rsidRDefault="00D42EF7" w:rsidP="00356E70">
      <w:pPr>
        <w:pStyle w:val="TOC2"/>
        <w:rPr>
          <w:rFonts w:asciiTheme="minorHAnsi" w:eastAsiaTheme="minorEastAsia" w:hAnsiTheme="minorHAnsi" w:cstheme="minorBidi"/>
          <w:noProof/>
          <w:sz w:val="22"/>
          <w:szCs w:val="22"/>
        </w:rPr>
      </w:pPr>
      <w:hyperlink w:anchor="_Toc134182349" w:history="1">
        <w:r w:rsidR="00356E70" w:rsidRPr="00E67E4F">
          <w:rPr>
            <w:rStyle w:val="Hyperlink"/>
            <w:noProof/>
          </w:rPr>
          <w:t>Non–tax receipts estimates</w:t>
        </w:r>
        <w:r w:rsidR="00356E70" w:rsidRPr="00E67E4F">
          <w:rPr>
            <w:noProof/>
            <w:webHidden/>
          </w:rPr>
          <w:tab/>
        </w:r>
        <w:r w:rsidR="00356E70" w:rsidRPr="00E67E4F">
          <w:rPr>
            <w:noProof/>
            <w:webHidden/>
          </w:rPr>
          <w:fldChar w:fldCharType="begin"/>
        </w:r>
        <w:r w:rsidR="00356E70" w:rsidRPr="00E67E4F">
          <w:rPr>
            <w:noProof/>
            <w:webHidden/>
          </w:rPr>
          <w:instrText xml:space="preserve"> PAGEREF _Toc134182349 \h </w:instrText>
        </w:r>
        <w:r w:rsidR="00356E70" w:rsidRPr="00E67E4F">
          <w:rPr>
            <w:noProof/>
            <w:webHidden/>
          </w:rPr>
        </w:r>
        <w:r w:rsidR="00356E70" w:rsidRPr="00E67E4F">
          <w:rPr>
            <w:noProof/>
            <w:webHidden/>
          </w:rPr>
          <w:fldChar w:fldCharType="separate"/>
        </w:r>
        <w:r w:rsidR="00BB41CC">
          <w:rPr>
            <w:noProof/>
            <w:webHidden/>
          </w:rPr>
          <w:t>179</w:t>
        </w:r>
        <w:r w:rsidR="00356E70" w:rsidRPr="00E67E4F">
          <w:rPr>
            <w:noProof/>
            <w:webHidden/>
          </w:rPr>
          <w:fldChar w:fldCharType="end"/>
        </w:r>
      </w:hyperlink>
    </w:p>
    <w:p w14:paraId="179A7D68" w14:textId="47BDA90E" w:rsidR="00356E70" w:rsidRPr="00E67E4F" w:rsidRDefault="00D42EF7" w:rsidP="00356E70">
      <w:pPr>
        <w:pStyle w:val="TOC1"/>
        <w:rPr>
          <w:rFonts w:asciiTheme="minorHAnsi" w:eastAsiaTheme="minorEastAsia" w:hAnsiTheme="minorHAnsi" w:cstheme="minorBidi"/>
          <w:b w:val="0"/>
          <w:noProof/>
          <w:sz w:val="22"/>
          <w:szCs w:val="22"/>
        </w:rPr>
      </w:pPr>
      <w:hyperlink w:anchor="_Toc134182350" w:history="1">
        <w:r w:rsidR="00356E70" w:rsidRPr="00E67E4F">
          <w:rPr>
            <w:rStyle w:val="Hyperlink"/>
            <w:noProof/>
          </w:rPr>
          <w:t>Variations in revenue estimates</w:t>
        </w:r>
        <w:r w:rsidR="00356E70" w:rsidRPr="00E67E4F">
          <w:rPr>
            <w:noProof/>
            <w:webHidden/>
          </w:rPr>
          <w:tab/>
        </w:r>
        <w:r w:rsidR="00356E70" w:rsidRPr="00E67E4F">
          <w:rPr>
            <w:noProof/>
            <w:webHidden/>
          </w:rPr>
          <w:fldChar w:fldCharType="begin"/>
        </w:r>
        <w:r w:rsidR="00356E70" w:rsidRPr="00E67E4F">
          <w:rPr>
            <w:noProof/>
            <w:webHidden/>
          </w:rPr>
          <w:instrText xml:space="preserve"> PAGEREF _Toc134182350 \h </w:instrText>
        </w:r>
        <w:r w:rsidR="00356E70" w:rsidRPr="00E67E4F">
          <w:rPr>
            <w:noProof/>
            <w:webHidden/>
          </w:rPr>
        </w:r>
        <w:r w:rsidR="00356E70" w:rsidRPr="00E67E4F">
          <w:rPr>
            <w:noProof/>
            <w:webHidden/>
          </w:rPr>
          <w:fldChar w:fldCharType="separate"/>
        </w:r>
        <w:r w:rsidR="00BB41CC">
          <w:rPr>
            <w:noProof/>
            <w:webHidden/>
          </w:rPr>
          <w:t>183</w:t>
        </w:r>
        <w:r w:rsidR="00356E70" w:rsidRPr="00E67E4F">
          <w:rPr>
            <w:noProof/>
            <w:webHidden/>
          </w:rPr>
          <w:fldChar w:fldCharType="end"/>
        </w:r>
      </w:hyperlink>
    </w:p>
    <w:p w14:paraId="148B141D" w14:textId="1AD3D2C5" w:rsidR="00B71C50" w:rsidRPr="00E67E4F" w:rsidRDefault="00D42EF7" w:rsidP="00B71C50">
      <w:pPr>
        <w:pStyle w:val="TOC1"/>
        <w:rPr>
          <w:rStyle w:val="Hyperlink"/>
          <w:noProof/>
        </w:rPr>
      </w:pPr>
      <w:hyperlink w:anchor="_Toc134182351" w:history="1">
        <w:r w:rsidR="00356E70" w:rsidRPr="00E67E4F">
          <w:rPr>
            <w:rStyle w:val="Hyperlink"/>
            <w:noProof/>
          </w:rPr>
          <w:t>Appendix A: Tax Expenditures</w:t>
        </w:r>
        <w:r w:rsidR="00356E70" w:rsidRPr="00E67E4F">
          <w:rPr>
            <w:noProof/>
            <w:webHidden/>
          </w:rPr>
          <w:tab/>
        </w:r>
        <w:r w:rsidR="00356E70" w:rsidRPr="00E67E4F">
          <w:rPr>
            <w:noProof/>
            <w:webHidden/>
          </w:rPr>
          <w:fldChar w:fldCharType="begin"/>
        </w:r>
        <w:r w:rsidR="00356E70" w:rsidRPr="00E67E4F">
          <w:rPr>
            <w:noProof/>
            <w:webHidden/>
          </w:rPr>
          <w:instrText xml:space="preserve"> PAGEREF _Toc134182351 \h </w:instrText>
        </w:r>
        <w:r w:rsidR="00356E70" w:rsidRPr="00E67E4F">
          <w:rPr>
            <w:noProof/>
            <w:webHidden/>
          </w:rPr>
        </w:r>
        <w:r w:rsidR="00356E70" w:rsidRPr="00E67E4F">
          <w:rPr>
            <w:noProof/>
            <w:webHidden/>
          </w:rPr>
          <w:fldChar w:fldCharType="separate"/>
        </w:r>
        <w:r w:rsidR="00BB41CC">
          <w:rPr>
            <w:noProof/>
            <w:webHidden/>
          </w:rPr>
          <w:t>186</w:t>
        </w:r>
        <w:r w:rsidR="00356E70" w:rsidRPr="00E67E4F">
          <w:rPr>
            <w:noProof/>
            <w:webHidden/>
          </w:rPr>
          <w:fldChar w:fldCharType="end"/>
        </w:r>
      </w:hyperlink>
    </w:p>
    <w:p w14:paraId="4256AEDA" w14:textId="77777777" w:rsidR="00E419F3" w:rsidRPr="00E67E4F" w:rsidRDefault="00E419F3" w:rsidP="00A15FDE">
      <w:pPr>
        <w:pStyle w:val="SingleParagraph"/>
        <w:rPr>
          <w:rStyle w:val="Hyperlink"/>
          <w:rFonts w:ascii="Arial Bold" w:hAnsi="Arial Bold"/>
          <w:b/>
          <w:noProof/>
          <w:sz w:val="20"/>
        </w:rPr>
      </w:pPr>
    </w:p>
    <w:p w14:paraId="4A4FC3C3" w14:textId="77777777" w:rsidR="00E419F3" w:rsidRDefault="00E419F3" w:rsidP="00E419F3">
      <w:pPr>
        <w:rPr>
          <w:rFonts w:eastAsiaTheme="minorEastAsia"/>
          <w:noProof/>
        </w:rPr>
      </w:pPr>
    </w:p>
    <w:p w14:paraId="57BFEF33" w14:textId="47AF10AB" w:rsidR="000D1306" w:rsidRPr="00E67E4F" w:rsidRDefault="000D1306" w:rsidP="000D1306">
      <w:pPr>
        <w:rPr>
          <w:rFonts w:eastAsiaTheme="minorEastAsia"/>
          <w:noProof/>
        </w:rPr>
        <w:sectPr w:rsidR="000D1306" w:rsidRPr="00E67E4F" w:rsidSect="00DB11F1">
          <w:headerReference w:type="even" r:id="rId15"/>
          <w:headerReference w:type="default" r:id="rId16"/>
          <w:footerReference w:type="even" r:id="rId17"/>
          <w:footerReference w:type="default" r:id="rId18"/>
          <w:headerReference w:type="first" r:id="rId19"/>
          <w:footerReference w:type="first" r:id="rId20"/>
          <w:pgSz w:w="11906" w:h="16838" w:code="9"/>
          <w:pgMar w:top="2835" w:right="2098" w:bottom="2466" w:left="2098" w:header="1814" w:footer="1814" w:gutter="0"/>
          <w:cols w:space="708"/>
          <w:titlePg/>
          <w:docGrid w:linePitch="360"/>
        </w:sectPr>
      </w:pPr>
    </w:p>
    <w:p w14:paraId="6EA9EA42" w14:textId="238706AA" w:rsidR="00356E70" w:rsidRPr="00E67E4F" w:rsidRDefault="00356E70" w:rsidP="00356E70">
      <w:pPr>
        <w:pStyle w:val="Heading1"/>
      </w:pPr>
      <w:r w:rsidRPr="00E67E4F">
        <w:rPr>
          <w:noProof/>
          <w:lang w:val="en-US"/>
        </w:rPr>
        <w:lastRenderedPageBreak/>
        <w:fldChar w:fldCharType="end"/>
      </w:r>
      <w:r w:rsidRPr="00E67E4F">
        <w:t>Statement 5: Revenue</w:t>
      </w:r>
    </w:p>
    <w:p w14:paraId="078CCE95" w14:textId="3609944B" w:rsidR="00356E70" w:rsidRPr="00E67E4F" w:rsidRDefault="00356E70" w:rsidP="00356E70">
      <w:pPr>
        <w:pStyle w:val="Heading2"/>
      </w:pPr>
      <w:bookmarkStart w:id="0" w:name="_Toc134182344"/>
      <w:bookmarkStart w:id="1" w:name="_Toc512337932"/>
      <w:bookmarkStart w:id="2" w:name="_Toc52676197"/>
      <w:bookmarkStart w:id="3" w:name="_Toc99201818"/>
      <w:bookmarkStart w:id="4" w:name="_Toc117324545"/>
      <w:r w:rsidRPr="00E67E4F">
        <w:t>Overview</w:t>
      </w:r>
      <w:bookmarkEnd w:id="0"/>
    </w:p>
    <w:bookmarkEnd w:id="1"/>
    <w:bookmarkEnd w:id="2"/>
    <w:bookmarkEnd w:id="3"/>
    <w:bookmarkEnd w:id="4"/>
    <w:p w14:paraId="7C42B17B" w14:textId="4AFD2E95" w:rsidR="00BE41BA" w:rsidRPr="00673C1F" w:rsidRDefault="00350F02" w:rsidP="008B4EA1">
      <w:r w:rsidRPr="00673C1F">
        <w:t xml:space="preserve">Since MYEFO, </w:t>
      </w:r>
      <w:r w:rsidR="000A769D" w:rsidRPr="00673C1F">
        <w:t xml:space="preserve">tax receipts </w:t>
      </w:r>
      <w:r w:rsidR="001A3929" w:rsidRPr="00673C1F">
        <w:t>excluding GST and</w:t>
      </w:r>
      <w:r w:rsidR="00881EC3" w:rsidRPr="00673C1F">
        <w:t xml:space="preserve"> policy decisions </w:t>
      </w:r>
      <w:r w:rsidR="006743DD" w:rsidRPr="00673C1F">
        <w:t xml:space="preserve">have been revised up </w:t>
      </w:r>
      <w:r w:rsidR="000A769D" w:rsidRPr="00673C1F">
        <w:t>by $</w:t>
      </w:r>
      <w:r w:rsidR="00CE544B" w:rsidRPr="00673C1F">
        <w:t>2</w:t>
      </w:r>
      <w:r w:rsidR="001A3929" w:rsidRPr="00673C1F">
        <w:t>7</w:t>
      </w:r>
      <w:r w:rsidR="000A769D" w:rsidRPr="00673C1F">
        <w:t>.</w:t>
      </w:r>
      <w:r w:rsidR="00CE544B" w:rsidRPr="00673C1F">
        <w:t>0</w:t>
      </w:r>
      <w:r w:rsidR="00441F60" w:rsidRPr="00673C1F">
        <w:t> </w:t>
      </w:r>
      <w:r w:rsidR="000A769D" w:rsidRPr="00673C1F">
        <w:t>billion over the five years from</w:t>
      </w:r>
      <w:r w:rsidR="008B4EA1" w:rsidRPr="00673C1F">
        <w:t> </w:t>
      </w:r>
      <w:r w:rsidR="000A769D" w:rsidRPr="00673C1F">
        <w:t>2023</w:t>
      </w:r>
      <w:r w:rsidR="006148FB" w:rsidRPr="00673C1F">
        <w:t>–</w:t>
      </w:r>
      <w:r w:rsidR="000A769D" w:rsidRPr="00673C1F">
        <w:t>24 to 2027</w:t>
      </w:r>
      <w:r w:rsidR="006148FB" w:rsidRPr="00673C1F">
        <w:t>–</w:t>
      </w:r>
      <w:r w:rsidR="000A769D" w:rsidRPr="00673C1F">
        <w:t xml:space="preserve">28, mainly reflecting higher </w:t>
      </w:r>
      <w:r w:rsidR="00525E46" w:rsidRPr="00673C1F">
        <w:t>personal income tax and company tax</w:t>
      </w:r>
      <w:r w:rsidR="00723828" w:rsidRPr="00673C1F">
        <w:t>.</w:t>
      </w:r>
      <w:r w:rsidR="000A769D" w:rsidRPr="00673C1F">
        <w:t xml:space="preserve"> </w:t>
      </w:r>
      <w:r w:rsidR="00BE41BA" w:rsidRPr="00673C1F">
        <w:t xml:space="preserve">The upgrades to receipts in this Budget are much smaller than recent budget updates, at around a fifth of the average of the previous </w:t>
      </w:r>
      <w:r w:rsidR="00200A0D" w:rsidRPr="00673C1F">
        <w:t xml:space="preserve">three </w:t>
      </w:r>
      <w:r w:rsidR="000006DC" w:rsidRPr="00673C1F">
        <w:t>B</w:t>
      </w:r>
      <w:r w:rsidR="00BE41BA" w:rsidRPr="00673C1F">
        <w:t>udgets.</w:t>
      </w:r>
    </w:p>
    <w:p w14:paraId="1FEAAB29" w14:textId="65E799C6" w:rsidR="00371B5E" w:rsidRPr="00673C1F" w:rsidRDefault="00371B5E" w:rsidP="008B4EA1">
      <w:r w:rsidRPr="00673C1F">
        <w:t>Higher employment and continuing strength in the labour market is a key driver of upgrades, accounting for $21.6</w:t>
      </w:r>
      <w:r w:rsidR="001166A9" w:rsidRPr="00673C1F">
        <w:t> </w:t>
      </w:r>
      <w:r w:rsidRPr="00673C1F">
        <w:t>billion of the net $27.0</w:t>
      </w:r>
      <w:r w:rsidR="006148FB" w:rsidRPr="00673C1F">
        <w:t> </w:t>
      </w:r>
      <w:r w:rsidRPr="00673C1F">
        <w:t xml:space="preserve">billion upgrade to tax receipts since MYEFO. Higher corporate profits make a broadly similar contribution to the upgrade to tax receipts. These have been partly offset by a weaker than expected outlook for tobacco excise and superannuation fund earnings. </w:t>
      </w:r>
    </w:p>
    <w:p w14:paraId="370BB422" w14:textId="7109B382" w:rsidR="00A53720" w:rsidRPr="00673C1F" w:rsidRDefault="000A769D" w:rsidP="008B4EA1">
      <w:r w:rsidRPr="00673C1F">
        <w:t xml:space="preserve">Policy decisions are expected to </w:t>
      </w:r>
      <w:r w:rsidR="00181C62" w:rsidRPr="00673C1F">
        <w:t>increase</w:t>
      </w:r>
      <w:r w:rsidRPr="00673C1F">
        <w:t xml:space="preserve"> tax receipts by $</w:t>
      </w:r>
      <w:r w:rsidR="00A25F26" w:rsidRPr="00673C1F">
        <w:t>4</w:t>
      </w:r>
      <w:r w:rsidRPr="00673C1F">
        <w:t>.</w:t>
      </w:r>
      <w:r w:rsidR="00A25F26" w:rsidRPr="00673C1F">
        <w:t>9</w:t>
      </w:r>
      <w:r w:rsidR="00F968E3" w:rsidRPr="00673C1F">
        <w:t> </w:t>
      </w:r>
      <w:r w:rsidRPr="00673C1F">
        <w:t>billion over the five years to</w:t>
      </w:r>
      <w:r w:rsidR="008B4EA1" w:rsidRPr="00673C1F">
        <w:t> </w:t>
      </w:r>
      <w:r w:rsidRPr="00673C1F">
        <w:t>2027</w:t>
      </w:r>
      <w:r w:rsidR="006148FB" w:rsidRPr="00673C1F">
        <w:t>–</w:t>
      </w:r>
      <w:r w:rsidRPr="00673C1F">
        <w:t xml:space="preserve">28. </w:t>
      </w:r>
      <w:r w:rsidR="00AB0C43" w:rsidRPr="00673C1F">
        <w:t>An overview of key</w:t>
      </w:r>
      <w:r w:rsidR="000A688A" w:rsidRPr="00673C1F">
        <w:t xml:space="preserve"> receipts</w:t>
      </w:r>
      <w:r w:rsidR="00AB0C43" w:rsidRPr="00673C1F">
        <w:t xml:space="preserve"> measures is provided</w:t>
      </w:r>
      <w:r w:rsidR="000A688A" w:rsidRPr="00673C1F">
        <w:t xml:space="preserve"> </w:t>
      </w:r>
      <w:r w:rsidR="00573324" w:rsidRPr="00673C1F">
        <w:t>in th</w:t>
      </w:r>
      <w:r w:rsidR="00B04BA8" w:rsidRPr="00673C1F">
        <w:t>is</w:t>
      </w:r>
      <w:r w:rsidR="00573324" w:rsidRPr="00673C1F">
        <w:t xml:space="preserve"> statement</w:t>
      </w:r>
      <w:r w:rsidR="000A688A" w:rsidRPr="00673C1F">
        <w:t xml:space="preserve">, </w:t>
      </w:r>
      <w:r w:rsidR="00FD60F1" w:rsidRPr="00673C1F">
        <w:t xml:space="preserve">with </w:t>
      </w:r>
      <w:r w:rsidR="002F357F" w:rsidRPr="00673C1F">
        <w:t>detailed information on</w:t>
      </w:r>
      <w:r w:rsidR="000A688A" w:rsidRPr="00673C1F">
        <w:t xml:space="preserve"> all receipts</w:t>
      </w:r>
      <w:r w:rsidR="002F357F" w:rsidRPr="00673C1F">
        <w:t xml:space="preserve"> </w:t>
      </w:r>
      <w:r w:rsidRPr="00673C1F">
        <w:t>policy decisions</w:t>
      </w:r>
      <w:r w:rsidR="00FD60F1" w:rsidRPr="00673C1F">
        <w:t xml:space="preserve"> in</w:t>
      </w:r>
      <w:r w:rsidRPr="00673C1F">
        <w:t xml:space="preserve"> </w:t>
      </w:r>
      <w:r w:rsidRPr="00673C1F">
        <w:rPr>
          <w:rStyle w:val="Emphasis"/>
        </w:rPr>
        <w:t>Budget</w:t>
      </w:r>
      <w:r w:rsidR="00F968E3" w:rsidRPr="00673C1F">
        <w:rPr>
          <w:rStyle w:val="Emphasis"/>
        </w:rPr>
        <w:t> </w:t>
      </w:r>
      <w:r w:rsidRPr="00673C1F">
        <w:rPr>
          <w:rStyle w:val="Emphasis"/>
        </w:rPr>
        <w:t>Statement</w:t>
      </w:r>
      <w:r w:rsidR="00F968E3" w:rsidRPr="00673C1F">
        <w:rPr>
          <w:rStyle w:val="Emphasis"/>
        </w:rPr>
        <w:t> </w:t>
      </w:r>
      <w:r w:rsidRPr="00673C1F">
        <w:rPr>
          <w:rStyle w:val="Emphasis"/>
        </w:rPr>
        <w:t>1</w:t>
      </w:r>
      <w:r w:rsidRPr="00673C1F">
        <w:t xml:space="preserve"> and Budget</w:t>
      </w:r>
      <w:r w:rsidR="008B4EA1" w:rsidRPr="00673C1F">
        <w:t> </w:t>
      </w:r>
      <w:r w:rsidRPr="00673C1F">
        <w:t>Paper</w:t>
      </w:r>
      <w:r w:rsidR="00AC672B" w:rsidRPr="00673C1F">
        <w:t> </w:t>
      </w:r>
      <w:r w:rsidRPr="00673C1F">
        <w:t>No.</w:t>
      </w:r>
      <w:r w:rsidR="00AC672B" w:rsidRPr="00673C1F">
        <w:t> </w:t>
      </w:r>
      <w:r w:rsidRPr="00673C1F">
        <w:t>2.</w:t>
      </w:r>
    </w:p>
    <w:p w14:paraId="013F9E7D" w14:textId="0DCB4AB1" w:rsidR="00573324" w:rsidRPr="00673C1F" w:rsidRDefault="005C0E58" w:rsidP="00140B44">
      <w:r w:rsidRPr="00673C1F">
        <w:rPr>
          <w:rFonts w:cstheme="minorHAnsi"/>
          <w:szCs w:val="19"/>
        </w:rPr>
        <w:t>Since MYEFO, non</w:t>
      </w:r>
      <w:r w:rsidR="006D727E" w:rsidRPr="00673C1F">
        <w:rPr>
          <w:rFonts w:cstheme="minorHAnsi"/>
          <w:szCs w:val="19"/>
        </w:rPr>
        <w:noBreakHyphen/>
      </w:r>
      <w:r w:rsidRPr="00673C1F">
        <w:t xml:space="preserve">tax receipts </w:t>
      </w:r>
      <w:r w:rsidRPr="00673C1F">
        <w:rPr>
          <w:rFonts w:cstheme="minorHAnsi"/>
          <w:szCs w:val="19"/>
        </w:rPr>
        <w:t>are expected to decrease</w:t>
      </w:r>
      <w:r w:rsidRPr="00673C1F">
        <w:t xml:space="preserve"> by </w:t>
      </w:r>
      <w:r w:rsidRPr="00673C1F">
        <w:rPr>
          <w:rFonts w:cstheme="minorHAnsi"/>
          <w:szCs w:val="19"/>
        </w:rPr>
        <w:t>$</w:t>
      </w:r>
      <w:r w:rsidRPr="00673C1F">
        <w:t>1.</w:t>
      </w:r>
      <w:r w:rsidRPr="00673C1F">
        <w:rPr>
          <w:rFonts w:cstheme="minorHAnsi"/>
          <w:szCs w:val="19"/>
        </w:rPr>
        <w:t>3</w:t>
      </w:r>
      <w:r w:rsidR="007D0851" w:rsidRPr="00673C1F">
        <w:rPr>
          <w:rFonts w:cstheme="minorHAnsi"/>
          <w:szCs w:val="19"/>
        </w:rPr>
        <w:t> </w:t>
      </w:r>
      <w:r w:rsidRPr="00673C1F">
        <w:t>billion in 2024–</w:t>
      </w:r>
      <w:r w:rsidR="00BA18BD" w:rsidRPr="00673C1F">
        <w:rPr>
          <w:rFonts w:ascii="Times New Roman" w:hAnsi="Times New Roman"/>
        </w:rPr>
        <w:t>‍</w:t>
      </w:r>
      <w:r w:rsidRPr="00673C1F">
        <w:t xml:space="preserve">25 and </w:t>
      </w:r>
      <w:r w:rsidRPr="00673C1F">
        <w:rPr>
          <w:rFonts w:cstheme="minorHAnsi"/>
          <w:szCs w:val="19"/>
        </w:rPr>
        <w:t xml:space="preserve">increase </w:t>
      </w:r>
      <w:r w:rsidRPr="00673C1F">
        <w:t xml:space="preserve">by </w:t>
      </w:r>
      <w:r w:rsidRPr="00673C1F">
        <w:rPr>
          <w:rFonts w:cstheme="minorHAnsi"/>
          <w:szCs w:val="19"/>
        </w:rPr>
        <w:t>$</w:t>
      </w:r>
      <w:r w:rsidRPr="00673C1F">
        <w:t>8</w:t>
      </w:r>
      <w:r w:rsidRPr="00673C1F">
        <w:rPr>
          <w:rFonts w:cstheme="minorHAnsi"/>
          <w:szCs w:val="19"/>
        </w:rPr>
        <w:t>.8</w:t>
      </w:r>
      <w:r w:rsidRPr="00673C1F">
        <w:t> billion over the five</w:t>
      </w:r>
      <w:r w:rsidRPr="00673C1F">
        <w:rPr>
          <w:rFonts w:cstheme="minorHAnsi"/>
          <w:szCs w:val="19"/>
        </w:rPr>
        <w:t xml:space="preserve"> </w:t>
      </w:r>
      <w:r w:rsidRPr="00673C1F">
        <w:t>years from 2023</w:t>
      </w:r>
      <w:r w:rsidR="003D1755" w:rsidRPr="00673C1F">
        <w:t>–</w:t>
      </w:r>
      <w:r w:rsidRPr="00673C1F">
        <w:t>24 to 2027–28.</w:t>
      </w:r>
    </w:p>
    <w:p w14:paraId="506AB829" w14:textId="6D0BB5F7" w:rsidR="0049067D" w:rsidRPr="00673C1F" w:rsidRDefault="00356E70" w:rsidP="0049067D">
      <w:pPr>
        <w:pStyle w:val="TableHeading"/>
        <w:rPr>
          <w:rFonts w:asciiTheme="minorHAnsi" w:eastAsiaTheme="minorHAnsi" w:hAnsiTheme="minorHAnsi" w:cstheme="minorBidi"/>
          <w:sz w:val="22"/>
          <w:szCs w:val="22"/>
          <w:lang w:eastAsia="en-US"/>
        </w:rPr>
      </w:pPr>
      <w:r w:rsidRPr="00673C1F">
        <w:t>Table 5.1: Australian Government general government receipts</w:t>
      </w:r>
    </w:p>
    <w:tbl>
      <w:tblPr>
        <w:tblW w:w="5000" w:type="pct"/>
        <w:tblCellMar>
          <w:left w:w="0" w:type="dxa"/>
          <w:right w:w="28" w:type="dxa"/>
        </w:tblCellMar>
        <w:tblLook w:val="04A0" w:firstRow="1" w:lastRow="0" w:firstColumn="1" w:lastColumn="0" w:noHBand="0" w:noVBand="1"/>
      </w:tblPr>
      <w:tblGrid>
        <w:gridCol w:w="2571"/>
        <w:gridCol w:w="814"/>
        <w:gridCol w:w="256"/>
        <w:gridCol w:w="814"/>
        <w:gridCol w:w="814"/>
        <w:gridCol w:w="814"/>
        <w:gridCol w:w="814"/>
        <w:gridCol w:w="813"/>
      </w:tblGrid>
      <w:tr w:rsidR="0049067D" w:rsidRPr="00BD68BD" w14:paraId="33D26298" w14:textId="77777777" w:rsidTr="0084044A">
        <w:trPr>
          <w:trHeight w:hRule="exact" w:val="225"/>
        </w:trPr>
        <w:tc>
          <w:tcPr>
            <w:tcW w:w="1667" w:type="pct"/>
            <w:tcBorders>
              <w:top w:val="single" w:sz="4" w:space="0" w:color="000000"/>
              <w:left w:val="nil"/>
              <w:bottom w:val="nil"/>
              <w:right w:val="nil"/>
            </w:tcBorders>
            <w:shd w:val="clear" w:color="000000" w:fill="FFFFFF"/>
            <w:noWrap/>
            <w:vAlign w:val="center"/>
            <w:hideMark/>
          </w:tcPr>
          <w:p w14:paraId="67C2C354" w14:textId="706AE89D" w:rsidR="0049067D" w:rsidRPr="00673C1F" w:rsidRDefault="0049067D" w:rsidP="0049067D">
            <w:pPr>
              <w:spacing w:before="0" w:after="0" w:line="240" w:lineRule="auto"/>
              <w:rPr>
                <w:rFonts w:ascii="Arial" w:hAnsi="Arial" w:cs="Arial"/>
                <w:sz w:val="16"/>
                <w:szCs w:val="16"/>
              </w:rPr>
            </w:pPr>
            <w:r w:rsidRPr="00673C1F">
              <w:rPr>
                <w:rFonts w:ascii="Arial" w:hAnsi="Arial" w:cs="Arial"/>
                <w:sz w:val="16"/>
                <w:szCs w:val="16"/>
              </w:rPr>
              <w:t>  </w:t>
            </w:r>
          </w:p>
        </w:tc>
        <w:tc>
          <w:tcPr>
            <w:tcW w:w="528" w:type="pct"/>
            <w:tcBorders>
              <w:top w:val="single" w:sz="4" w:space="0" w:color="000000"/>
              <w:left w:val="nil"/>
              <w:bottom w:val="single" w:sz="4" w:space="0" w:color="000000"/>
              <w:right w:val="nil"/>
            </w:tcBorders>
            <w:shd w:val="clear" w:color="000000" w:fill="FFFFFF"/>
            <w:noWrap/>
            <w:vAlign w:val="center"/>
            <w:hideMark/>
          </w:tcPr>
          <w:p w14:paraId="35CC4B1A" w14:textId="77777777" w:rsidR="0049067D" w:rsidRPr="00673C1F" w:rsidRDefault="0049067D" w:rsidP="0049067D">
            <w:pPr>
              <w:spacing w:before="0" w:after="0" w:line="240" w:lineRule="auto"/>
              <w:jc w:val="center"/>
              <w:rPr>
                <w:rFonts w:ascii="Arial" w:hAnsi="Arial" w:cs="Arial"/>
                <w:sz w:val="16"/>
                <w:szCs w:val="16"/>
              </w:rPr>
            </w:pPr>
            <w:r w:rsidRPr="00673C1F">
              <w:rPr>
                <w:rFonts w:ascii="Arial" w:hAnsi="Arial" w:cs="Arial"/>
                <w:sz w:val="16"/>
                <w:szCs w:val="16"/>
              </w:rPr>
              <w:t>Actual </w:t>
            </w:r>
          </w:p>
        </w:tc>
        <w:tc>
          <w:tcPr>
            <w:tcW w:w="166" w:type="pct"/>
            <w:tcBorders>
              <w:top w:val="single" w:sz="4" w:space="0" w:color="000000"/>
              <w:left w:val="nil"/>
              <w:bottom w:val="nil"/>
              <w:right w:val="nil"/>
            </w:tcBorders>
            <w:shd w:val="clear" w:color="000000" w:fill="FFFFFF"/>
            <w:noWrap/>
            <w:vAlign w:val="center"/>
            <w:hideMark/>
          </w:tcPr>
          <w:p w14:paraId="7969F943"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 </w:t>
            </w:r>
          </w:p>
        </w:tc>
        <w:tc>
          <w:tcPr>
            <w:tcW w:w="2639" w:type="pct"/>
            <w:gridSpan w:val="5"/>
            <w:tcBorders>
              <w:top w:val="single" w:sz="4" w:space="0" w:color="auto"/>
              <w:left w:val="nil"/>
              <w:bottom w:val="single" w:sz="4" w:space="0" w:color="auto"/>
              <w:right w:val="nil"/>
            </w:tcBorders>
            <w:shd w:val="clear" w:color="000000" w:fill="FFFFFF"/>
            <w:noWrap/>
            <w:vAlign w:val="center"/>
            <w:hideMark/>
          </w:tcPr>
          <w:p w14:paraId="718C70DA" w14:textId="77777777" w:rsidR="0049067D" w:rsidRPr="00673C1F" w:rsidRDefault="0049067D" w:rsidP="0049067D">
            <w:pPr>
              <w:spacing w:before="0" w:after="0" w:line="240" w:lineRule="auto"/>
              <w:jc w:val="center"/>
              <w:rPr>
                <w:rFonts w:ascii="Arial" w:hAnsi="Arial" w:cs="Arial"/>
                <w:sz w:val="16"/>
                <w:szCs w:val="16"/>
              </w:rPr>
            </w:pPr>
            <w:r w:rsidRPr="00673C1F">
              <w:rPr>
                <w:rFonts w:ascii="Arial" w:hAnsi="Arial" w:cs="Arial"/>
                <w:sz w:val="16"/>
                <w:szCs w:val="16"/>
              </w:rPr>
              <w:t>Estimates</w:t>
            </w:r>
          </w:p>
        </w:tc>
      </w:tr>
      <w:tr w:rsidR="0049067D" w:rsidRPr="00BD68BD" w14:paraId="1CC518EC" w14:textId="77777777" w:rsidTr="0084044A">
        <w:trPr>
          <w:trHeight w:hRule="exact" w:val="225"/>
        </w:trPr>
        <w:tc>
          <w:tcPr>
            <w:tcW w:w="1667" w:type="pct"/>
            <w:tcBorders>
              <w:top w:val="nil"/>
              <w:left w:val="nil"/>
              <w:bottom w:val="nil"/>
              <w:right w:val="nil"/>
            </w:tcBorders>
            <w:shd w:val="clear" w:color="000000" w:fill="FFFFFF"/>
            <w:noWrap/>
            <w:vAlign w:val="center"/>
            <w:hideMark/>
          </w:tcPr>
          <w:p w14:paraId="291D1D63" w14:textId="77777777" w:rsidR="0049067D" w:rsidRPr="00673C1F" w:rsidRDefault="0049067D" w:rsidP="0049067D">
            <w:pPr>
              <w:spacing w:before="0" w:after="0" w:line="240" w:lineRule="auto"/>
              <w:rPr>
                <w:rFonts w:ascii="Arial" w:hAnsi="Arial" w:cs="Arial"/>
                <w:sz w:val="16"/>
                <w:szCs w:val="16"/>
              </w:rPr>
            </w:pPr>
            <w:r w:rsidRPr="00673C1F">
              <w:rPr>
                <w:rFonts w:ascii="Arial" w:hAnsi="Arial" w:cs="Arial"/>
                <w:sz w:val="16"/>
                <w:szCs w:val="16"/>
              </w:rPr>
              <w:t> </w:t>
            </w:r>
          </w:p>
        </w:tc>
        <w:tc>
          <w:tcPr>
            <w:tcW w:w="528" w:type="pct"/>
            <w:tcBorders>
              <w:top w:val="single" w:sz="4" w:space="0" w:color="293F5B"/>
              <w:left w:val="nil"/>
              <w:bottom w:val="nil"/>
              <w:right w:val="nil"/>
            </w:tcBorders>
            <w:shd w:val="clear" w:color="auto" w:fill="auto"/>
            <w:vAlign w:val="center"/>
            <w:hideMark/>
          </w:tcPr>
          <w:p w14:paraId="5CFD3355" w14:textId="3B92865F"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2022</w:t>
            </w:r>
            <w:r w:rsidR="006D727E" w:rsidRPr="00673C1F">
              <w:rPr>
                <w:rFonts w:ascii="Arial" w:hAnsi="Arial" w:cs="Arial"/>
                <w:sz w:val="16"/>
                <w:szCs w:val="16"/>
              </w:rPr>
              <w:noBreakHyphen/>
            </w:r>
            <w:r w:rsidRPr="00673C1F">
              <w:rPr>
                <w:rFonts w:ascii="Arial" w:hAnsi="Arial" w:cs="Arial"/>
                <w:sz w:val="16"/>
                <w:szCs w:val="16"/>
              </w:rPr>
              <w:t>23</w:t>
            </w:r>
          </w:p>
        </w:tc>
        <w:tc>
          <w:tcPr>
            <w:tcW w:w="166" w:type="pct"/>
            <w:tcBorders>
              <w:top w:val="nil"/>
              <w:left w:val="nil"/>
              <w:bottom w:val="nil"/>
              <w:right w:val="nil"/>
            </w:tcBorders>
            <w:shd w:val="clear" w:color="000000" w:fill="FFFFFF"/>
            <w:noWrap/>
            <w:vAlign w:val="center"/>
            <w:hideMark/>
          </w:tcPr>
          <w:p w14:paraId="78A731F2"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 </w:t>
            </w:r>
          </w:p>
        </w:tc>
        <w:tc>
          <w:tcPr>
            <w:tcW w:w="528" w:type="pct"/>
            <w:tcBorders>
              <w:top w:val="single" w:sz="4" w:space="0" w:color="293F5B"/>
              <w:left w:val="nil"/>
              <w:bottom w:val="nil"/>
              <w:right w:val="nil"/>
            </w:tcBorders>
            <w:shd w:val="clear" w:color="auto" w:fill="auto"/>
            <w:vAlign w:val="center"/>
            <w:hideMark/>
          </w:tcPr>
          <w:p w14:paraId="41340A99" w14:textId="628E0C23"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2023</w:t>
            </w:r>
            <w:r w:rsidR="006D727E" w:rsidRPr="00673C1F">
              <w:rPr>
                <w:rFonts w:ascii="Arial" w:hAnsi="Arial" w:cs="Arial"/>
                <w:sz w:val="16"/>
                <w:szCs w:val="16"/>
              </w:rPr>
              <w:noBreakHyphen/>
            </w:r>
            <w:r w:rsidRPr="00673C1F">
              <w:rPr>
                <w:rFonts w:ascii="Arial" w:hAnsi="Arial" w:cs="Arial"/>
                <w:sz w:val="16"/>
                <w:szCs w:val="16"/>
              </w:rPr>
              <w:t>24</w:t>
            </w:r>
          </w:p>
        </w:tc>
        <w:tc>
          <w:tcPr>
            <w:tcW w:w="528" w:type="pct"/>
            <w:tcBorders>
              <w:top w:val="single" w:sz="4" w:space="0" w:color="293F5B"/>
              <w:left w:val="nil"/>
              <w:bottom w:val="nil"/>
              <w:right w:val="nil"/>
            </w:tcBorders>
            <w:shd w:val="clear" w:color="000000" w:fill="E6F2FF"/>
            <w:noWrap/>
            <w:vAlign w:val="center"/>
            <w:hideMark/>
          </w:tcPr>
          <w:p w14:paraId="048768D3" w14:textId="589C0FBC"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2024</w:t>
            </w:r>
            <w:r w:rsidR="006D727E" w:rsidRPr="00673C1F">
              <w:rPr>
                <w:rFonts w:ascii="Arial" w:hAnsi="Arial" w:cs="Arial"/>
                <w:sz w:val="16"/>
                <w:szCs w:val="16"/>
              </w:rPr>
              <w:noBreakHyphen/>
            </w:r>
            <w:r w:rsidRPr="00673C1F">
              <w:rPr>
                <w:rFonts w:ascii="Arial" w:hAnsi="Arial" w:cs="Arial"/>
                <w:sz w:val="16"/>
                <w:szCs w:val="16"/>
              </w:rPr>
              <w:t>25</w:t>
            </w:r>
          </w:p>
        </w:tc>
        <w:tc>
          <w:tcPr>
            <w:tcW w:w="528" w:type="pct"/>
            <w:tcBorders>
              <w:top w:val="single" w:sz="4" w:space="0" w:color="293F5B"/>
              <w:left w:val="nil"/>
              <w:bottom w:val="nil"/>
              <w:right w:val="nil"/>
            </w:tcBorders>
            <w:shd w:val="clear" w:color="auto" w:fill="auto"/>
            <w:vAlign w:val="center"/>
            <w:hideMark/>
          </w:tcPr>
          <w:p w14:paraId="59CD26F1" w14:textId="0B80797E"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2025</w:t>
            </w:r>
            <w:r w:rsidR="006D727E" w:rsidRPr="00673C1F">
              <w:rPr>
                <w:rFonts w:ascii="Arial" w:hAnsi="Arial" w:cs="Arial"/>
                <w:sz w:val="16"/>
                <w:szCs w:val="16"/>
              </w:rPr>
              <w:noBreakHyphen/>
            </w:r>
            <w:r w:rsidRPr="00673C1F">
              <w:rPr>
                <w:rFonts w:ascii="Arial" w:hAnsi="Arial" w:cs="Arial"/>
                <w:sz w:val="16"/>
                <w:szCs w:val="16"/>
              </w:rPr>
              <w:t>26</w:t>
            </w:r>
          </w:p>
        </w:tc>
        <w:tc>
          <w:tcPr>
            <w:tcW w:w="528" w:type="pct"/>
            <w:tcBorders>
              <w:top w:val="single" w:sz="4" w:space="0" w:color="293F5B"/>
              <w:left w:val="nil"/>
              <w:bottom w:val="nil"/>
              <w:right w:val="nil"/>
            </w:tcBorders>
            <w:shd w:val="clear" w:color="auto" w:fill="auto"/>
            <w:vAlign w:val="center"/>
            <w:hideMark/>
          </w:tcPr>
          <w:p w14:paraId="2E5BBF8C" w14:textId="4E8283AE"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2026</w:t>
            </w:r>
            <w:r w:rsidR="006D727E" w:rsidRPr="00673C1F">
              <w:rPr>
                <w:rFonts w:ascii="Arial" w:hAnsi="Arial" w:cs="Arial"/>
                <w:sz w:val="16"/>
                <w:szCs w:val="16"/>
              </w:rPr>
              <w:noBreakHyphen/>
            </w:r>
            <w:r w:rsidRPr="00673C1F">
              <w:rPr>
                <w:rFonts w:ascii="Arial" w:hAnsi="Arial" w:cs="Arial"/>
                <w:sz w:val="16"/>
                <w:szCs w:val="16"/>
              </w:rPr>
              <w:t>27</w:t>
            </w:r>
          </w:p>
        </w:tc>
        <w:tc>
          <w:tcPr>
            <w:tcW w:w="528" w:type="pct"/>
            <w:tcBorders>
              <w:top w:val="single" w:sz="4" w:space="0" w:color="293F5B"/>
              <w:left w:val="nil"/>
              <w:bottom w:val="nil"/>
              <w:right w:val="nil"/>
            </w:tcBorders>
            <w:shd w:val="clear" w:color="auto" w:fill="auto"/>
            <w:vAlign w:val="center"/>
            <w:hideMark/>
          </w:tcPr>
          <w:p w14:paraId="10D02917" w14:textId="7B687A34"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2027</w:t>
            </w:r>
            <w:r w:rsidR="006D727E" w:rsidRPr="00673C1F">
              <w:rPr>
                <w:rFonts w:ascii="Arial" w:hAnsi="Arial" w:cs="Arial"/>
                <w:sz w:val="16"/>
                <w:szCs w:val="16"/>
              </w:rPr>
              <w:noBreakHyphen/>
            </w:r>
            <w:r w:rsidRPr="00673C1F">
              <w:rPr>
                <w:rFonts w:ascii="Arial" w:hAnsi="Arial" w:cs="Arial"/>
                <w:sz w:val="16"/>
                <w:szCs w:val="16"/>
              </w:rPr>
              <w:t>28</w:t>
            </w:r>
          </w:p>
        </w:tc>
      </w:tr>
      <w:tr w:rsidR="0049067D" w:rsidRPr="00BD68BD" w14:paraId="18ACE077" w14:textId="77777777" w:rsidTr="0084044A">
        <w:trPr>
          <w:trHeight w:hRule="exact" w:val="225"/>
        </w:trPr>
        <w:tc>
          <w:tcPr>
            <w:tcW w:w="1667" w:type="pct"/>
            <w:tcBorders>
              <w:top w:val="nil"/>
              <w:left w:val="nil"/>
              <w:bottom w:val="nil"/>
              <w:right w:val="nil"/>
            </w:tcBorders>
            <w:shd w:val="clear" w:color="000000" w:fill="FFFFFF"/>
            <w:noWrap/>
            <w:vAlign w:val="center"/>
            <w:hideMark/>
          </w:tcPr>
          <w:p w14:paraId="5059C6BD" w14:textId="77777777" w:rsidR="0049067D" w:rsidRPr="00673C1F" w:rsidRDefault="0049067D" w:rsidP="0049067D">
            <w:pPr>
              <w:spacing w:before="0" w:after="0" w:line="240" w:lineRule="auto"/>
              <w:rPr>
                <w:rFonts w:ascii="Arial" w:hAnsi="Arial" w:cs="Arial"/>
                <w:sz w:val="16"/>
                <w:szCs w:val="16"/>
              </w:rPr>
            </w:pPr>
            <w:r w:rsidRPr="00673C1F">
              <w:rPr>
                <w:rFonts w:ascii="Arial" w:hAnsi="Arial" w:cs="Arial"/>
                <w:sz w:val="16"/>
                <w:szCs w:val="16"/>
              </w:rPr>
              <w:t> </w:t>
            </w:r>
          </w:p>
        </w:tc>
        <w:tc>
          <w:tcPr>
            <w:tcW w:w="528" w:type="pct"/>
            <w:tcBorders>
              <w:top w:val="nil"/>
              <w:left w:val="nil"/>
              <w:bottom w:val="single" w:sz="4" w:space="0" w:color="000000"/>
              <w:right w:val="nil"/>
            </w:tcBorders>
            <w:shd w:val="clear" w:color="000000" w:fill="FFFFFF"/>
            <w:noWrap/>
            <w:vAlign w:val="center"/>
            <w:hideMark/>
          </w:tcPr>
          <w:p w14:paraId="1F2A128F"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$b </w:t>
            </w:r>
          </w:p>
        </w:tc>
        <w:tc>
          <w:tcPr>
            <w:tcW w:w="166" w:type="pct"/>
            <w:tcBorders>
              <w:top w:val="nil"/>
              <w:left w:val="nil"/>
              <w:bottom w:val="nil"/>
              <w:right w:val="nil"/>
            </w:tcBorders>
            <w:shd w:val="clear" w:color="000000" w:fill="FFFFFF"/>
            <w:noWrap/>
            <w:vAlign w:val="center"/>
            <w:hideMark/>
          </w:tcPr>
          <w:p w14:paraId="2C16BFE2"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 </w:t>
            </w:r>
          </w:p>
        </w:tc>
        <w:tc>
          <w:tcPr>
            <w:tcW w:w="528" w:type="pct"/>
            <w:tcBorders>
              <w:top w:val="nil"/>
              <w:left w:val="nil"/>
              <w:bottom w:val="single" w:sz="4" w:space="0" w:color="000000"/>
              <w:right w:val="nil"/>
            </w:tcBorders>
            <w:shd w:val="clear" w:color="000000" w:fill="FFFFFF"/>
            <w:noWrap/>
            <w:vAlign w:val="center"/>
            <w:hideMark/>
          </w:tcPr>
          <w:p w14:paraId="7FCC02F6"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$b </w:t>
            </w:r>
          </w:p>
        </w:tc>
        <w:tc>
          <w:tcPr>
            <w:tcW w:w="528" w:type="pct"/>
            <w:tcBorders>
              <w:top w:val="nil"/>
              <w:left w:val="nil"/>
              <w:bottom w:val="single" w:sz="4" w:space="0" w:color="000000"/>
              <w:right w:val="nil"/>
            </w:tcBorders>
            <w:shd w:val="clear" w:color="000000" w:fill="E6F2FF"/>
            <w:noWrap/>
            <w:vAlign w:val="center"/>
            <w:hideMark/>
          </w:tcPr>
          <w:p w14:paraId="509A8A9B"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$b </w:t>
            </w:r>
          </w:p>
        </w:tc>
        <w:tc>
          <w:tcPr>
            <w:tcW w:w="528" w:type="pct"/>
            <w:tcBorders>
              <w:top w:val="nil"/>
              <w:left w:val="nil"/>
              <w:bottom w:val="single" w:sz="4" w:space="0" w:color="000000"/>
              <w:right w:val="nil"/>
            </w:tcBorders>
            <w:shd w:val="clear" w:color="000000" w:fill="FFFFFF"/>
            <w:noWrap/>
            <w:vAlign w:val="center"/>
            <w:hideMark/>
          </w:tcPr>
          <w:p w14:paraId="53C4443C"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$b </w:t>
            </w:r>
          </w:p>
        </w:tc>
        <w:tc>
          <w:tcPr>
            <w:tcW w:w="528" w:type="pct"/>
            <w:tcBorders>
              <w:top w:val="nil"/>
              <w:left w:val="nil"/>
              <w:bottom w:val="single" w:sz="4" w:space="0" w:color="auto"/>
              <w:right w:val="nil"/>
            </w:tcBorders>
            <w:shd w:val="clear" w:color="000000" w:fill="FFFFFF"/>
            <w:noWrap/>
            <w:vAlign w:val="center"/>
            <w:hideMark/>
          </w:tcPr>
          <w:p w14:paraId="2B7A892A"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$b </w:t>
            </w:r>
          </w:p>
        </w:tc>
        <w:tc>
          <w:tcPr>
            <w:tcW w:w="528" w:type="pct"/>
            <w:tcBorders>
              <w:top w:val="nil"/>
              <w:left w:val="nil"/>
              <w:bottom w:val="single" w:sz="4" w:space="0" w:color="auto"/>
              <w:right w:val="nil"/>
            </w:tcBorders>
            <w:shd w:val="clear" w:color="000000" w:fill="FFFFFF"/>
            <w:noWrap/>
            <w:vAlign w:val="center"/>
            <w:hideMark/>
          </w:tcPr>
          <w:p w14:paraId="16ECE228"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$b </w:t>
            </w:r>
          </w:p>
        </w:tc>
      </w:tr>
      <w:tr w:rsidR="0049067D" w:rsidRPr="00BD68BD" w14:paraId="25270339" w14:textId="77777777" w:rsidTr="0084044A">
        <w:trPr>
          <w:trHeight w:hRule="exact" w:val="225"/>
        </w:trPr>
        <w:tc>
          <w:tcPr>
            <w:tcW w:w="1667" w:type="pct"/>
            <w:tcBorders>
              <w:top w:val="nil"/>
              <w:left w:val="nil"/>
              <w:bottom w:val="nil"/>
              <w:right w:val="nil"/>
            </w:tcBorders>
            <w:shd w:val="clear" w:color="000000" w:fill="FFFFFF"/>
            <w:noWrap/>
            <w:vAlign w:val="center"/>
            <w:hideMark/>
          </w:tcPr>
          <w:p w14:paraId="3B2BF718" w14:textId="77777777" w:rsidR="0049067D" w:rsidRPr="00673C1F" w:rsidRDefault="0049067D" w:rsidP="0049067D">
            <w:pPr>
              <w:spacing w:before="0" w:after="0" w:line="240" w:lineRule="auto"/>
              <w:rPr>
                <w:rFonts w:ascii="Arial" w:hAnsi="Arial" w:cs="Arial"/>
                <w:b/>
                <w:sz w:val="16"/>
                <w:szCs w:val="16"/>
              </w:rPr>
            </w:pPr>
            <w:r w:rsidRPr="00673C1F">
              <w:rPr>
                <w:rFonts w:ascii="Arial" w:hAnsi="Arial" w:cs="Arial"/>
                <w:b/>
                <w:sz w:val="16"/>
                <w:szCs w:val="16"/>
              </w:rPr>
              <w:t>Total taxation receipts ($b)</w:t>
            </w:r>
            <w:r w:rsidRPr="00673C1F">
              <w:rPr>
                <w:rFonts w:ascii="Arial" w:hAnsi="Arial" w:cs="Arial"/>
                <w:sz w:val="16"/>
                <w:szCs w:val="16"/>
              </w:rPr>
              <w:t> </w:t>
            </w:r>
          </w:p>
        </w:tc>
        <w:tc>
          <w:tcPr>
            <w:tcW w:w="528" w:type="pct"/>
            <w:tcBorders>
              <w:top w:val="nil"/>
              <w:left w:val="nil"/>
              <w:bottom w:val="nil"/>
              <w:right w:val="nil"/>
            </w:tcBorders>
            <w:shd w:val="clear" w:color="000000" w:fill="FFFFFF"/>
            <w:noWrap/>
            <w:vAlign w:val="bottom"/>
            <w:hideMark/>
          </w:tcPr>
          <w:p w14:paraId="20B32099" w14:textId="77777777" w:rsidR="0049067D" w:rsidRPr="00673C1F" w:rsidRDefault="0049067D" w:rsidP="0049067D">
            <w:pPr>
              <w:spacing w:before="0" w:after="0" w:line="240" w:lineRule="auto"/>
              <w:jc w:val="right"/>
              <w:rPr>
                <w:rFonts w:ascii="Arial" w:hAnsi="Arial" w:cs="Arial"/>
                <w:b/>
                <w:sz w:val="16"/>
                <w:szCs w:val="16"/>
              </w:rPr>
            </w:pPr>
            <w:r w:rsidRPr="00673C1F">
              <w:rPr>
                <w:rFonts w:ascii="Arial" w:hAnsi="Arial" w:cs="Arial"/>
                <w:b/>
                <w:sz w:val="16"/>
                <w:szCs w:val="16"/>
              </w:rPr>
              <w:t>601.3</w:t>
            </w:r>
          </w:p>
        </w:tc>
        <w:tc>
          <w:tcPr>
            <w:tcW w:w="166" w:type="pct"/>
            <w:tcBorders>
              <w:top w:val="nil"/>
              <w:left w:val="nil"/>
              <w:bottom w:val="nil"/>
              <w:right w:val="nil"/>
            </w:tcBorders>
            <w:shd w:val="clear" w:color="000000" w:fill="FFFFFF"/>
            <w:noWrap/>
            <w:vAlign w:val="center"/>
            <w:hideMark/>
          </w:tcPr>
          <w:p w14:paraId="12F64EFF"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 </w:t>
            </w:r>
          </w:p>
        </w:tc>
        <w:tc>
          <w:tcPr>
            <w:tcW w:w="528" w:type="pct"/>
            <w:tcBorders>
              <w:top w:val="nil"/>
              <w:left w:val="nil"/>
              <w:bottom w:val="nil"/>
              <w:right w:val="nil"/>
            </w:tcBorders>
            <w:shd w:val="clear" w:color="000000" w:fill="FFFFFF"/>
            <w:noWrap/>
            <w:vAlign w:val="bottom"/>
            <w:hideMark/>
          </w:tcPr>
          <w:p w14:paraId="0E415612" w14:textId="77777777" w:rsidR="0049067D" w:rsidRPr="00673C1F" w:rsidRDefault="0049067D" w:rsidP="0049067D">
            <w:pPr>
              <w:spacing w:before="0" w:after="0" w:line="240" w:lineRule="auto"/>
              <w:jc w:val="right"/>
              <w:rPr>
                <w:rFonts w:ascii="Arial" w:hAnsi="Arial" w:cs="Arial"/>
                <w:b/>
                <w:sz w:val="16"/>
                <w:szCs w:val="16"/>
              </w:rPr>
            </w:pPr>
            <w:r w:rsidRPr="00673C1F">
              <w:rPr>
                <w:rFonts w:ascii="Arial" w:hAnsi="Arial" w:cs="Arial"/>
                <w:b/>
                <w:sz w:val="16"/>
                <w:szCs w:val="16"/>
              </w:rPr>
              <w:t>638.8</w:t>
            </w:r>
          </w:p>
        </w:tc>
        <w:tc>
          <w:tcPr>
            <w:tcW w:w="528" w:type="pct"/>
            <w:tcBorders>
              <w:top w:val="nil"/>
              <w:left w:val="nil"/>
              <w:bottom w:val="nil"/>
              <w:right w:val="nil"/>
            </w:tcBorders>
            <w:shd w:val="clear" w:color="000000" w:fill="E6F2FF"/>
            <w:noWrap/>
            <w:vAlign w:val="bottom"/>
            <w:hideMark/>
          </w:tcPr>
          <w:p w14:paraId="7B8FA450" w14:textId="77777777" w:rsidR="0049067D" w:rsidRPr="00673C1F" w:rsidRDefault="0049067D" w:rsidP="0049067D">
            <w:pPr>
              <w:spacing w:before="0" w:after="0" w:line="240" w:lineRule="auto"/>
              <w:jc w:val="right"/>
              <w:rPr>
                <w:rFonts w:ascii="Arial" w:hAnsi="Arial" w:cs="Arial"/>
                <w:b/>
                <w:sz w:val="16"/>
                <w:szCs w:val="16"/>
              </w:rPr>
            </w:pPr>
            <w:r w:rsidRPr="00673C1F">
              <w:rPr>
                <w:rFonts w:ascii="Arial" w:hAnsi="Arial" w:cs="Arial"/>
                <w:b/>
                <w:sz w:val="16"/>
                <w:szCs w:val="16"/>
              </w:rPr>
              <w:t>642.5</w:t>
            </w:r>
          </w:p>
        </w:tc>
        <w:tc>
          <w:tcPr>
            <w:tcW w:w="528" w:type="pct"/>
            <w:tcBorders>
              <w:top w:val="nil"/>
              <w:left w:val="nil"/>
              <w:bottom w:val="nil"/>
              <w:right w:val="nil"/>
            </w:tcBorders>
            <w:shd w:val="clear" w:color="000000" w:fill="FFFFFF"/>
            <w:noWrap/>
            <w:vAlign w:val="bottom"/>
            <w:hideMark/>
          </w:tcPr>
          <w:p w14:paraId="509F7E9B" w14:textId="77777777" w:rsidR="0049067D" w:rsidRPr="00673C1F" w:rsidRDefault="0049067D" w:rsidP="0049067D">
            <w:pPr>
              <w:spacing w:before="0" w:after="0" w:line="240" w:lineRule="auto"/>
              <w:jc w:val="right"/>
              <w:rPr>
                <w:rFonts w:ascii="Arial" w:hAnsi="Arial" w:cs="Arial"/>
                <w:b/>
                <w:sz w:val="16"/>
                <w:szCs w:val="16"/>
              </w:rPr>
            </w:pPr>
            <w:r w:rsidRPr="00673C1F">
              <w:rPr>
                <w:rFonts w:ascii="Arial" w:hAnsi="Arial" w:cs="Arial"/>
                <w:b/>
                <w:sz w:val="16"/>
                <w:szCs w:val="16"/>
              </w:rPr>
              <w:t>661.6</w:t>
            </w:r>
          </w:p>
        </w:tc>
        <w:tc>
          <w:tcPr>
            <w:tcW w:w="528" w:type="pct"/>
            <w:tcBorders>
              <w:top w:val="nil"/>
              <w:left w:val="nil"/>
              <w:bottom w:val="nil"/>
              <w:right w:val="nil"/>
            </w:tcBorders>
            <w:shd w:val="clear" w:color="000000" w:fill="FFFFFF"/>
            <w:noWrap/>
            <w:vAlign w:val="bottom"/>
            <w:hideMark/>
          </w:tcPr>
          <w:p w14:paraId="11C8EFBB" w14:textId="77777777" w:rsidR="0049067D" w:rsidRPr="00673C1F" w:rsidRDefault="0049067D" w:rsidP="0049067D">
            <w:pPr>
              <w:spacing w:before="0" w:after="0" w:line="240" w:lineRule="auto"/>
              <w:jc w:val="right"/>
              <w:rPr>
                <w:rFonts w:ascii="Arial" w:hAnsi="Arial" w:cs="Arial"/>
                <w:b/>
                <w:sz w:val="16"/>
                <w:szCs w:val="16"/>
              </w:rPr>
            </w:pPr>
            <w:r w:rsidRPr="00673C1F">
              <w:rPr>
                <w:rFonts w:ascii="Arial" w:hAnsi="Arial" w:cs="Arial"/>
                <w:b/>
                <w:sz w:val="16"/>
                <w:szCs w:val="16"/>
              </w:rPr>
              <w:t>702.3</w:t>
            </w:r>
          </w:p>
        </w:tc>
        <w:tc>
          <w:tcPr>
            <w:tcW w:w="528" w:type="pct"/>
            <w:tcBorders>
              <w:top w:val="nil"/>
              <w:left w:val="nil"/>
              <w:bottom w:val="nil"/>
              <w:right w:val="nil"/>
            </w:tcBorders>
            <w:shd w:val="clear" w:color="000000" w:fill="FFFFFF"/>
            <w:noWrap/>
            <w:vAlign w:val="bottom"/>
            <w:hideMark/>
          </w:tcPr>
          <w:p w14:paraId="64A1903B" w14:textId="77777777" w:rsidR="0049067D" w:rsidRPr="00673C1F" w:rsidRDefault="0049067D" w:rsidP="0049067D">
            <w:pPr>
              <w:spacing w:before="0" w:after="0" w:line="240" w:lineRule="auto"/>
              <w:jc w:val="right"/>
              <w:rPr>
                <w:rFonts w:ascii="Arial" w:hAnsi="Arial" w:cs="Arial"/>
                <w:b/>
                <w:sz w:val="16"/>
                <w:szCs w:val="16"/>
              </w:rPr>
            </w:pPr>
            <w:r w:rsidRPr="00673C1F">
              <w:rPr>
                <w:rFonts w:ascii="Arial" w:hAnsi="Arial" w:cs="Arial"/>
                <w:b/>
                <w:sz w:val="16"/>
                <w:szCs w:val="16"/>
              </w:rPr>
              <w:t>742.3</w:t>
            </w:r>
          </w:p>
        </w:tc>
      </w:tr>
      <w:tr w:rsidR="0049067D" w:rsidRPr="00BD68BD" w14:paraId="37C607F5" w14:textId="77777777" w:rsidTr="0084044A">
        <w:trPr>
          <w:trHeight w:hRule="exact" w:val="225"/>
        </w:trPr>
        <w:tc>
          <w:tcPr>
            <w:tcW w:w="1667" w:type="pct"/>
            <w:tcBorders>
              <w:top w:val="nil"/>
              <w:left w:val="nil"/>
              <w:bottom w:val="nil"/>
              <w:right w:val="nil"/>
            </w:tcBorders>
            <w:shd w:val="clear" w:color="000000" w:fill="FFFFFF"/>
            <w:noWrap/>
            <w:vAlign w:val="center"/>
            <w:hideMark/>
          </w:tcPr>
          <w:p w14:paraId="64B368BD" w14:textId="77777777" w:rsidR="0049067D" w:rsidRPr="00673C1F" w:rsidRDefault="0049067D" w:rsidP="0049067D">
            <w:pPr>
              <w:spacing w:before="0" w:after="0" w:line="240" w:lineRule="auto"/>
              <w:rPr>
                <w:rFonts w:ascii="Arial" w:hAnsi="Arial" w:cs="Arial"/>
                <w:sz w:val="16"/>
                <w:szCs w:val="16"/>
              </w:rPr>
            </w:pPr>
            <w:r w:rsidRPr="00673C1F">
              <w:rPr>
                <w:rFonts w:ascii="Arial" w:hAnsi="Arial" w:cs="Arial"/>
                <w:sz w:val="16"/>
                <w:szCs w:val="16"/>
              </w:rPr>
              <w:t>Growth on previous year (%) </w:t>
            </w:r>
          </w:p>
        </w:tc>
        <w:tc>
          <w:tcPr>
            <w:tcW w:w="528" w:type="pct"/>
            <w:tcBorders>
              <w:top w:val="nil"/>
              <w:left w:val="nil"/>
              <w:bottom w:val="nil"/>
              <w:right w:val="nil"/>
            </w:tcBorders>
            <w:shd w:val="clear" w:color="000000" w:fill="FFFFFF"/>
            <w:noWrap/>
            <w:vAlign w:val="bottom"/>
            <w:hideMark/>
          </w:tcPr>
          <w:p w14:paraId="51C5FBFE"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12.1</w:t>
            </w:r>
          </w:p>
        </w:tc>
        <w:tc>
          <w:tcPr>
            <w:tcW w:w="166" w:type="pct"/>
            <w:tcBorders>
              <w:top w:val="nil"/>
              <w:left w:val="nil"/>
              <w:bottom w:val="nil"/>
              <w:right w:val="nil"/>
            </w:tcBorders>
            <w:shd w:val="clear" w:color="000000" w:fill="FFFFFF"/>
            <w:noWrap/>
            <w:vAlign w:val="center"/>
            <w:hideMark/>
          </w:tcPr>
          <w:p w14:paraId="3361173E"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 </w:t>
            </w:r>
          </w:p>
        </w:tc>
        <w:tc>
          <w:tcPr>
            <w:tcW w:w="528" w:type="pct"/>
            <w:tcBorders>
              <w:top w:val="nil"/>
              <w:left w:val="nil"/>
              <w:bottom w:val="nil"/>
              <w:right w:val="nil"/>
            </w:tcBorders>
            <w:shd w:val="clear" w:color="000000" w:fill="FFFFFF"/>
            <w:noWrap/>
            <w:vAlign w:val="bottom"/>
            <w:hideMark/>
          </w:tcPr>
          <w:p w14:paraId="2EC56271"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6.2</w:t>
            </w:r>
          </w:p>
        </w:tc>
        <w:tc>
          <w:tcPr>
            <w:tcW w:w="528" w:type="pct"/>
            <w:tcBorders>
              <w:top w:val="nil"/>
              <w:left w:val="nil"/>
              <w:bottom w:val="nil"/>
              <w:right w:val="nil"/>
            </w:tcBorders>
            <w:shd w:val="clear" w:color="000000" w:fill="E6F2FF"/>
            <w:noWrap/>
            <w:vAlign w:val="bottom"/>
            <w:hideMark/>
          </w:tcPr>
          <w:p w14:paraId="655E5660"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0.6</w:t>
            </w:r>
          </w:p>
        </w:tc>
        <w:tc>
          <w:tcPr>
            <w:tcW w:w="528" w:type="pct"/>
            <w:tcBorders>
              <w:top w:val="nil"/>
              <w:left w:val="nil"/>
              <w:bottom w:val="nil"/>
              <w:right w:val="nil"/>
            </w:tcBorders>
            <w:shd w:val="clear" w:color="000000" w:fill="FFFFFF"/>
            <w:noWrap/>
            <w:vAlign w:val="bottom"/>
            <w:hideMark/>
          </w:tcPr>
          <w:p w14:paraId="6F248C18"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3.0</w:t>
            </w:r>
          </w:p>
        </w:tc>
        <w:tc>
          <w:tcPr>
            <w:tcW w:w="528" w:type="pct"/>
            <w:tcBorders>
              <w:top w:val="nil"/>
              <w:left w:val="nil"/>
              <w:bottom w:val="nil"/>
              <w:right w:val="nil"/>
            </w:tcBorders>
            <w:shd w:val="clear" w:color="000000" w:fill="FFFFFF"/>
            <w:noWrap/>
            <w:vAlign w:val="bottom"/>
            <w:hideMark/>
          </w:tcPr>
          <w:p w14:paraId="681F7226"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6.2</w:t>
            </w:r>
          </w:p>
        </w:tc>
        <w:tc>
          <w:tcPr>
            <w:tcW w:w="528" w:type="pct"/>
            <w:tcBorders>
              <w:top w:val="nil"/>
              <w:left w:val="nil"/>
              <w:bottom w:val="nil"/>
              <w:right w:val="nil"/>
            </w:tcBorders>
            <w:shd w:val="clear" w:color="000000" w:fill="FFFFFF"/>
            <w:noWrap/>
            <w:vAlign w:val="bottom"/>
            <w:hideMark/>
          </w:tcPr>
          <w:p w14:paraId="196AF858"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5.7</w:t>
            </w:r>
          </w:p>
        </w:tc>
      </w:tr>
      <w:tr w:rsidR="0049067D" w:rsidRPr="00BD68BD" w14:paraId="1270E8D4" w14:textId="77777777" w:rsidTr="0084044A">
        <w:trPr>
          <w:trHeight w:hRule="exact" w:val="225"/>
        </w:trPr>
        <w:tc>
          <w:tcPr>
            <w:tcW w:w="1667" w:type="pct"/>
            <w:tcBorders>
              <w:top w:val="nil"/>
              <w:left w:val="nil"/>
              <w:bottom w:val="nil"/>
              <w:right w:val="nil"/>
            </w:tcBorders>
            <w:shd w:val="clear" w:color="000000" w:fill="FFFFFF"/>
            <w:noWrap/>
            <w:vAlign w:val="center"/>
            <w:hideMark/>
          </w:tcPr>
          <w:p w14:paraId="432C207D" w14:textId="77777777" w:rsidR="0049067D" w:rsidRPr="00673C1F" w:rsidRDefault="0049067D" w:rsidP="0049067D">
            <w:pPr>
              <w:spacing w:before="0" w:after="0" w:line="240" w:lineRule="auto"/>
              <w:rPr>
                <w:rFonts w:ascii="Arial" w:hAnsi="Arial" w:cs="Arial"/>
                <w:sz w:val="16"/>
                <w:szCs w:val="16"/>
              </w:rPr>
            </w:pPr>
            <w:r w:rsidRPr="00673C1F">
              <w:rPr>
                <w:rFonts w:ascii="Arial" w:hAnsi="Arial" w:cs="Arial"/>
                <w:sz w:val="16"/>
                <w:szCs w:val="16"/>
              </w:rPr>
              <w:t>Per cent of GDP </w:t>
            </w:r>
          </w:p>
        </w:tc>
        <w:tc>
          <w:tcPr>
            <w:tcW w:w="528" w:type="pct"/>
            <w:tcBorders>
              <w:top w:val="nil"/>
              <w:left w:val="nil"/>
              <w:bottom w:val="nil"/>
              <w:right w:val="nil"/>
            </w:tcBorders>
            <w:shd w:val="clear" w:color="000000" w:fill="FFFFFF"/>
            <w:noWrap/>
            <w:vAlign w:val="bottom"/>
            <w:hideMark/>
          </w:tcPr>
          <w:p w14:paraId="0EE73720"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23.5</w:t>
            </w:r>
          </w:p>
        </w:tc>
        <w:tc>
          <w:tcPr>
            <w:tcW w:w="166" w:type="pct"/>
            <w:tcBorders>
              <w:top w:val="nil"/>
              <w:left w:val="nil"/>
              <w:bottom w:val="nil"/>
              <w:right w:val="nil"/>
            </w:tcBorders>
            <w:shd w:val="clear" w:color="000000" w:fill="FFFFFF"/>
            <w:noWrap/>
            <w:vAlign w:val="center"/>
            <w:hideMark/>
          </w:tcPr>
          <w:p w14:paraId="573A86B0"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 </w:t>
            </w:r>
          </w:p>
        </w:tc>
        <w:tc>
          <w:tcPr>
            <w:tcW w:w="528" w:type="pct"/>
            <w:tcBorders>
              <w:top w:val="nil"/>
              <w:left w:val="nil"/>
              <w:bottom w:val="nil"/>
              <w:right w:val="nil"/>
            </w:tcBorders>
            <w:shd w:val="clear" w:color="000000" w:fill="FFFFFF"/>
            <w:noWrap/>
            <w:vAlign w:val="bottom"/>
            <w:hideMark/>
          </w:tcPr>
          <w:p w14:paraId="7B4DF363"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23.8</w:t>
            </w:r>
          </w:p>
        </w:tc>
        <w:tc>
          <w:tcPr>
            <w:tcW w:w="528" w:type="pct"/>
            <w:tcBorders>
              <w:top w:val="nil"/>
              <w:left w:val="nil"/>
              <w:bottom w:val="nil"/>
              <w:right w:val="nil"/>
            </w:tcBorders>
            <w:shd w:val="clear" w:color="000000" w:fill="E6F2FF"/>
            <w:noWrap/>
            <w:vAlign w:val="bottom"/>
            <w:hideMark/>
          </w:tcPr>
          <w:p w14:paraId="787F1AEB"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23.3</w:t>
            </w:r>
          </w:p>
        </w:tc>
        <w:tc>
          <w:tcPr>
            <w:tcW w:w="528" w:type="pct"/>
            <w:tcBorders>
              <w:top w:val="nil"/>
              <w:left w:val="nil"/>
              <w:bottom w:val="nil"/>
              <w:right w:val="nil"/>
            </w:tcBorders>
            <w:shd w:val="clear" w:color="000000" w:fill="FFFFFF"/>
            <w:noWrap/>
            <w:vAlign w:val="bottom"/>
            <w:hideMark/>
          </w:tcPr>
          <w:p w14:paraId="3F38903F"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23.1</w:t>
            </w:r>
          </w:p>
        </w:tc>
        <w:tc>
          <w:tcPr>
            <w:tcW w:w="528" w:type="pct"/>
            <w:tcBorders>
              <w:top w:val="nil"/>
              <w:left w:val="nil"/>
              <w:bottom w:val="nil"/>
              <w:right w:val="nil"/>
            </w:tcBorders>
            <w:shd w:val="clear" w:color="000000" w:fill="FFFFFF"/>
            <w:noWrap/>
            <w:vAlign w:val="bottom"/>
            <w:hideMark/>
          </w:tcPr>
          <w:p w14:paraId="7802A9DC"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23.2</w:t>
            </w:r>
          </w:p>
        </w:tc>
        <w:tc>
          <w:tcPr>
            <w:tcW w:w="528" w:type="pct"/>
            <w:tcBorders>
              <w:top w:val="nil"/>
              <w:left w:val="nil"/>
              <w:bottom w:val="nil"/>
              <w:right w:val="nil"/>
            </w:tcBorders>
            <w:shd w:val="clear" w:color="000000" w:fill="FFFFFF"/>
            <w:noWrap/>
            <w:vAlign w:val="bottom"/>
            <w:hideMark/>
          </w:tcPr>
          <w:p w14:paraId="193B491F"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23.3</w:t>
            </w:r>
          </w:p>
        </w:tc>
      </w:tr>
      <w:tr w:rsidR="0049067D" w:rsidRPr="00BD68BD" w14:paraId="57D40852" w14:textId="77777777" w:rsidTr="0084044A">
        <w:trPr>
          <w:trHeight w:hRule="exact" w:val="60"/>
        </w:trPr>
        <w:tc>
          <w:tcPr>
            <w:tcW w:w="1667" w:type="pct"/>
            <w:tcBorders>
              <w:top w:val="nil"/>
              <w:left w:val="nil"/>
              <w:bottom w:val="nil"/>
              <w:right w:val="nil"/>
            </w:tcBorders>
            <w:shd w:val="clear" w:color="000000" w:fill="FFFFFF"/>
            <w:noWrap/>
            <w:vAlign w:val="center"/>
            <w:hideMark/>
          </w:tcPr>
          <w:p w14:paraId="10A0DA32" w14:textId="77777777" w:rsidR="0049067D" w:rsidRPr="00673C1F" w:rsidRDefault="0049067D" w:rsidP="0049067D">
            <w:pPr>
              <w:spacing w:before="0" w:after="0" w:line="240" w:lineRule="auto"/>
              <w:rPr>
                <w:rFonts w:ascii="Arial" w:hAnsi="Arial" w:cs="Arial"/>
                <w:sz w:val="16"/>
                <w:szCs w:val="16"/>
              </w:rPr>
            </w:pPr>
            <w:r w:rsidRPr="00673C1F">
              <w:rPr>
                <w:rFonts w:ascii="Arial" w:hAnsi="Arial" w:cs="Arial"/>
                <w:sz w:val="16"/>
                <w:szCs w:val="16"/>
              </w:rPr>
              <w:t> </w:t>
            </w:r>
          </w:p>
        </w:tc>
        <w:tc>
          <w:tcPr>
            <w:tcW w:w="528" w:type="pct"/>
            <w:tcBorders>
              <w:top w:val="nil"/>
              <w:left w:val="nil"/>
              <w:bottom w:val="nil"/>
              <w:right w:val="nil"/>
            </w:tcBorders>
            <w:shd w:val="clear" w:color="000000" w:fill="FFFFFF"/>
            <w:noWrap/>
            <w:vAlign w:val="center"/>
            <w:hideMark/>
          </w:tcPr>
          <w:p w14:paraId="05DF6717"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  </w:t>
            </w:r>
          </w:p>
        </w:tc>
        <w:tc>
          <w:tcPr>
            <w:tcW w:w="166" w:type="pct"/>
            <w:tcBorders>
              <w:top w:val="nil"/>
              <w:left w:val="nil"/>
              <w:bottom w:val="nil"/>
              <w:right w:val="nil"/>
            </w:tcBorders>
            <w:shd w:val="clear" w:color="000000" w:fill="FFFFFF"/>
            <w:noWrap/>
            <w:vAlign w:val="center"/>
            <w:hideMark/>
          </w:tcPr>
          <w:p w14:paraId="6682964D"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 </w:t>
            </w:r>
          </w:p>
        </w:tc>
        <w:tc>
          <w:tcPr>
            <w:tcW w:w="528" w:type="pct"/>
            <w:tcBorders>
              <w:top w:val="nil"/>
              <w:left w:val="nil"/>
              <w:bottom w:val="nil"/>
              <w:right w:val="nil"/>
            </w:tcBorders>
            <w:shd w:val="clear" w:color="000000" w:fill="FFFFFF"/>
            <w:noWrap/>
            <w:vAlign w:val="center"/>
            <w:hideMark/>
          </w:tcPr>
          <w:p w14:paraId="3ACCE39C"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 </w:t>
            </w:r>
          </w:p>
        </w:tc>
        <w:tc>
          <w:tcPr>
            <w:tcW w:w="528" w:type="pct"/>
            <w:tcBorders>
              <w:top w:val="nil"/>
              <w:left w:val="nil"/>
              <w:bottom w:val="nil"/>
              <w:right w:val="nil"/>
            </w:tcBorders>
            <w:shd w:val="clear" w:color="000000" w:fill="E6F2FF"/>
            <w:noWrap/>
            <w:vAlign w:val="center"/>
            <w:hideMark/>
          </w:tcPr>
          <w:p w14:paraId="6144B721"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  </w:t>
            </w:r>
          </w:p>
        </w:tc>
        <w:tc>
          <w:tcPr>
            <w:tcW w:w="528" w:type="pct"/>
            <w:tcBorders>
              <w:top w:val="nil"/>
              <w:left w:val="nil"/>
              <w:bottom w:val="nil"/>
              <w:right w:val="nil"/>
            </w:tcBorders>
            <w:shd w:val="clear" w:color="000000" w:fill="FFFFFF"/>
            <w:noWrap/>
            <w:vAlign w:val="center"/>
            <w:hideMark/>
          </w:tcPr>
          <w:p w14:paraId="24325690"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 </w:t>
            </w:r>
          </w:p>
        </w:tc>
        <w:tc>
          <w:tcPr>
            <w:tcW w:w="528" w:type="pct"/>
            <w:tcBorders>
              <w:top w:val="nil"/>
              <w:left w:val="nil"/>
              <w:bottom w:val="nil"/>
              <w:right w:val="nil"/>
            </w:tcBorders>
            <w:shd w:val="clear" w:color="000000" w:fill="FFFFFF"/>
            <w:noWrap/>
            <w:vAlign w:val="center"/>
            <w:hideMark/>
          </w:tcPr>
          <w:p w14:paraId="3A2FA988"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 </w:t>
            </w:r>
          </w:p>
        </w:tc>
        <w:tc>
          <w:tcPr>
            <w:tcW w:w="528" w:type="pct"/>
            <w:tcBorders>
              <w:top w:val="nil"/>
              <w:left w:val="nil"/>
              <w:bottom w:val="nil"/>
              <w:right w:val="nil"/>
            </w:tcBorders>
            <w:shd w:val="clear" w:color="000000" w:fill="FFFFFF"/>
            <w:noWrap/>
            <w:vAlign w:val="center"/>
            <w:hideMark/>
          </w:tcPr>
          <w:p w14:paraId="51878A5E"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 </w:t>
            </w:r>
          </w:p>
        </w:tc>
      </w:tr>
      <w:tr w:rsidR="0049067D" w:rsidRPr="00BD68BD" w14:paraId="02392BC2" w14:textId="77777777" w:rsidTr="0084044A">
        <w:trPr>
          <w:trHeight w:hRule="exact" w:val="225"/>
        </w:trPr>
        <w:tc>
          <w:tcPr>
            <w:tcW w:w="1667" w:type="pct"/>
            <w:tcBorders>
              <w:top w:val="nil"/>
              <w:left w:val="nil"/>
              <w:bottom w:val="nil"/>
              <w:right w:val="nil"/>
            </w:tcBorders>
            <w:shd w:val="clear" w:color="000000" w:fill="FFFFFF"/>
            <w:noWrap/>
            <w:vAlign w:val="center"/>
            <w:hideMark/>
          </w:tcPr>
          <w:p w14:paraId="7C501943" w14:textId="77777777" w:rsidR="0049067D" w:rsidRPr="00673C1F" w:rsidRDefault="0049067D" w:rsidP="0049067D">
            <w:pPr>
              <w:spacing w:before="0" w:after="0" w:line="240" w:lineRule="auto"/>
              <w:rPr>
                <w:rFonts w:ascii="Arial" w:hAnsi="Arial" w:cs="Arial"/>
                <w:b/>
                <w:sz w:val="16"/>
                <w:szCs w:val="16"/>
              </w:rPr>
            </w:pPr>
            <w:r w:rsidRPr="00673C1F">
              <w:rPr>
                <w:rFonts w:ascii="Arial" w:hAnsi="Arial" w:cs="Arial"/>
                <w:b/>
                <w:sz w:val="16"/>
                <w:szCs w:val="16"/>
              </w:rPr>
              <w:t>Tax receipts excluding GST ($b)</w:t>
            </w:r>
            <w:r w:rsidRPr="00673C1F">
              <w:rPr>
                <w:rFonts w:ascii="Arial" w:hAnsi="Arial" w:cs="Arial"/>
                <w:sz w:val="16"/>
                <w:szCs w:val="16"/>
              </w:rPr>
              <w:t> </w:t>
            </w:r>
          </w:p>
        </w:tc>
        <w:tc>
          <w:tcPr>
            <w:tcW w:w="528" w:type="pct"/>
            <w:tcBorders>
              <w:top w:val="nil"/>
              <w:left w:val="nil"/>
              <w:bottom w:val="nil"/>
              <w:right w:val="nil"/>
            </w:tcBorders>
            <w:shd w:val="clear" w:color="000000" w:fill="FFFFFF"/>
            <w:noWrap/>
            <w:vAlign w:val="bottom"/>
            <w:hideMark/>
          </w:tcPr>
          <w:p w14:paraId="27E619A0" w14:textId="77777777" w:rsidR="0049067D" w:rsidRPr="00673C1F" w:rsidRDefault="0049067D" w:rsidP="0049067D">
            <w:pPr>
              <w:spacing w:before="0" w:after="0" w:line="240" w:lineRule="auto"/>
              <w:jc w:val="right"/>
              <w:rPr>
                <w:rFonts w:ascii="Arial" w:hAnsi="Arial" w:cs="Arial"/>
                <w:b/>
                <w:sz w:val="16"/>
                <w:szCs w:val="16"/>
              </w:rPr>
            </w:pPr>
            <w:r w:rsidRPr="00673C1F">
              <w:rPr>
                <w:rFonts w:ascii="Arial" w:hAnsi="Arial" w:cs="Arial"/>
                <w:b/>
                <w:sz w:val="16"/>
                <w:szCs w:val="16"/>
              </w:rPr>
              <w:t>520.0</w:t>
            </w:r>
          </w:p>
        </w:tc>
        <w:tc>
          <w:tcPr>
            <w:tcW w:w="166" w:type="pct"/>
            <w:tcBorders>
              <w:top w:val="nil"/>
              <w:left w:val="nil"/>
              <w:bottom w:val="nil"/>
              <w:right w:val="nil"/>
            </w:tcBorders>
            <w:shd w:val="clear" w:color="000000" w:fill="FFFFFF"/>
            <w:noWrap/>
            <w:vAlign w:val="center"/>
            <w:hideMark/>
          </w:tcPr>
          <w:p w14:paraId="4171D363"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 </w:t>
            </w:r>
          </w:p>
        </w:tc>
        <w:tc>
          <w:tcPr>
            <w:tcW w:w="528" w:type="pct"/>
            <w:tcBorders>
              <w:top w:val="nil"/>
              <w:left w:val="nil"/>
              <w:bottom w:val="nil"/>
              <w:right w:val="nil"/>
            </w:tcBorders>
            <w:shd w:val="clear" w:color="000000" w:fill="FFFFFF"/>
            <w:noWrap/>
            <w:vAlign w:val="bottom"/>
            <w:hideMark/>
          </w:tcPr>
          <w:p w14:paraId="46C742A6" w14:textId="77777777" w:rsidR="0049067D" w:rsidRPr="00673C1F" w:rsidRDefault="0049067D" w:rsidP="0049067D">
            <w:pPr>
              <w:spacing w:before="0" w:after="0" w:line="240" w:lineRule="auto"/>
              <w:jc w:val="right"/>
              <w:rPr>
                <w:rFonts w:ascii="Arial" w:hAnsi="Arial" w:cs="Arial"/>
                <w:b/>
                <w:sz w:val="16"/>
                <w:szCs w:val="16"/>
              </w:rPr>
            </w:pPr>
            <w:r w:rsidRPr="00673C1F">
              <w:rPr>
                <w:rFonts w:ascii="Arial" w:hAnsi="Arial" w:cs="Arial"/>
                <w:b/>
                <w:sz w:val="16"/>
                <w:szCs w:val="16"/>
              </w:rPr>
              <w:t>553.1</w:t>
            </w:r>
          </w:p>
        </w:tc>
        <w:tc>
          <w:tcPr>
            <w:tcW w:w="528" w:type="pct"/>
            <w:tcBorders>
              <w:top w:val="nil"/>
              <w:left w:val="nil"/>
              <w:bottom w:val="nil"/>
              <w:right w:val="nil"/>
            </w:tcBorders>
            <w:shd w:val="clear" w:color="000000" w:fill="E6F2FF"/>
            <w:noWrap/>
            <w:vAlign w:val="bottom"/>
            <w:hideMark/>
          </w:tcPr>
          <w:p w14:paraId="6554B14B" w14:textId="77777777" w:rsidR="0049067D" w:rsidRPr="00673C1F" w:rsidRDefault="0049067D" w:rsidP="0049067D">
            <w:pPr>
              <w:spacing w:before="0" w:after="0" w:line="240" w:lineRule="auto"/>
              <w:jc w:val="right"/>
              <w:rPr>
                <w:rFonts w:ascii="Arial" w:hAnsi="Arial" w:cs="Arial"/>
                <w:b/>
                <w:sz w:val="16"/>
                <w:szCs w:val="16"/>
              </w:rPr>
            </w:pPr>
            <w:r w:rsidRPr="00673C1F">
              <w:rPr>
                <w:rFonts w:ascii="Arial" w:hAnsi="Arial" w:cs="Arial"/>
                <w:b/>
                <w:sz w:val="16"/>
                <w:szCs w:val="16"/>
              </w:rPr>
              <w:t>555.0</w:t>
            </w:r>
          </w:p>
        </w:tc>
        <w:tc>
          <w:tcPr>
            <w:tcW w:w="528" w:type="pct"/>
            <w:tcBorders>
              <w:top w:val="nil"/>
              <w:left w:val="nil"/>
              <w:bottom w:val="nil"/>
              <w:right w:val="nil"/>
            </w:tcBorders>
            <w:shd w:val="clear" w:color="000000" w:fill="FFFFFF"/>
            <w:noWrap/>
            <w:vAlign w:val="bottom"/>
            <w:hideMark/>
          </w:tcPr>
          <w:p w14:paraId="7D228606" w14:textId="77777777" w:rsidR="0049067D" w:rsidRPr="00673C1F" w:rsidRDefault="0049067D" w:rsidP="0049067D">
            <w:pPr>
              <w:spacing w:before="0" w:after="0" w:line="240" w:lineRule="auto"/>
              <w:jc w:val="right"/>
              <w:rPr>
                <w:rFonts w:ascii="Arial" w:hAnsi="Arial" w:cs="Arial"/>
                <w:b/>
                <w:sz w:val="16"/>
                <w:szCs w:val="16"/>
              </w:rPr>
            </w:pPr>
            <w:r w:rsidRPr="00673C1F">
              <w:rPr>
                <w:rFonts w:ascii="Arial" w:hAnsi="Arial" w:cs="Arial"/>
                <w:b/>
                <w:sz w:val="16"/>
                <w:szCs w:val="16"/>
              </w:rPr>
              <w:t>569.4</w:t>
            </w:r>
          </w:p>
        </w:tc>
        <w:tc>
          <w:tcPr>
            <w:tcW w:w="528" w:type="pct"/>
            <w:tcBorders>
              <w:top w:val="nil"/>
              <w:left w:val="nil"/>
              <w:bottom w:val="nil"/>
              <w:right w:val="nil"/>
            </w:tcBorders>
            <w:shd w:val="clear" w:color="000000" w:fill="FFFFFF"/>
            <w:noWrap/>
            <w:vAlign w:val="bottom"/>
            <w:hideMark/>
          </w:tcPr>
          <w:p w14:paraId="307C9715" w14:textId="77777777" w:rsidR="0049067D" w:rsidRPr="00673C1F" w:rsidRDefault="0049067D" w:rsidP="0049067D">
            <w:pPr>
              <w:spacing w:before="0" w:after="0" w:line="240" w:lineRule="auto"/>
              <w:jc w:val="right"/>
              <w:rPr>
                <w:rFonts w:ascii="Arial" w:hAnsi="Arial" w:cs="Arial"/>
                <w:b/>
                <w:sz w:val="16"/>
                <w:szCs w:val="16"/>
              </w:rPr>
            </w:pPr>
            <w:r w:rsidRPr="00673C1F">
              <w:rPr>
                <w:rFonts w:ascii="Arial" w:hAnsi="Arial" w:cs="Arial"/>
                <w:b/>
                <w:sz w:val="16"/>
                <w:szCs w:val="16"/>
              </w:rPr>
              <w:t>604.5</w:t>
            </w:r>
          </w:p>
        </w:tc>
        <w:tc>
          <w:tcPr>
            <w:tcW w:w="528" w:type="pct"/>
            <w:tcBorders>
              <w:top w:val="nil"/>
              <w:left w:val="nil"/>
              <w:bottom w:val="nil"/>
              <w:right w:val="nil"/>
            </w:tcBorders>
            <w:shd w:val="clear" w:color="000000" w:fill="FFFFFF"/>
            <w:noWrap/>
            <w:vAlign w:val="bottom"/>
            <w:hideMark/>
          </w:tcPr>
          <w:p w14:paraId="36BCC0B2" w14:textId="77777777" w:rsidR="0049067D" w:rsidRPr="00673C1F" w:rsidRDefault="0049067D" w:rsidP="0049067D">
            <w:pPr>
              <w:spacing w:before="0" w:after="0" w:line="240" w:lineRule="auto"/>
              <w:jc w:val="right"/>
              <w:rPr>
                <w:rFonts w:ascii="Arial" w:hAnsi="Arial" w:cs="Arial"/>
                <w:b/>
                <w:sz w:val="16"/>
                <w:szCs w:val="16"/>
              </w:rPr>
            </w:pPr>
            <w:r w:rsidRPr="00673C1F">
              <w:rPr>
                <w:rFonts w:ascii="Arial" w:hAnsi="Arial" w:cs="Arial"/>
                <w:b/>
                <w:sz w:val="16"/>
                <w:szCs w:val="16"/>
              </w:rPr>
              <w:t>639.0</w:t>
            </w:r>
          </w:p>
        </w:tc>
      </w:tr>
      <w:tr w:rsidR="0049067D" w:rsidRPr="00BD68BD" w14:paraId="6DE20D40" w14:textId="77777777" w:rsidTr="0084044A">
        <w:trPr>
          <w:trHeight w:hRule="exact" w:val="225"/>
        </w:trPr>
        <w:tc>
          <w:tcPr>
            <w:tcW w:w="1667" w:type="pct"/>
            <w:tcBorders>
              <w:top w:val="nil"/>
              <w:left w:val="nil"/>
              <w:bottom w:val="nil"/>
              <w:right w:val="nil"/>
            </w:tcBorders>
            <w:shd w:val="clear" w:color="000000" w:fill="FFFFFF"/>
            <w:noWrap/>
            <w:vAlign w:val="center"/>
            <w:hideMark/>
          </w:tcPr>
          <w:p w14:paraId="665062B4" w14:textId="77777777" w:rsidR="0049067D" w:rsidRPr="00673C1F" w:rsidRDefault="0049067D" w:rsidP="0049067D">
            <w:pPr>
              <w:spacing w:before="0" w:after="0" w:line="240" w:lineRule="auto"/>
              <w:rPr>
                <w:rFonts w:ascii="Arial" w:hAnsi="Arial" w:cs="Arial"/>
                <w:sz w:val="16"/>
                <w:szCs w:val="16"/>
              </w:rPr>
            </w:pPr>
            <w:r w:rsidRPr="00673C1F">
              <w:rPr>
                <w:rFonts w:ascii="Arial" w:hAnsi="Arial" w:cs="Arial"/>
                <w:sz w:val="16"/>
                <w:szCs w:val="16"/>
              </w:rPr>
              <w:t>Growth on previous year (%) </w:t>
            </w:r>
          </w:p>
        </w:tc>
        <w:tc>
          <w:tcPr>
            <w:tcW w:w="528" w:type="pct"/>
            <w:tcBorders>
              <w:top w:val="nil"/>
              <w:left w:val="nil"/>
              <w:bottom w:val="nil"/>
              <w:right w:val="nil"/>
            </w:tcBorders>
            <w:shd w:val="clear" w:color="000000" w:fill="FFFFFF"/>
            <w:noWrap/>
            <w:vAlign w:val="bottom"/>
            <w:hideMark/>
          </w:tcPr>
          <w:p w14:paraId="34E77A32"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12.3</w:t>
            </w:r>
          </w:p>
        </w:tc>
        <w:tc>
          <w:tcPr>
            <w:tcW w:w="166" w:type="pct"/>
            <w:tcBorders>
              <w:top w:val="nil"/>
              <w:left w:val="nil"/>
              <w:bottom w:val="nil"/>
              <w:right w:val="nil"/>
            </w:tcBorders>
            <w:shd w:val="clear" w:color="000000" w:fill="FFFFFF"/>
            <w:noWrap/>
            <w:vAlign w:val="center"/>
            <w:hideMark/>
          </w:tcPr>
          <w:p w14:paraId="2F47A2BD"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 </w:t>
            </w:r>
          </w:p>
        </w:tc>
        <w:tc>
          <w:tcPr>
            <w:tcW w:w="528" w:type="pct"/>
            <w:tcBorders>
              <w:top w:val="nil"/>
              <w:left w:val="nil"/>
              <w:bottom w:val="nil"/>
              <w:right w:val="nil"/>
            </w:tcBorders>
            <w:shd w:val="clear" w:color="000000" w:fill="FFFFFF"/>
            <w:noWrap/>
            <w:vAlign w:val="bottom"/>
            <w:hideMark/>
          </w:tcPr>
          <w:p w14:paraId="6A3AE694"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6.4</w:t>
            </w:r>
          </w:p>
        </w:tc>
        <w:tc>
          <w:tcPr>
            <w:tcW w:w="528" w:type="pct"/>
            <w:tcBorders>
              <w:top w:val="nil"/>
              <w:left w:val="nil"/>
              <w:bottom w:val="nil"/>
              <w:right w:val="nil"/>
            </w:tcBorders>
            <w:shd w:val="clear" w:color="000000" w:fill="E6F2FF"/>
            <w:noWrap/>
            <w:vAlign w:val="bottom"/>
            <w:hideMark/>
          </w:tcPr>
          <w:p w14:paraId="70ACA543"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0.3</w:t>
            </w:r>
          </w:p>
        </w:tc>
        <w:tc>
          <w:tcPr>
            <w:tcW w:w="528" w:type="pct"/>
            <w:tcBorders>
              <w:top w:val="nil"/>
              <w:left w:val="nil"/>
              <w:bottom w:val="nil"/>
              <w:right w:val="nil"/>
            </w:tcBorders>
            <w:shd w:val="clear" w:color="000000" w:fill="FFFFFF"/>
            <w:noWrap/>
            <w:vAlign w:val="bottom"/>
            <w:hideMark/>
          </w:tcPr>
          <w:p w14:paraId="2A4CF1F4"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2.6</w:t>
            </w:r>
          </w:p>
        </w:tc>
        <w:tc>
          <w:tcPr>
            <w:tcW w:w="528" w:type="pct"/>
            <w:tcBorders>
              <w:top w:val="nil"/>
              <w:left w:val="nil"/>
              <w:bottom w:val="nil"/>
              <w:right w:val="nil"/>
            </w:tcBorders>
            <w:shd w:val="clear" w:color="000000" w:fill="FFFFFF"/>
            <w:noWrap/>
            <w:vAlign w:val="bottom"/>
            <w:hideMark/>
          </w:tcPr>
          <w:p w14:paraId="64EAE5CB"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6.2</w:t>
            </w:r>
          </w:p>
        </w:tc>
        <w:tc>
          <w:tcPr>
            <w:tcW w:w="528" w:type="pct"/>
            <w:tcBorders>
              <w:top w:val="nil"/>
              <w:left w:val="nil"/>
              <w:bottom w:val="nil"/>
              <w:right w:val="nil"/>
            </w:tcBorders>
            <w:shd w:val="clear" w:color="000000" w:fill="FFFFFF"/>
            <w:noWrap/>
            <w:vAlign w:val="bottom"/>
            <w:hideMark/>
          </w:tcPr>
          <w:p w14:paraId="227E99E1"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5.7</w:t>
            </w:r>
          </w:p>
        </w:tc>
      </w:tr>
      <w:tr w:rsidR="0049067D" w:rsidRPr="00BD68BD" w14:paraId="4F9B1241" w14:textId="77777777" w:rsidTr="0084044A">
        <w:trPr>
          <w:trHeight w:hRule="exact" w:val="225"/>
        </w:trPr>
        <w:tc>
          <w:tcPr>
            <w:tcW w:w="1667" w:type="pct"/>
            <w:tcBorders>
              <w:top w:val="nil"/>
              <w:left w:val="nil"/>
              <w:bottom w:val="nil"/>
              <w:right w:val="nil"/>
            </w:tcBorders>
            <w:shd w:val="clear" w:color="000000" w:fill="FFFFFF"/>
            <w:noWrap/>
            <w:vAlign w:val="center"/>
            <w:hideMark/>
          </w:tcPr>
          <w:p w14:paraId="14233927" w14:textId="77777777" w:rsidR="0049067D" w:rsidRPr="00673C1F" w:rsidRDefault="0049067D" w:rsidP="0049067D">
            <w:pPr>
              <w:spacing w:before="0" w:after="0" w:line="240" w:lineRule="auto"/>
              <w:rPr>
                <w:rFonts w:ascii="Arial" w:hAnsi="Arial" w:cs="Arial"/>
                <w:sz w:val="16"/>
                <w:szCs w:val="16"/>
              </w:rPr>
            </w:pPr>
            <w:r w:rsidRPr="00673C1F">
              <w:rPr>
                <w:rFonts w:ascii="Arial" w:hAnsi="Arial" w:cs="Arial"/>
                <w:sz w:val="16"/>
                <w:szCs w:val="16"/>
              </w:rPr>
              <w:t>Per cent of GDP </w:t>
            </w:r>
          </w:p>
        </w:tc>
        <w:tc>
          <w:tcPr>
            <w:tcW w:w="528" w:type="pct"/>
            <w:tcBorders>
              <w:top w:val="nil"/>
              <w:left w:val="nil"/>
              <w:bottom w:val="nil"/>
              <w:right w:val="nil"/>
            </w:tcBorders>
            <w:shd w:val="clear" w:color="000000" w:fill="FFFFFF"/>
            <w:noWrap/>
            <w:vAlign w:val="bottom"/>
            <w:hideMark/>
          </w:tcPr>
          <w:p w14:paraId="26544C09"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20.3</w:t>
            </w:r>
          </w:p>
        </w:tc>
        <w:tc>
          <w:tcPr>
            <w:tcW w:w="166" w:type="pct"/>
            <w:tcBorders>
              <w:top w:val="nil"/>
              <w:left w:val="nil"/>
              <w:bottom w:val="nil"/>
              <w:right w:val="nil"/>
            </w:tcBorders>
            <w:shd w:val="clear" w:color="000000" w:fill="FFFFFF"/>
            <w:noWrap/>
            <w:vAlign w:val="center"/>
            <w:hideMark/>
          </w:tcPr>
          <w:p w14:paraId="0AF5B7F6"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 </w:t>
            </w:r>
          </w:p>
        </w:tc>
        <w:tc>
          <w:tcPr>
            <w:tcW w:w="528" w:type="pct"/>
            <w:tcBorders>
              <w:top w:val="nil"/>
              <w:left w:val="nil"/>
              <w:bottom w:val="nil"/>
              <w:right w:val="nil"/>
            </w:tcBorders>
            <w:shd w:val="clear" w:color="000000" w:fill="FFFFFF"/>
            <w:noWrap/>
            <w:vAlign w:val="bottom"/>
            <w:hideMark/>
          </w:tcPr>
          <w:p w14:paraId="0F9EFECF"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20.6</w:t>
            </w:r>
          </w:p>
        </w:tc>
        <w:tc>
          <w:tcPr>
            <w:tcW w:w="528" w:type="pct"/>
            <w:tcBorders>
              <w:top w:val="nil"/>
              <w:left w:val="nil"/>
              <w:bottom w:val="nil"/>
              <w:right w:val="nil"/>
            </w:tcBorders>
            <w:shd w:val="clear" w:color="000000" w:fill="E6F2FF"/>
            <w:noWrap/>
            <w:vAlign w:val="bottom"/>
            <w:hideMark/>
          </w:tcPr>
          <w:p w14:paraId="61A205A4"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20.1</w:t>
            </w:r>
          </w:p>
        </w:tc>
        <w:tc>
          <w:tcPr>
            <w:tcW w:w="528" w:type="pct"/>
            <w:tcBorders>
              <w:top w:val="nil"/>
              <w:left w:val="nil"/>
              <w:bottom w:val="nil"/>
              <w:right w:val="nil"/>
            </w:tcBorders>
            <w:shd w:val="clear" w:color="000000" w:fill="FFFFFF"/>
            <w:noWrap/>
            <w:vAlign w:val="bottom"/>
            <w:hideMark/>
          </w:tcPr>
          <w:p w14:paraId="1FBF587F"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19.8</w:t>
            </w:r>
          </w:p>
        </w:tc>
        <w:tc>
          <w:tcPr>
            <w:tcW w:w="528" w:type="pct"/>
            <w:tcBorders>
              <w:top w:val="nil"/>
              <w:left w:val="nil"/>
              <w:bottom w:val="nil"/>
              <w:right w:val="nil"/>
            </w:tcBorders>
            <w:shd w:val="clear" w:color="000000" w:fill="FFFFFF"/>
            <w:noWrap/>
            <w:vAlign w:val="bottom"/>
            <w:hideMark/>
          </w:tcPr>
          <w:p w14:paraId="0AB2B38B"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20.0</w:t>
            </w:r>
          </w:p>
        </w:tc>
        <w:tc>
          <w:tcPr>
            <w:tcW w:w="528" w:type="pct"/>
            <w:tcBorders>
              <w:top w:val="nil"/>
              <w:left w:val="nil"/>
              <w:bottom w:val="nil"/>
              <w:right w:val="nil"/>
            </w:tcBorders>
            <w:shd w:val="clear" w:color="000000" w:fill="FFFFFF"/>
            <w:noWrap/>
            <w:vAlign w:val="bottom"/>
            <w:hideMark/>
          </w:tcPr>
          <w:p w14:paraId="049E7FD7"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20.1</w:t>
            </w:r>
          </w:p>
        </w:tc>
      </w:tr>
      <w:tr w:rsidR="0049067D" w:rsidRPr="00BD68BD" w14:paraId="37B60EBA" w14:textId="77777777" w:rsidTr="0084044A">
        <w:trPr>
          <w:trHeight w:hRule="exact" w:val="60"/>
        </w:trPr>
        <w:tc>
          <w:tcPr>
            <w:tcW w:w="1667" w:type="pct"/>
            <w:tcBorders>
              <w:top w:val="nil"/>
              <w:left w:val="nil"/>
              <w:bottom w:val="nil"/>
              <w:right w:val="nil"/>
            </w:tcBorders>
            <w:shd w:val="clear" w:color="000000" w:fill="FFFFFF"/>
            <w:noWrap/>
            <w:vAlign w:val="center"/>
            <w:hideMark/>
          </w:tcPr>
          <w:p w14:paraId="0B181578" w14:textId="77777777" w:rsidR="0049067D" w:rsidRPr="00673C1F" w:rsidRDefault="0049067D" w:rsidP="0049067D">
            <w:pPr>
              <w:spacing w:before="0" w:after="0" w:line="240" w:lineRule="auto"/>
              <w:rPr>
                <w:rFonts w:ascii="Arial" w:hAnsi="Arial" w:cs="Arial"/>
                <w:sz w:val="16"/>
                <w:szCs w:val="16"/>
              </w:rPr>
            </w:pPr>
            <w:r w:rsidRPr="00673C1F">
              <w:rPr>
                <w:rFonts w:ascii="Arial" w:hAnsi="Arial" w:cs="Arial"/>
                <w:sz w:val="16"/>
                <w:szCs w:val="16"/>
              </w:rPr>
              <w:t> </w:t>
            </w:r>
          </w:p>
        </w:tc>
        <w:tc>
          <w:tcPr>
            <w:tcW w:w="528" w:type="pct"/>
            <w:tcBorders>
              <w:top w:val="nil"/>
              <w:left w:val="nil"/>
              <w:bottom w:val="nil"/>
              <w:right w:val="nil"/>
            </w:tcBorders>
            <w:shd w:val="clear" w:color="000000" w:fill="FFFFFF"/>
            <w:noWrap/>
            <w:vAlign w:val="center"/>
            <w:hideMark/>
          </w:tcPr>
          <w:p w14:paraId="35FC4581"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 </w:t>
            </w:r>
          </w:p>
        </w:tc>
        <w:tc>
          <w:tcPr>
            <w:tcW w:w="166" w:type="pct"/>
            <w:tcBorders>
              <w:top w:val="nil"/>
              <w:left w:val="nil"/>
              <w:bottom w:val="nil"/>
              <w:right w:val="nil"/>
            </w:tcBorders>
            <w:shd w:val="clear" w:color="000000" w:fill="FFFFFF"/>
            <w:noWrap/>
            <w:vAlign w:val="center"/>
            <w:hideMark/>
          </w:tcPr>
          <w:p w14:paraId="2A034673"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 </w:t>
            </w:r>
          </w:p>
        </w:tc>
        <w:tc>
          <w:tcPr>
            <w:tcW w:w="528" w:type="pct"/>
            <w:tcBorders>
              <w:top w:val="nil"/>
              <w:left w:val="nil"/>
              <w:bottom w:val="nil"/>
              <w:right w:val="nil"/>
            </w:tcBorders>
            <w:shd w:val="clear" w:color="000000" w:fill="FFFFFF"/>
            <w:noWrap/>
            <w:vAlign w:val="center"/>
            <w:hideMark/>
          </w:tcPr>
          <w:p w14:paraId="5AB2626C"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 </w:t>
            </w:r>
          </w:p>
        </w:tc>
        <w:tc>
          <w:tcPr>
            <w:tcW w:w="528" w:type="pct"/>
            <w:tcBorders>
              <w:top w:val="nil"/>
              <w:left w:val="nil"/>
              <w:bottom w:val="nil"/>
              <w:right w:val="nil"/>
            </w:tcBorders>
            <w:shd w:val="clear" w:color="000000" w:fill="E6F2FF"/>
            <w:noWrap/>
            <w:vAlign w:val="center"/>
            <w:hideMark/>
          </w:tcPr>
          <w:p w14:paraId="0876AF5E"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 </w:t>
            </w:r>
          </w:p>
        </w:tc>
        <w:tc>
          <w:tcPr>
            <w:tcW w:w="528" w:type="pct"/>
            <w:tcBorders>
              <w:top w:val="nil"/>
              <w:left w:val="nil"/>
              <w:bottom w:val="nil"/>
              <w:right w:val="nil"/>
            </w:tcBorders>
            <w:shd w:val="clear" w:color="000000" w:fill="FFFFFF"/>
            <w:noWrap/>
            <w:vAlign w:val="center"/>
            <w:hideMark/>
          </w:tcPr>
          <w:p w14:paraId="4C324C5D"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 </w:t>
            </w:r>
          </w:p>
        </w:tc>
        <w:tc>
          <w:tcPr>
            <w:tcW w:w="528" w:type="pct"/>
            <w:tcBorders>
              <w:top w:val="nil"/>
              <w:left w:val="nil"/>
              <w:bottom w:val="nil"/>
              <w:right w:val="nil"/>
            </w:tcBorders>
            <w:shd w:val="clear" w:color="000000" w:fill="FFFFFF"/>
            <w:noWrap/>
            <w:vAlign w:val="center"/>
            <w:hideMark/>
          </w:tcPr>
          <w:p w14:paraId="40A873DC"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 </w:t>
            </w:r>
          </w:p>
        </w:tc>
        <w:tc>
          <w:tcPr>
            <w:tcW w:w="528" w:type="pct"/>
            <w:tcBorders>
              <w:top w:val="nil"/>
              <w:left w:val="nil"/>
              <w:bottom w:val="nil"/>
              <w:right w:val="nil"/>
            </w:tcBorders>
            <w:shd w:val="clear" w:color="000000" w:fill="FFFFFF"/>
            <w:noWrap/>
            <w:vAlign w:val="center"/>
            <w:hideMark/>
          </w:tcPr>
          <w:p w14:paraId="1971A43A"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 </w:t>
            </w:r>
          </w:p>
        </w:tc>
      </w:tr>
      <w:tr w:rsidR="0049067D" w:rsidRPr="00BD68BD" w14:paraId="2D529DE8" w14:textId="77777777" w:rsidTr="0084044A">
        <w:trPr>
          <w:trHeight w:hRule="exact" w:val="225"/>
        </w:trPr>
        <w:tc>
          <w:tcPr>
            <w:tcW w:w="1667" w:type="pct"/>
            <w:tcBorders>
              <w:top w:val="nil"/>
              <w:left w:val="nil"/>
              <w:bottom w:val="nil"/>
              <w:right w:val="nil"/>
            </w:tcBorders>
            <w:shd w:val="clear" w:color="000000" w:fill="FFFFFF"/>
            <w:noWrap/>
            <w:vAlign w:val="center"/>
            <w:hideMark/>
          </w:tcPr>
          <w:p w14:paraId="5E5FBE40" w14:textId="11EEA2E1" w:rsidR="0049067D" w:rsidRPr="00673C1F" w:rsidRDefault="0049067D" w:rsidP="0049067D">
            <w:pPr>
              <w:spacing w:before="0" w:after="0" w:line="240" w:lineRule="auto"/>
              <w:rPr>
                <w:rFonts w:ascii="Arial" w:hAnsi="Arial" w:cs="Arial"/>
                <w:b/>
                <w:sz w:val="16"/>
                <w:szCs w:val="16"/>
              </w:rPr>
            </w:pPr>
            <w:r w:rsidRPr="00673C1F">
              <w:rPr>
                <w:rFonts w:ascii="Arial" w:hAnsi="Arial" w:cs="Arial"/>
                <w:b/>
                <w:sz w:val="16"/>
                <w:szCs w:val="16"/>
              </w:rPr>
              <w:t>Non</w:t>
            </w:r>
            <w:r w:rsidR="006D727E" w:rsidRPr="00673C1F">
              <w:rPr>
                <w:rFonts w:ascii="Arial" w:hAnsi="Arial" w:cs="Arial"/>
                <w:b/>
                <w:sz w:val="16"/>
                <w:szCs w:val="16"/>
              </w:rPr>
              <w:noBreakHyphen/>
            </w:r>
            <w:r w:rsidRPr="00673C1F">
              <w:rPr>
                <w:rFonts w:ascii="Arial" w:hAnsi="Arial" w:cs="Arial"/>
                <w:b/>
                <w:sz w:val="16"/>
                <w:szCs w:val="16"/>
              </w:rPr>
              <w:t>taxation receipts ($b)</w:t>
            </w:r>
            <w:r w:rsidRPr="00673C1F">
              <w:rPr>
                <w:rFonts w:ascii="Arial" w:hAnsi="Arial" w:cs="Arial"/>
                <w:sz w:val="16"/>
                <w:szCs w:val="16"/>
              </w:rPr>
              <w:t> </w:t>
            </w:r>
          </w:p>
        </w:tc>
        <w:tc>
          <w:tcPr>
            <w:tcW w:w="528" w:type="pct"/>
            <w:tcBorders>
              <w:top w:val="nil"/>
              <w:left w:val="nil"/>
              <w:bottom w:val="nil"/>
              <w:right w:val="nil"/>
            </w:tcBorders>
            <w:shd w:val="clear" w:color="000000" w:fill="FFFFFF"/>
            <w:noWrap/>
            <w:vAlign w:val="bottom"/>
            <w:hideMark/>
          </w:tcPr>
          <w:p w14:paraId="1A127E6F" w14:textId="77777777" w:rsidR="0049067D" w:rsidRPr="00673C1F" w:rsidRDefault="0049067D" w:rsidP="0049067D">
            <w:pPr>
              <w:spacing w:before="0" w:after="0" w:line="240" w:lineRule="auto"/>
              <w:jc w:val="right"/>
              <w:rPr>
                <w:rFonts w:ascii="Arial" w:hAnsi="Arial" w:cs="Arial"/>
                <w:b/>
                <w:sz w:val="16"/>
                <w:szCs w:val="16"/>
              </w:rPr>
            </w:pPr>
            <w:r w:rsidRPr="00673C1F">
              <w:rPr>
                <w:rFonts w:ascii="Arial" w:hAnsi="Arial" w:cs="Arial"/>
                <w:b/>
                <w:sz w:val="16"/>
                <w:szCs w:val="16"/>
              </w:rPr>
              <w:t>48.2</w:t>
            </w:r>
          </w:p>
        </w:tc>
        <w:tc>
          <w:tcPr>
            <w:tcW w:w="166" w:type="pct"/>
            <w:tcBorders>
              <w:top w:val="nil"/>
              <w:left w:val="nil"/>
              <w:bottom w:val="nil"/>
              <w:right w:val="nil"/>
            </w:tcBorders>
            <w:shd w:val="clear" w:color="000000" w:fill="FFFFFF"/>
            <w:noWrap/>
            <w:vAlign w:val="center"/>
            <w:hideMark/>
          </w:tcPr>
          <w:p w14:paraId="5289325A"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 </w:t>
            </w:r>
          </w:p>
        </w:tc>
        <w:tc>
          <w:tcPr>
            <w:tcW w:w="528" w:type="pct"/>
            <w:tcBorders>
              <w:top w:val="nil"/>
              <w:left w:val="nil"/>
              <w:bottom w:val="nil"/>
              <w:right w:val="nil"/>
            </w:tcBorders>
            <w:shd w:val="clear" w:color="000000" w:fill="FFFFFF"/>
            <w:noWrap/>
            <w:vAlign w:val="bottom"/>
            <w:hideMark/>
          </w:tcPr>
          <w:p w14:paraId="745D9237" w14:textId="77777777" w:rsidR="0049067D" w:rsidRPr="00673C1F" w:rsidRDefault="0049067D" w:rsidP="0049067D">
            <w:pPr>
              <w:spacing w:before="0" w:after="0" w:line="240" w:lineRule="auto"/>
              <w:jc w:val="right"/>
              <w:rPr>
                <w:rFonts w:ascii="Arial" w:hAnsi="Arial" w:cs="Arial"/>
                <w:b/>
                <w:sz w:val="16"/>
                <w:szCs w:val="16"/>
              </w:rPr>
            </w:pPr>
            <w:r w:rsidRPr="00673C1F">
              <w:rPr>
                <w:rFonts w:ascii="Arial" w:hAnsi="Arial" w:cs="Arial"/>
                <w:b/>
                <w:sz w:val="16"/>
                <w:szCs w:val="16"/>
              </w:rPr>
              <w:t>53.6</w:t>
            </w:r>
          </w:p>
        </w:tc>
        <w:tc>
          <w:tcPr>
            <w:tcW w:w="528" w:type="pct"/>
            <w:tcBorders>
              <w:top w:val="nil"/>
              <w:left w:val="nil"/>
              <w:bottom w:val="nil"/>
              <w:right w:val="nil"/>
            </w:tcBorders>
            <w:shd w:val="clear" w:color="000000" w:fill="E6F2FF"/>
            <w:noWrap/>
            <w:vAlign w:val="bottom"/>
            <w:hideMark/>
          </w:tcPr>
          <w:p w14:paraId="44BF3AEC" w14:textId="77777777" w:rsidR="0049067D" w:rsidRPr="00673C1F" w:rsidRDefault="0049067D" w:rsidP="0049067D">
            <w:pPr>
              <w:spacing w:before="0" w:after="0" w:line="240" w:lineRule="auto"/>
              <w:jc w:val="right"/>
              <w:rPr>
                <w:rFonts w:ascii="Arial" w:hAnsi="Arial" w:cs="Arial"/>
                <w:b/>
                <w:sz w:val="16"/>
                <w:szCs w:val="16"/>
              </w:rPr>
            </w:pPr>
            <w:r w:rsidRPr="00673C1F">
              <w:rPr>
                <w:rFonts w:ascii="Arial" w:hAnsi="Arial" w:cs="Arial"/>
                <w:b/>
                <w:sz w:val="16"/>
                <w:szCs w:val="16"/>
              </w:rPr>
              <w:t>55.9</w:t>
            </w:r>
          </w:p>
        </w:tc>
        <w:tc>
          <w:tcPr>
            <w:tcW w:w="528" w:type="pct"/>
            <w:tcBorders>
              <w:top w:val="nil"/>
              <w:left w:val="nil"/>
              <w:bottom w:val="nil"/>
              <w:right w:val="nil"/>
            </w:tcBorders>
            <w:shd w:val="clear" w:color="000000" w:fill="FFFFFF"/>
            <w:noWrap/>
            <w:vAlign w:val="bottom"/>
            <w:hideMark/>
          </w:tcPr>
          <w:p w14:paraId="77443BC9" w14:textId="77777777" w:rsidR="0049067D" w:rsidRPr="00673C1F" w:rsidRDefault="0049067D" w:rsidP="0049067D">
            <w:pPr>
              <w:spacing w:before="0" w:after="0" w:line="240" w:lineRule="auto"/>
              <w:jc w:val="right"/>
              <w:rPr>
                <w:rFonts w:ascii="Arial" w:hAnsi="Arial" w:cs="Arial"/>
                <w:b/>
                <w:sz w:val="16"/>
                <w:szCs w:val="16"/>
              </w:rPr>
            </w:pPr>
            <w:r w:rsidRPr="00673C1F">
              <w:rPr>
                <w:rFonts w:ascii="Arial" w:hAnsi="Arial" w:cs="Arial"/>
                <w:b/>
                <w:sz w:val="16"/>
                <w:szCs w:val="16"/>
              </w:rPr>
              <w:t>57.8</w:t>
            </w:r>
          </w:p>
        </w:tc>
        <w:tc>
          <w:tcPr>
            <w:tcW w:w="528" w:type="pct"/>
            <w:tcBorders>
              <w:top w:val="nil"/>
              <w:left w:val="nil"/>
              <w:bottom w:val="nil"/>
              <w:right w:val="nil"/>
            </w:tcBorders>
            <w:shd w:val="clear" w:color="000000" w:fill="FFFFFF"/>
            <w:noWrap/>
            <w:vAlign w:val="bottom"/>
            <w:hideMark/>
          </w:tcPr>
          <w:p w14:paraId="0FB675E0" w14:textId="77777777" w:rsidR="0049067D" w:rsidRPr="00673C1F" w:rsidRDefault="0049067D" w:rsidP="0049067D">
            <w:pPr>
              <w:spacing w:before="0" w:after="0" w:line="240" w:lineRule="auto"/>
              <w:jc w:val="right"/>
              <w:rPr>
                <w:rFonts w:ascii="Arial" w:hAnsi="Arial" w:cs="Arial"/>
                <w:b/>
                <w:sz w:val="16"/>
                <w:szCs w:val="16"/>
              </w:rPr>
            </w:pPr>
            <w:r w:rsidRPr="00673C1F">
              <w:rPr>
                <w:rFonts w:ascii="Arial" w:hAnsi="Arial" w:cs="Arial"/>
                <w:b/>
                <w:sz w:val="16"/>
                <w:szCs w:val="16"/>
              </w:rPr>
              <w:t>57.7</w:t>
            </w:r>
          </w:p>
        </w:tc>
        <w:tc>
          <w:tcPr>
            <w:tcW w:w="528" w:type="pct"/>
            <w:tcBorders>
              <w:top w:val="nil"/>
              <w:left w:val="nil"/>
              <w:bottom w:val="nil"/>
              <w:right w:val="nil"/>
            </w:tcBorders>
            <w:shd w:val="clear" w:color="000000" w:fill="FFFFFF"/>
            <w:noWrap/>
            <w:vAlign w:val="bottom"/>
            <w:hideMark/>
          </w:tcPr>
          <w:p w14:paraId="65D4BC8F" w14:textId="77777777" w:rsidR="0049067D" w:rsidRPr="00673C1F" w:rsidRDefault="0049067D" w:rsidP="0049067D">
            <w:pPr>
              <w:spacing w:before="0" w:after="0" w:line="240" w:lineRule="auto"/>
              <w:jc w:val="right"/>
              <w:rPr>
                <w:rFonts w:ascii="Arial" w:hAnsi="Arial" w:cs="Arial"/>
                <w:b/>
                <w:sz w:val="16"/>
                <w:szCs w:val="16"/>
              </w:rPr>
            </w:pPr>
            <w:r w:rsidRPr="00673C1F">
              <w:rPr>
                <w:rFonts w:ascii="Arial" w:hAnsi="Arial" w:cs="Arial"/>
                <w:b/>
                <w:sz w:val="16"/>
                <w:szCs w:val="16"/>
              </w:rPr>
              <w:t>59.5</w:t>
            </w:r>
          </w:p>
        </w:tc>
      </w:tr>
      <w:tr w:rsidR="0049067D" w:rsidRPr="00BD68BD" w14:paraId="6B47427D" w14:textId="77777777" w:rsidTr="0084044A">
        <w:trPr>
          <w:trHeight w:hRule="exact" w:val="225"/>
        </w:trPr>
        <w:tc>
          <w:tcPr>
            <w:tcW w:w="1667" w:type="pct"/>
            <w:tcBorders>
              <w:top w:val="nil"/>
              <w:left w:val="nil"/>
              <w:bottom w:val="nil"/>
              <w:right w:val="nil"/>
            </w:tcBorders>
            <w:shd w:val="clear" w:color="000000" w:fill="FFFFFF"/>
            <w:noWrap/>
            <w:vAlign w:val="center"/>
            <w:hideMark/>
          </w:tcPr>
          <w:p w14:paraId="55808C98" w14:textId="77777777" w:rsidR="0049067D" w:rsidRPr="00673C1F" w:rsidRDefault="0049067D" w:rsidP="0049067D">
            <w:pPr>
              <w:spacing w:before="0" w:after="0" w:line="240" w:lineRule="auto"/>
              <w:rPr>
                <w:rFonts w:ascii="Arial" w:hAnsi="Arial" w:cs="Arial"/>
                <w:sz w:val="16"/>
                <w:szCs w:val="16"/>
              </w:rPr>
            </w:pPr>
            <w:r w:rsidRPr="00673C1F">
              <w:rPr>
                <w:rFonts w:ascii="Arial" w:hAnsi="Arial" w:cs="Arial"/>
                <w:sz w:val="16"/>
                <w:szCs w:val="16"/>
              </w:rPr>
              <w:t>Growth on previous year (%) </w:t>
            </w:r>
          </w:p>
        </w:tc>
        <w:tc>
          <w:tcPr>
            <w:tcW w:w="528" w:type="pct"/>
            <w:tcBorders>
              <w:top w:val="nil"/>
              <w:left w:val="nil"/>
              <w:bottom w:val="nil"/>
              <w:right w:val="nil"/>
            </w:tcBorders>
            <w:shd w:val="clear" w:color="000000" w:fill="FFFFFF"/>
            <w:noWrap/>
            <w:vAlign w:val="bottom"/>
            <w:hideMark/>
          </w:tcPr>
          <w:p w14:paraId="3F9E8FB7"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0.8</w:t>
            </w:r>
          </w:p>
        </w:tc>
        <w:tc>
          <w:tcPr>
            <w:tcW w:w="166" w:type="pct"/>
            <w:tcBorders>
              <w:top w:val="nil"/>
              <w:left w:val="nil"/>
              <w:bottom w:val="nil"/>
              <w:right w:val="nil"/>
            </w:tcBorders>
            <w:shd w:val="clear" w:color="000000" w:fill="FFFFFF"/>
            <w:noWrap/>
            <w:vAlign w:val="center"/>
            <w:hideMark/>
          </w:tcPr>
          <w:p w14:paraId="40FC39EB"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 </w:t>
            </w:r>
          </w:p>
        </w:tc>
        <w:tc>
          <w:tcPr>
            <w:tcW w:w="528" w:type="pct"/>
            <w:tcBorders>
              <w:top w:val="nil"/>
              <w:left w:val="nil"/>
              <w:bottom w:val="nil"/>
              <w:right w:val="nil"/>
            </w:tcBorders>
            <w:shd w:val="clear" w:color="000000" w:fill="FFFFFF"/>
            <w:noWrap/>
            <w:vAlign w:val="bottom"/>
            <w:hideMark/>
          </w:tcPr>
          <w:p w14:paraId="2746CF6E"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11.2</w:t>
            </w:r>
          </w:p>
        </w:tc>
        <w:tc>
          <w:tcPr>
            <w:tcW w:w="528" w:type="pct"/>
            <w:tcBorders>
              <w:top w:val="nil"/>
              <w:left w:val="nil"/>
              <w:bottom w:val="nil"/>
              <w:right w:val="nil"/>
            </w:tcBorders>
            <w:shd w:val="clear" w:color="000000" w:fill="E6F2FF"/>
            <w:noWrap/>
            <w:vAlign w:val="bottom"/>
            <w:hideMark/>
          </w:tcPr>
          <w:p w14:paraId="62906761"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4.4</w:t>
            </w:r>
          </w:p>
        </w:tc>
        <w:tc>
          <w:tcPr>
            <w:tcW w:w="528" w:type="pct"/>
            <w:tcBorders>
              <w:top w:val="nil"/>
              <w:left w:val="nil"/>
              <w:bottom w:val="nil"/>
              <w:right w:val="nil"/>
            </w:tcBorders>
            <w:shd w:val="clear" w:color="000000" w:fill="FFFFFF"/>
            <w:noWrap/>
            <w:vAlign w:val="bottom"/>
            <w:hideMark/>
          </w:tcPr>
          <w:p w14:paraId="58DAEBD3"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3.3</w:t>
            </w:r>
          </w:p>
        </w:tc>
        <w:tc>
          <w:tcPr>
            <w:tcW w:w="528" w:type="pct"/>
            <w:tcBorders>
              <w:top w:val="nil"/>
              <w:left w:val="nil"/>
              <w:bottom w:val="nil"/>
              <w:right w:val="nil"/>
            </w:tcBorders>
            <w:shd w:val="clear" w:color="000000" w:fill="FFFFFF"/>
            <w:noWrap/>
            <w:vAlign w:val="bottom"/>
            <w:hideMark/>
          </w:tcPr>
          <w:p w14:paraId="6195D398" w14:textId="01CD7DFF" w:rsidR="0049067D" w:rsidRPr="00673C1F" w:rsidRDefault="006D727E" w:rsidP="0049067D">
            <w:pPr>
              <w:spacing w:before="0" w:after="0" w:line="240" w:lineRule="auto"/>
              <w:jc w:val="right"/>
              <w:rPr>
                <w:rFonts w:ascii="Arial" w:hAnsi="Arial" w:cs="Arial"/>
                <w:sz w:val="16"/>
                <w:szCs w:val="16"/>
              </w:rPr>
            </w:pPr>
            <w:r w:rsidRPr="00673C1F">
              <w:rPr>
                <w:rFonts w:ascii="Arial" w:hAnsi="Arial" w:cs="Arial"/>
                <w:sz w:val="16"/>
                <w:szCs w:val="16"/>
              </w:rPr>
              <w:noBreakHyphen/>
            </w:r>
            <w:r w:rsidR="0049067D" w:rsidRPr="00673C1F">
              <w:rPr>
                <w:rFonts w:ascii="Arial" w:hAnsi="Arial" w:cs="Arial"/>
                <w:sz w:val="16"/>
                <w:szCs w:val="16"/>
              </w:rPr>
              <w:t>0.1</w:t>
            </w:r>
          </w:p>
        </w:tc>
        <w:tc>
          <w:tcPr>
            <w:tcW w:w="528" w:type="pct"/>
            <w:tcBorders>
              <w:top w:val="nil"/>
              <w:left w:val="nil"/>
              <w:bottom w:val="nil"/>
              <w:right w:val="nil"/>
            </w:tcBorders>
            <w:shd w:val="clear" w:color="000000" w:fill="FFFFFF"/>
            <w:noWrap/>
            <w:vAlign w:val="bottom"/>
            <w:hideMark/>
          </w:tcPr>
          <w:p w14:paraId="4BE3552B"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3.1</w:t>
            </w:r>
          </w:p>
        </w:tc>
      </w:tr>
      <w:tr w:rsidR="0049067D" w:rsidRPr="00BD68BD" w14:paraId="0185D4D1" w14:textId="77777777" w:rsidTr="0084044A">
        <w:trPr>
          <w:trHeight w:hRule="exact" w:val="225"/>
        </w:trPr>
        <w:tc>
          <w:tcPr>
            <w:tcW w:w="1667" w:type="pct"/>
            <w:tcBorders>
              <w:top w:val="nil"/>
              <w:left w:val="nil"/>
              <w:bottom w:val="nil"/>
              <w:right w:val="nil"/>
            </w:tcBorders>
            <w:shd w:val="clear" w:color="000000" w:fill="FFFFFF"/>
            <w:noWrap/>
            <w:vAlign w:val="center"/>
            <w:hideMark/>
          </w:tcPr>
          <w:p w14:paraId="27CE9685" w14:textId="77777777" w:rsidR="0049067D" w:rsidRPr="00673C1F" w:rsidRDefault="0049067D" w:rsidP="0049067D">
            <w:pPr>
              <w:spacing w:before="0" w:after="0" w:line="240" w:lineRule="auto"/>
              <w:rPr>
                <w:rFonts w:ascii="Arial" w:hAnsi="Arial" w:cs="Arial"/>
                <w:sz w:val="16"/>
                <w:szCs w:val="16"/>
              </w:rPr>
            </w:pPr>
            <w:r w:rsidRPr="00673C1F">
              <w:rPr>
                <w:rFonts w:ascii="Arial" w:hAnsi="Arial" w:cs="Arial"/>
                <w:sz w:val="16"/>
                <w:szCs w:val="16"/>
              </w:rPr>
              <w:t>Per cent of GDP </w:t>
            </w:r>
          </w:p>
        </w:tc>
        <w:tc>
          <w:tcPr>
            <w:tcW w:w="528" w:type="pct"/>
            <w:tcBorders>
              <w:top w:val="nil"/>
              <w:left w:val="nil"/>
              <w:bottom w:val="nil"/>
              <w:right w:val="nil"/>
            </w:tcBorders>
            <w:shd w:val="clear" w:color="000000" w:fill="FFFFFF"/>
            <w:noWrap/>
            <w:vAlign w:val="bottom"/>
            <w:hideMark/>
          </w:tcPr>
          <w:p w14:paraId="3B712F61"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1.9</w:t>
            </w:r>
          </w:p>
        </w:tc>
        <w:tc>
          <w:tcPr>
            <w:tcW w:w="166" w:type="pct"/>
            <w:tcBorders>
              <w:top w:val="nil"/>
              <w:left w:val="nil"/>
              <w:bottom w:val="nil"/>
              <w:right w:val="nil"/>
            </w:tcBorders>
            <w:shd w:val="clear" w:color="000000" w:fill="FFFFFF"/>
            <w:noWrap/>
            <w:vAlign w:val="center"/>
            <w:hideMark/>
          </w:tcPr>
          <w:p w14:paraId="00336586"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 </w:t>
            </w:r>
          </w:p>
        </w:tc>
        <w:tc>
          <w:tcPr>
            <w:tcW w:w="528" w:type="pct"/>
            <w:tcBorders>
              <w:top w:val="nil"/>
              <w:left w:val="nil"/>
              <w:bottom w:val="nil"/>
              <w:right w:val="nil"/>
            </w:tcBorders>
            <w:shd w:val="clear" w:color="000000" w:fill="FFFFFF"/>
            <w:noWrap/>
            <w:vAlign w:val="bottom"/>
            <w:hideMark/>
          </w:tcPr>
          <w:p w14:paraId="4ECA6B85"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2.0</w:t>
            </w:r>
          </w:p>
        </w:tc>
        <w:tc>
          <w:tcPr>
            <w:tcW w:w="528" w:type="pct"/>
            <w:tcBorders>
              <w:top w:val="nil"/>
              <w:left w:val="nil"/>
              <w:bottom w:val="nil"/>
              <w:right w:val="nil"/>
            </w:tcBorders>
            <w:shd w:val="clear" w:color="000000" w:fill="E6F2FF"/>
            <w:noWrap/>
            <w:vAlign w:val="bottom"/>
            <w:hideMark/>
          </w:tcPr>
          <w:p w14:paraId="468B9CBE"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2.0</w:t>
            </w:r>
          </w:p>
        </w:tc>
        <w:tc>
          <w:tcPr>
            <w:tcW w:w="528" w:type="pct"/>
            <w:tcBorders>
              <w:top w:val="nil"/>
              <w:left w:val="nil"/>
              <w:bottom w:val="nil"/>
              <w:right w:val="nil"/>
            </w:tcBorders>
            <w:shd w:val="clear" w:color="000000" w:fill="FFFFFF"/>
            <w:noWrap/>
            <w:vAlign w:val="bottom"/>
            <w:hideMark/>
          </w:tcPr>
          <w:p w14:paraId="7508FB90"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2.0</w:t>
            </w:r>
          </w:p>
        </w:tc>
        <w:tc>
          <w:tcPr>
            <w:tcW w:w="528" w:type="pct"/>
            <w:tcBorders>
              <w:top w:val="nil"/>
              <w:left w:val="nil"/>
              <w:bottom w:val="nil"/>
              <w:right w:val="nil"/>
            </w:tcBorders>
            <w:shd w:val="clear" w:color="000000" w:fill="FFFFFF"/>
            <w:noWrap/>
            <w:vAlign w:val="bottom"/>
            <w:hideMark/>
          </w:tcPr>
          <w:p w14:paraId="74A7BBA5"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1.9</w:t>
            </w:r>
          </w:p>
        </w:tc>
        <w:tc>
          <w:tcPr>
            <w:tcW w:w="528" w:type="pct"/>
            <w:tcBorders>
              <w:top w:val="nil"/>
              <w:left w:val="nil"/>
              <w:bottom w:val="nil"/>
              <w:right w:val="nil"/>
            </w:tcBorders>
            <w:shd w:val="clear" w:color="000000" w:fill="FFFFFF"/>
            <w:noWrap/>
            <w:vAlign w:val="bottom"/>
            <w:hideMark/>
          </w:tcPr>
          <w:p w14:paraId="61D69E5A"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1.9</w:t>
            </w:r>
          </w:p>
        </w:tc>
      </w:tr>
      <w:tr w:rsidR="0049067D" w:rsidRPr="00BD68BD" w14:paraId="632BB071" w14:textId="77777777" w:rsidTr="0084044A">
        <w:trPr>
          <w:trHeight w:hRule="exact" w:val="60"/>
        </w:trPr>
        <w:tc>
          <w:tcPr>
            <w:tcW w:w="1667" w:type="pct"/>
            <w:tcBorders>
              <w:top w:val="nil"/>
              <w:left w:val="nil"/>
              <w:bottom w:val="nil"/>
              <w:right w:val="nil"/>
            </w:tcBorders>
            <w:shd w:val="clear" w:color="000000" w:fill="FFFFFF"/>
            <w:noWrap/>
            <w:vAlign w:val="center"/>
            <w:hideMark/>
          </w:tcPr>
          <w:p w14:paraId="0641FB8B" w14:textId="77777777" w:rsidR="0049067D" w:rsidRPr="00673C1F" w:rsidRDefault="0049067D" w:rsidP="0049067D">
            <w:pPr>
              <w:spacing w:before="0" w:after="0" w:line="240" w:lineRule="auto"/>
              <w:rPr>
                <w:rFonts w:ascii="Arial" w:hAnsi="Arial" w:cs="Arial"/>
                <w:sz w:val="16"/>
                <w:szCs w:val="16"/>
              </w:rPr>
            </w:pPr>
            <w:r w:rsidRPr="00673C1F">
              <w:rPr>
                <w:rFonts w:ascii="Arial" w:hAnsi="Arial" w:cs="Arial"/>
                <w:sz w:val="16"/>
                <w:szCs w:val="16"/>
              </w:rPr>
              <w:t> </w:t>
            </w:r>
          </w:p>
        </w:tc>
        <w:tc>
          <w:tcPr>
            <w:tcW w:w="528" w:type="pct"/>
            <w:tcBorders>
              <w:top w:val="nil"/>
              <w:left w:val="nil"/>
              <w:bottom w:val="nil"/>
              <w:right w:val="nil"/>
            </w:tcBorders>
            <w:shd w:val="clear" w:color="000000" w:fill="FFFFFF"/>
            <w:noWrap/>
            <w:vAlign w:val="center"/>
            <w:hideMark/>
          </w:tcPr>
          <w:p w14:paraId="2C5BBE05"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 </w:t>
            </w:r>
          </w:p>
        </w:tc>
        <w:tc>
          <w:tcPr>
            <w:tcW w:w="166" w:type="pct"/>
            <w:tcBorders>
              <w:top w:val="nil"/>
              <w:left w:val="nil"/>
              <w:bottom w:val="nil"/>
              <w:right w:val="nil"/>
            </w:tcBorders>
            <w:shd w:val="clear" w:color="000000" w:fill="FFFFFF"/>
            <w:noWrap/>
            <w:vAlign w:val="center"/>
            <w:hideMark/>
          </w:tcPr>
          <w:p w14:paraId="56957F78"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 </w:t>
            </w:r>
          </w:p>
        </w:tc>
        <w:tc>
          <w:tcPr>
            <w:tcW w:w="528" w:type="pct"/>
            <w:tcBorders>
              <w:top w:val="nil"/>
              <w:left w:val="nil"/>
              <w:bottom w:val="nil"/>
              <w:right w:val="nil"/>
            </w:tcBorders>
            <w:shd w:val="clear" w:color="000000" w:fill="FFFFFF"/>
            <w:noWrap/>
            <w:vAlign w:val="center"/>
            <w:hideMark/>
          </w:tcPr>
          <w:p w14:paraId="4047FB3E"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 </w:t>
            </w:r>
          </w:p>
        </w:tc>
        <w:tc>
          <w:tcPr>
            <w:tcW w:w="528" w:type="pct"/>
            <w:tcBorders>
              <w:top w:val="nil"/>
              <w:left w:val="nil"/>
              <w:bottom w:val="nil"/>
              <w:right w:val="nil"/>
            </w:tcBorders>
            <w:shd w:val="clear" w:color="000000" w:fill="E6F2FF"/>
            <w:noWrap/>
            <w:vAlign w:val="center"/>
            <w:hideMark/>
          </w:tcPr>
          <w:p w14:paraId="247E5730"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 </w:t>
            </w:r>
          </w:p>
        </w:tc>
        <w:tc>
          <w:tcPr>
            <w:tcW w:w="528" w:type="pct"/>
            <w:tcBorders>
              <w:top w:val="nil"/>
              <w:left w:val="nil"/>
              <w:bottom w:val="nil"/>
              <w:right w:val="nil"/>
            </w:tcBorders>
            <w:shd w:val="clear" w:color="000000" w:fill="FFFFFF"/>
            <w:noWrap/>
            <w:vAlign w:val="center"/>
            <w:hideMark/>
          </w:tcPr>
          <w:p w14:paraId="1DE381DD"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 </w:t>
            </w:r>
          </w:p>
        </w:tc>
        <w:tc>
          <w:tcPr>
            <w:tcW w:w="528" w:type="pct"/>
            <w:tcBorders>
              <w:top w:val="nil"/>
              <w:left w:val="nil"/>
              <w:bottom w:val="nil"/>
              <w:right w:val="nil"/>
            </w:tcBorders>
            <w:shd w:val="clear" w:color="000000" w:fill="FFFFFF"/>
            <w:noWrap/>
            <w:vAlign w:val="center"/>
            <w:hideMark/>
          </w:tcPr>
          <w:p w14:paraId="3BF9C251"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 </w:t>
            </w:r>
          </w:p>
        </w:tc>
        <w:tc>
          <w:tcPr>
            <w:tcW w:w="528" w:type="pct"/>
            <w:tcBorders>
              <w:top w:val="nil"/>
              <w:left w:val="nil"/>
              <w:bottom w:val="nil"/>
              <w:right w:val="nil"/>
            </w:tcBorders>
            <w:shd w:val="clear" w:color="000000" w:fill="FFFFFF"/>
            <w:noWrap/>
            <w:vAlign w:val="center"/>
            <w:hideMark/>
          </w:tcPr>
          <w:p w14:paraId="77A07EC1"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 </w:t>
            </w:r>
          </w:p>
        </w:tc>
      </w:tr>
      <w:tr w:rsidR="0049067D" w:rsidRPr="00BD68BD" w14:paraId="2F44CA3C" w14:textId="77777777" w:rsidTr="0084044A">
        <w:trPr>
          <w:trHeight w:hRule="exact" w:val="225"/>
        </w:trPr>
        <w:tc>
          <w:tcPr>
            <w:tcW w:w="1667" w:type="pct"/>
            <w:tcBorders>
              <w:top w:val="nil"/>
              <w:left w:val="nil"/>
              <w:bottom w:val="nil"/>
              <w:right w:val="nil"/>
            </w:tcBorders>
            <w:shd w:val="clear" w:color="000000" w:fill="FFFFFF"/>
            <w:noWrap/>
            <w:vAlign w:val="center"/>
            <w:hideMark/>
          </w:tcPr>
          <w:p w14:paraId="1E1CC27C" w14:textId="77777777" w:rsidR="0049067D" w:rsidRPr="00673C1F" w:rsidRDefault="0049067D" w:rsidP="0049067D">
            <w:pPr>
              <w:spacing w:before="0" w:after="0" w:line="240" w:lineRule="auto"/>
              <w:rPr>
                <w:rFonts w:ascii="Arial" w:hAnsi="Arial" w:cs="Arial"/>
                <w:b/>
                <w:sz w:val="16"/>
                <w:szCs w:val="16"/>
              </w:rPr>
            </w:pPr>
            <w:r w:rsidRPr="00673C1F">
              <w:rPr>
                <w:rFonts w:ascii="Arial" w:hAnsi="Arial" w:cs="Arial"/>
                <w:b/>
                <w:sz w:val="16"/>
                <w:szCs w:val="16"/>
              </w:rPr>
              <w:t>Total receipts ($b)</w:t>
            </w:r>
            <w:r w:rsidRPr="00673C1F">
              <w:rPr>
                <w:rFonts w:ascii="Arial" w:hAnsi="Arial" w:cs="Arial"/>
                <w:sz w:val="16"/>
                <w:szCs w:val="16"/>
              </w:rPr>
              <w:t> </w:t>
            </w:r>
          </w:p>
        </w:tc>
        <w:tc>
          <w:tcPr>
            <w:tcW w:w="528" w:type="pct"/>
            <w:tcBorders>
              <w:top w:val="nil"/>
              <w:left w:val="nil"/>
              <w:bottom w:val="nil"/>
              <w:right w:val="nil"/>
            </w:tcBorders>
            <w:shd w:val="clear" w:color="000000" w:fill="FFFFFF"/>
            <w:noWrap/>
            <w:vAlign w:val="bottom"/>
            <w:hideMark/>
          </w:tcPr>
          <w:p w14:paraId="505DC3F2" w14:textId="77777777" w:rsidR="0049067D" w:rsidRPr="00673C1F" w:rsidRDefault="0049067D" w:rsidP="0049067D">
            <w:pPr>
              <w:spacing w:before="0" w:after="0" w:line="240" w:lineRule="auto"/>
              <w:jc w:val="right"/>
              <w:rPr>
                <w:rFonts w:ascii="Arial" w:hAnsi="Arial" w:cs="Arial"/>
                <w:b/>
                <w:sz w:val="16"/>
                <w:szCs w:val="16"/>
              </w:rPr>
            </w:pPr>
            <w:r w:rsidRPr="00673C1F">
              <w:rPr>
                <w:rFonts w:ascii="Arial" w:hAnsi="Arial" w:cs="Arial"/>
                <w:b/>
                <w:sz w:val="16"/>
                <w:szCs w:val="16"/>
              </w:rPr>
              <w:t>649.5</w:t>
            </w:r>
          </w:p>
        </w:tc>
        <w:tc>
          <w:tcPr>
            <w:tcW w:w="166" w:type="pct"/>
            <w:tcBorders>
              <w:top w:val="nil"/>
              <w:left w:val="nil"/>
              <w:bottom w:val="nil"/>
              <w:right w:val="nil"/>
            </w:tcBorders>
            <w:shd w:val="clear" w:color="000000" w:fill="FFFFFF"/>
            <w:noWrap/>
            <w:vAlign w:val="center"/>
            <w:hideMark/>
          </w:tcPr>
          <w:p w14:paraId="3832FDE5"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 </w:t>
            </w:r>
          </w:p>
        </w:tc>
        <w:tc>
          <w:tcPr>
            <w:tcW w:w="528" w:type="pct"/>
            <w:tcBorders>
              <w:top w:val="nil"/>
              <w:left w:val="nil"/>
              <w:bottom w:val="nil"/>
              <w:right w:val="nil"/>
            </w:tcBorders>
            <w:shd w:val="clear" w:color="000000" w:fill="FFFFFF"/>
            <w:noWrap/>
            <w:vAlign w:val="bottom"/>
            <w:hideMark/>
          </w:tcPr>
          <w:p w14:paraId="17431203" w14:textId="77777777" w:rsidR="0049067D" w:rsidRPr="00673C1F" w:rsidRDefault="0049067D" w:rsidP="0049067D">
            <w:pPr>
              <w:spacing w:before="0" w:after="0" w:line="240" w:lineRule="auto"/>
              <w:jc w:val="right"/>
              <w:rPr>
                <w:rFonts w:ascii="Arial" w:hAnsi="Arial" w:cs="Arial"/>
                <w:b/>
                <w:sz w:val="16"/>
                <w:szCs w:val="16"/>
              </w:rPr>
            </w:pPr>
            <w:r w:rsidRPr="00673C1F">
              <w:rPr>
                <w:rFonts w:ascii="Arial" w:hAnsi="Arial" w:cs="Arial"/>
                <w:b/>
                <w:sz w:val="16"/>
                <w:szCs w:val="16"/>
              </w:rPr>
              <w:t>692.3</w:t>
            </w:r>
          </w:p>
        </w:tc>
        <w:tc>
          <w:tcPr>
            <w:tcW w:w="528" w:type="pct"/>
            <w:tcBorders>
              <w:top w:val="nil"/>
              <w:left w:val="nil"/>
              <w:bottom w:val="nil"/>
              <w:right w:val="nil"/>
            </w:tcBorders>
            <w:shd w:val="clear" w:color="000000" w:fill="E6F2FF"/>
            <w:noWrap/>
            <w:vAlign w:val="bottom"/>
            <w:hideMark/>
          </w:tcPr>
          <w:p w14:paraId="0316AC13" w14:textId="77777777" w:rsidR="0049067D" w:rsidRPr="00673C1F" w:rsidRDefault="0049067D" w:rsidP="0049067D">
            <w:pPr>
              <w:spacing w:before="0" w:after="0" w:line="240" w:lineRule="auto"/>
              <w:jc w:val="right"/>
              <w:rPr>
                <w:rFonts w:ascii="Arial" w:hAnsi="Arial" w:cs="Arial"/>
                <w:b/>
                <w:sz w:val="16"/>
                <w:szCs w:val="16"/>
              </w:rPr>
            </w:pPr>
            <w:r w:rsidRPr="00673C1F">
              <w:rPr>
                <w:rFonts w:ascii="Arial" w:hAnsi="Arial" w:cs="Arial"/>
                <w:b/>
                <w:sz w:val="16"/>
                <w:szCs w:val="16"/>
              </w:rPr>
              <w:t>698.4</w:t>
            </w:r>
          </w:p>
        </w:tc>
        <w:tc>
          <w:tcPr>
            <w:tcW w:w="528" w:type="pct"/>
            <w:tcBorders>
              <w:top w:val="nil"/>
              <w:left w:val="nil"/>
              <w:bottom w:val="nil"/>
              <w:right w:val="nil"/>
            </w:tcBorders>
            <w:shd w:val="clear" w:color="000000" w:fill="FFFFFF"/>
            <w:noWrap/>
            <w:vAlign w:val="bottom"/>
            <w:hideMark/>
          </w:tcPr>
          <w:p w14:paraId="17D4041C" w14:textId="77777777" w:rsidR="0049067D" w:rsidRPr="00673C1F" w:rsidRDefault="0049067D" w:rsidP="0049067D">
            <w:pPr>
              <w:spacing w:before="0" w:after="0" w:line="240" w:lineRule="auto"/>
              <w:jc w:val="right"/>
              <w:rPr>
                <w:rFonts w:ascii="Arial" w:hAnsi="Arial" w:cs="Arial"/>
                <w:b/>
                <w:sz w:val="16"/>
                <w:szCs w:val="16"/>
              </w:rPr>
            </w:pPr>
            <w:r w:rsidRPr="00673C1F">
              <w:rPr>
                <w:rFonts w:ascii="Arial" w:hAnsi="Arial" w:cs="Arial"/>
                <w:b/>
                <w:sz w:val="16"/>
                <w:szCs w:val="16"/>
              </w:rPr>
              <w:t>719.4</w:t>
            </w:r>
          </w:p>
        </w:tc>
        <w:tc>
          <w:tcPr>
            <w:tcW w:w="528" w:type="pct"/>
            <w:tcBorders>
              <w:top w:val="nil"/>
              <w:left w:val="nil"/>
              <w:bottom w:val="nil"/>
              <w:right w:val="nil"/>
            </w:tcBorders>
            <w:shd w:val="clear" w:color="000000" w:fill="FFFFFF"/>
            <w:noWrap/>
            <w:vAlign w:val="bottom"/>
            <w:hideMark/>
          </w:tcPr>
          <w:p w14:paraId="3BAE6A49" w14:textId="77777777" w:rsidR="0049067D" w:rsidRPr="00673C1F" w:rsidRDefault="0049067D" w:rsidP="0049067D">
            <w:pPr>
              <w:spacing w:before="0" w:after="0" w:line="240" w:lineRule="auto"/>
              <w:jc w:val="right"/>
              <w:rPr>
                <w:rFonts w:ascii="Arial" w:hAnsi="Arial" w:cs="Arial"/>
                <w:b/>
                <w:sz w:val="16"/>
                <w:szCs w:val="16"/>
              </w:rPr>
            </w:pPr>
            <w:r w:rsidRPr="00673C1F">
              <w:rPr>
                <w:rFonts w:ascii="Arial" w:hAnsi="Arial" w:cs="Arial"/>
                <w:b/>
                <w:sz w:val="16"/>
                <w:szCs w:val="16"/>
              </w:rPr>
              <w:t>760.0</w:t>
            </w:r>
          </w:p>
        </w:tc>
        <w:tc>
          <w:tcPr>
            <w:tcW w:w="528" w:type="pct"/>
            <w:tcBorders>
              <w:top w:val="nil"/>
              <w:left w:val="nil"/>
              <w:bottom w:val="nil"/>
              <w:right w:val="nil"/>
            </w:tcBorders>
            <w:shd w:val="clear" w:color="000000" w:fill="FFFFFF"/>
            <w:noWrap/>
            <w:vAlign w:val="bottom"/>
            <w:hideMark/>
          </w:tcPr>
          <w:p w14:paraId="2D304145" w14:textId="77777777" w:rsidR="0049067D" w:rsidRPr="00673C1F" w:rsidRDefault="0049067D" w:rsidP="0049067D">
            <w:pPr>
              <w:spacing w:before="0" w:after="0" w:line="240" w:lineRule="auto"/>
              <w:jc w:val="right"/>
              <w:rPr>
                <w:rFonts w:ascii="Arial" w:hAnsi="Arial" w:cs="Arial"/>
                <w:b/>
                <w:sz w:val="16"/>
                <w:szCs w:val="16"/>
              </w:rPr>
            </w:pPr>
            <w:r w:rsidRPr="00673C1F">
              <w:rPr>
                <w:rFonts w:ascii="Arial" w:hAnsi="Arial" w:cs="Arial"/>
                <w:b/>
                <w:sz w:val="16"/>
                <w:szCs w:val="16"/>
              </w:rPr>
              <w:t>801.8</w:t>
            </w:r>
          </w:p>
        </w:tc>
      </w:tr>
      <w:tr w:rsidR="0049067D" w:rsidRPr="00BD68BD" w14:paraId="3C230A45" w14:textId="77777777" w:rsidTr="0084044A">
        <w:trPr>
          <w:trHeight w:hRule="exact" w:val="225"/>
        </w:trPr>
        <w:tc>
          <w:tcPr>
            <w:tcW w:w="1667" w:type="pct"/>
            <w:tcBorders>
              <w:top w:val="nil"/>
              <w:left w:val="nil"/>
              <w:bottom w:val="nil"/>
              <w:right w:val="nil"/>
            </w:tcBorders>
            <w:shd w:val="clear" w:color="000000" w:fill="FFFFFF"/>
            <w:noWrap/>
            <w:vAlign w:val="center"/>
            <w:hideMark/>
          </w:tcPr>
          <w:p w14:paraId="7D0F3549" w14:textId="77777777" w:rsidR="0049067D" w:rsidRPr="00673C1F" w:rsidRDefault="0049067D" w:rsidP="0049067D">
            <w:pPr>
              <w:spacing w:before="0" w:after="0" w:line="240" w:lineRule="auto"/>
              <w:rPr>
                <w:rFonts w:ascii="Arial" w:hAnsi="Arial" w:cs="Arial"/>
                <w:sz w:val="16"/>
                <w:szCs w:val="16"/>
              </w:rPr>
            </w:pPr>
            <w:r w:rsidRPr="00673C1F">
              <w:rPr>
                <w:rFonts w:ascii="Arial" w:hAnsi="Arial" w:cs="Arial"/>
                <w:sz w:val="16"/>
                <w:szCs w:val="16"/>
              </w:rPr>
              <w:t>Growth on previous year (%) </w:t>
            </w:r>
          </w:p>
        </w:tc>
        <w:tc>
          <w:tcPr>
            <w:tcW w:w="528" w:type="pct"/>
            <w:tcBorders>
              <w:top w:val="nil"/>
              <w:left w:val="nil"/>
              <w:bottom w:val="nil"/>
              <w:right w:val="nil"/>
            </w:tcBorders>
            <w:shd w:val="clear" w:color="000000" w:fill="FFFFFF"/>
            <w:noWrap/>
            <w:vAlign w:val="bottom"/>
            <w:hideMark/>
          </w:tcPr>
          <w:p w14:paraId="4B7C3B63"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11.1</w:t>
            </w:r>
          </w:p>
        </w:tc>
        <w:tc>
          <w:tcPr>
            <w:tcW w:w="166" w:type="pct"/>
            <w:tcBorders>
              <w:top w:val="nil"/>
              <w:left w:val="nil"/>
              <w:bottom w:val="nil"/>
              <w:right w:val="nil"/>
            </w:tcBorders>
            <w:shd w:val="clear" w:color="000000" w:fill="FFFFFF"/>
            <w:noWrap/>
            <w:vAlign w:val="center"/>
            <w:hideMark/>
          </w:tcPr>
          <w:p w14:paraId="77FF2731"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 </w:t>
            </w:r>
          </w:p>
        </w:tc>
        <w:tc>
          <w:tcPr>
            <w:tcW w:w="528" w:type="pct"/>
            <w:tcBorders>
              <w:top w:val="nil"/>
              <w:left w:val="nil"/>
              <w:bottom w:val="nil"/>
              <w:right w:val="nil"/>
            </w:tcBorders>
            <w:shd w:val="clear" w:color="000000" w:fill="FFFFFF"/>
            <w:noWrap/>
            <w:vAlign w:val="bottom"/>
            <w:hideMark/>
          </w:tcPr>
          <w:p w14:paraId="128F8807"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6.6</w:t>
            </w:r>
          </w:p>
        </w:tc>
        <w:tc>
          <w:tcPr>
            <w:tcW w:w="528" w:type="pct"/>
            <w:tcBorders>
              <w:top w:val="nil"/>
              <w:left w:val="nil"/>
              <w:bottom w:val="nil"/>
              <w:right w:val="nil"/>
            </w:tcBorders>
            <w:shd w:val="clear" w:color="000000" w:fill="E6F2FF"/>
            <w:noWrap/>
            <w:vAlign w:val="bottom"/>
            <w:hideMark/>
          </w:tcPr>
          <w:p w14:paraId="27622686"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0.9</w:t>
            </w:r>
          </w:p>
        </w:tc>
        <w:tc>
          <w:tcPr>
            <w:tcW w:w="528" w:type="pct"/>
            <w:tcBorders>
              <w:top w:val="nil"/>
              <w:left w:val="nil"/>
              <w:bottom w:val="nil"/>
              <w:right w:val="nil"/>
            </w:tcBorders>
            <w:shd w:val="clear" w:color="000000" w:fill="FFFFFF"/>
            <w:noWrap/>
            <w:vAlign w:val="bottom"/>
            <w:hideMark/>
          </w:tcPr>
          <w:p w14:paraId="7B6C9C12"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3.0</w:t>
            </w:r>
          </w:p>
        </w:tc>
        <w:tc>
          <w:tcPr>
            <w:tcW w:w="528" w:type="pct"/>
            <w:tcBorders>
              <w:top w:val="nil"/>
              <w:left w:val="nil"/>
              <w:bottom w:val="nil"/>
              <w:right w:val="nil"/>
            </w:tcBorders>
            <w:shd w:val="clear" w:color="000000" w:fill="FFFFFF"/>
            <w:noWrap/>
            <w:vAlign w:val="bottom"/>
            <w:hideMark/>
          </w:tcPr>
          <w:p w14:paraId="10AC63FD"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5.7</w:t>
            </w:r>
          </w:p>
        </w:tc>
        <w:tc>
          <w:tcPr>
            <w:tcW w:w="528" w:type="pct"/>
            <w:tcBorders>
              <w:top w:val="nil"/>
              <w:left w:val="nil"/>
              <w:bottom w:val="nil"/>
              <w:right w:val="nil"/>
            </w:tcBorders>
            <w:shd w:val="clear" w:color="000000" w:fill="FFFFFF"/>
            <w:noWrap/>
            <w:vAlign w:val="bottom"/>
            <w:hideMark/>
          </w:tcPr>
          <w:p w14:paraId="4084A7B8"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5.5</w:t>
            </w:r>
          </w:p>
        </w:tc>
      </w:tr>
      <w:tr w:rsidR="0049067D" w:rsidRPr="00BD68BD" w14:paraId="55CC16EF" w14:textId="77777777" w:rsidTr="0084044A">
        <w:trPr>
          <w:trHeight w:hRule="exact" w:val="225"/>
        </w:trPr>
        <w:tc>
          <w:tcPr>
            <w:tcW w:w="1667" w:type="pct"/>
            <w:tcBorders>
              <w:top w:val="nil"/>
              <w:left w:val="nil"/>
              <w:bottom w:val="single" w:sz="4" w:space="0" w:color="000000"/>
              <w:right w:val="nil"/>
            </w:tcBorders>
            <w:shd w:val="clear" w:color="000000" w:fill="FFFFFF"/>
            <w:noWrap/>
            <w:vAlign w:val="center"/>
            <w:hideMark/>
          </w:tcPr>
          <w:p w14:paraId="274DDD66" w14:textId="77777777" w:rsidR="0049067D" w:rsidRPr="00673C1F" w:rsidRDefault="0049067D" w:rsidP="0049067D">
            <w:pPr>
              <w:spacing w:before="0" w:after="0" w:line="240" w:lineRule="auto"/>
              <w:rPr>
                <w:rFonts w:ascii="Arial" w:hAnsi="Arial" w:cs="Arial"/>
                <w:sz w:val="16"/>
                <w:szCs w:val="16"/>
              </w:rPr>
            </w:pPr>
            <w:r w:rsidRPr="00673C1F">
              <w:rPr>
                <w:rFonts w:ascii="Arial" w:hAnsi="Arial" w:cs="Arial"/>
                <w:sz w:val="16"/>
                <w:szCs w:val="16"/>
              </w:rPr>
              <w:t>Per cent of GDP </w:t>
            </w:r>
          </w:p>
        </w:tc>
        <w:tc>
          <w:tcPr>
            <w:tcW w:w="528" w:type="pct"/>
            <w:tcBorders>
              <w:top w:val="nil"/>
              <w:left w:val="nil"/>
              <w:bottom w:val="single" w:sz="4" w:space="0" w:color="auto"/>
              <w:right w:val="nil"/>
            </w:tcBorders>
            <w:shd w:val="clear" w:color="000000" w:fill="FFFFFF"/>
            <w:noWrap/>
            <w:vAlign w:val="bottom"/>
            <w:hideMark/>
          </w:tcPr>
          <w:p w14:paraId="71334DD8"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25.3</w:t>
            </w:r>
          </w:p>
        </w:tc>
        <w:tc>
          <w:tcPr>
            <w:tcW w:w="166" w:type="pct"/>
            <w:tcBorders>
              <w:top w:val="nil"/>
              <w:left w:val="nil"/>
              <w:bottom w:val="single" w:sz="4" w:space="0" w:color="auto"/>
              <w:right w:val="nil"/>
            </w:tcBorders>
            <w:shd w:val="clear" w:color="000000" w:fill="FFFFFF"/>
            <w:noWrap/>
            <w:vAlign w:val="center"/>
            <w:hideMark/>
          </w:tcPr>
          <w:p w14:paraId="583E55B9"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 </w:t>
            </w:r>
          </w:p>
        </w:tc>
        <w:tc>
          <w:tcPr>
            <w:tcW w:w="528" w:type="pct"/>
            <w:tcBorders>
              <w:top w:val="nil"/>
              <w:left w:val="nil"/>
              <w:bottom w:val="single" w:sz="4" w:space="0" w:color="auto"/>
              <w:right w:val="nil"/>
            </w:tcBorders>
            <w:shd w:val="clear" w:color="000000" w:fill="FFFFFF"/>
            <w:noWrap/>
            <w:vAlign w:val="bottom"/>
            <w:hideMark/>
          </w:tcPr>
          <w:p w14:paraId="6A6B7697"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25.8</w:t>
            </w:r>
          </w:p>
        </w:tc>
        <w:tc>
          <w:tcPr>
            <w:tcW w:w="528" w:type="pct"/>
            <w:tcBorders>
              <w:top w:val="nil"/>
              <w:left w:val="nil"/>
              <w:bottom w:val="single" w:sz="4" w:space="0" w:color="auto"/>
              <w:right w:val="nil"/>
            </w:tcBorders>
            <w:shd w:val="clear" w:color="000000" w:fill="E6F2FF"/>
            <w:noWrap/>
            <w:vAlign w:val="bottom"/>
            <w:hideMark/>
          </w:tcPr>
          <w:p w14:paraId="37B17DA3"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25.3</w:t>
            </w:r>
          </w:p>
        </w:tc>
        <w:tc>
          <w:tcPr>
            <w:tcW w:w="528" w:type="pct"/>
            <w:tcBorders>
              <w:top w:val="nil"/>
              <w:left w:val="nil"/>
              <w:bottom w:val="single" w:sz="4" w:space="0" w:color="auto"/>
              <w:right w:val="nil"/>
            </w:tcBorders>
            <w:shd w:val="clear" w:color="000000" w:fill="FFFFFF"/>
            <w:noWrap/>
            <w:vAlign w:val="bottom"/>
            <w:hideMark/>
          </w:tcPr>
          <w:p w14:paraId="2F2D9694"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25.1</w:t>
            </w:r>
          </w:p>
        </w:tc>
        <w:tc>
          <w:tcPr>
            <w:tcW w:w="528" w:type="pct"/>
            <w:tcBorders>
              <w:top w:val="nil"/>
              <w:left w:val="nil"/>
              <w:bottom w:val="single" w:sz="4" w:space="0" w:color="auto"/>
              <w:right w:val="nil"/>
            </w:tcBorders>
            <w:shd w:val="clear" w:color="000000" w:fill="FFFFFF"/>
            <w:noWrap/>
            <w:vAlign w:val="bottom"/>
            <w:hideMark/>
          </w:tcPr>
          <w:p w14:paraId="02F686BC"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25.1</w:t>
            </w:r>
          </w:p>
        </w:tc>
        <w:tc>
          <w:tcPr>
            <w:tcW w:w="528" w:type="pct"/>
            <w:tcBorders>
              <w:top w:val="nil"/>
              <w:left w:val="nil"/>
              <w:bottom w:val="single" w:sz="4" w:space="0" w:color="auto"/>
              <w:right w:val="nil"/>
            </w:tcBorders>
            <w:shd w:val="clear" w:color="000000" w:fill="FFFFFF"/>
            <w:noWrap/>
            <w:vAlign w:val="bottom"/>
            <w:hideMark/>
          </w:tcPr>
          <w:p w14:paraId="469B7B0A" w14:textId="77777777" w:rsidR="0049067D" w:rsidRPr="00673C1F" w:rsidRDefault="0049067D" w:rsidP="0049067D">
            <w:pPr>
              <w:spacing w:before="0" w:after="0" w:line="240" w:lineRule="auto"/>
              <w:jc w:val="right"/>
              <w:rPr>
                <w:rFonts w:ascii="Arial" w:hAnsi="Arial" w:cs="Arial"/>
                <w:sz w:val="16"/>
                <w:szCs w:val="16"/>
              </w:rPr>
            </w:pPr>
            <w:r w:rsidRPr="00673C1F">
              <w:rPr>
                <w:rFonts w:ascii="Arial" w:hAnsi="Arial" w:cs="Arial"/>
                <w:sz w:val="16"/>
                <w:szCs w:val="16"/>
              </w:rPr>
              <w:t>25.2</w:t>
            </w:r>
          </w:p>
        </w:tc>
      </w:tr>
    </w:tbl>
    <w:p w14:paraId="5621D460" w14:textId="76992ACB" w:rsidR="00071152" w:rsidRPr="00673C1F" w:rsidRDefault="00071152" w:rsidP="00382380">
      <w:r w:rsidRPr="00673C1F">
        <w:br w:type="page"/>
      </w:r>
    </w:p>
    <w:p w14:paraId="35BE5BC8" w14:textId="72FDCE98" w:rsidR="00356E70" w:rsidRPr="00673C1F" w:rsidRDefault="00356E70" w:rsidP="00356E70">
      <w:pPr>
        <w:pStyle w:val="Heading3"/>
      </w:pPr>
      <w:bookmarkStart w:id="5" w:name="_Toc99201819"/>
      <w:bookmarkStart w:id="6" w:name="_Toc117324546"/>
      <w:bookmarkStart w:id="7" w:name="_Toc134182346"/>
      <w:r w:rsidRPr="00673C1F">
        <w:lastRenderedPageBreak/>
        <w:t>Tax receipts outlook</w:t>
      </w:r>
      <w:bookmarkEnd w:id="5"/>
      <w:bookmarkEnd w:id="6"/>
      <w:bookmarkEnd w:id="7"/>
    </w:p>
    <w:p w14:paraId="62D3D954" w14:textId="240F6098" w:rsidR="00356E70" w:rsidRPr="00673C1F" w:rsidRDefault="00356E70" w:rsidP="003B1D3E">
      <w:r w:rsidRPr="00673C1F">
        <w:t xml:space="preserve">Relative to </w:t>
      </w:r>
      <w:r w:rsidR="00384EBD" w:rsidRPr="00673C1F">
        <w:t>MYEFO</w:t>
      </w:r>
      <w:r w:rsidRPr="00673C1F">
        <w:t>, tax receipts are forecast to be $</w:t>
      </w:r>
      <w:r w:rsidR="001F7786" w:rsidRPr="00673C1F">
        <w:t>9.0</w:t>
      </w:r>
      <w:r w:rsidRPr="00673C1F">
        <w:t> billion (or</w:t>
      </w:r>
      <w:r w:rsidR="00DA737C" w:rsidRPr="00673C1F">
        <w:t> </w:t>
      </w:r>
      <w:r w:rsidR="000F43D9" w:rsidRPr="00673C1F">
        <w:t>1.</w:t>
      </w:r>
      <w:r w:rsidR="004D6AF6" w:rsidRPr="00673C1F">
        <w:t>4</w:t>
      </w:r>
      <w:r w:rsidR="0095408C" w:rsidRPr="00673C1F">
        <w:t> </w:t>
      </w:r>
      <w:r w:rsidRPr="00673C1F">
        <w:t>per cent) higher in 202</w:t>
      </w:r>
      <w:r w:rsidR="00441151" w:rsidRPr="00673C1F">
        <w:t>4</w:t>
      </w:r>
      <w:r w:rsidRPr="00673C1F">
        <w:t>–2</w:t>
      </w:r>
      <w:r w:rsidR="00441151" w:rsidRPr="00673C1F">
        <w:t>5</w:t>
      </w:r>
      <w:r w:rsidRPr="00673C1F">
        <w:t>, and $</w:t>
      </w:r>
      <w:r w:rsidR="006C1F2B" w:rsidRPr="00673C1F">
        <w:t>2</w:t>
      </w:r>
      <w:r w:rsidR="001F7786" w:rsidRPr="00673C1F">
        <w:t>6</w:t>
      </w:r>
      <w:r w:rsidR="006C1F2B" w:rsidRPr="00673C1F">
        <w:t>.</w:t>
      </w:r>
      <w:r w:rsidR="001F7786" w:rsidRPr="00673C1F">
        <w:t>0</w:t>
      </w:r>
      <w:r w:rsidR="00AC672B" w:rsidRPr="00673C1F">
        <w:t> </w:t>
      </w:r>
      <w:r w:rsidRPr="00673C1F">
        <w:t xml:space="preserve">billion (or </w:t>
      </w:r>
      <w:r w:rsidR="000F43D9" w:rsidRPr="00673C1F">
        <w:t>0.</w:t>
      </w:r>
      <w:r w:rsidR="00D2428E" w:rsidRPr="00673C1F">
        <w:t>8</w:t>
      </w:r>
      <w:r w:rsidR="00F968E3" w:rsidRPr="00673C1F">
        <w:t> </w:t>
      </w:r>
      <w:r w:rsidRPr="00673C1F">
        <w:t>per cent) higher over the</w:t>
      </w:r>
      <w:r w:rsidR="00DA737C" w:rsidRPr="00673C1F">
        <w:t> </w:t>
      </w:r>
      <w:r w:rsidR="007A22C6" w:rsidRPr="00673C1F">
        <w:t>five</w:t>
      </w:r>
      <w:r w:rsidR="00DA737C" w:rsidRPr="00673C1F">
        <w:t> </w:t>
      </w:r>
      <w:r w:rsidR="007A22C6" w:rsidRPr="00673C1F">
        <w:t>years</w:t>
      </w:r>
      <w:r w:rsidRPr="00673C1F">
        <w:t xml:space="preserve"> from 202</w:t>
      </w:r>
      <w:r w:rsidR="00441151" w:rsidRPr="00673C1F">
        <w:t>3</w:t>
      </w:r>
      <w:r w:rsidRPr="00673C1F">
        <w:t>–2</w:t>
      </w:r>
      <w:r w:rsidR="00441151" w:rsidRPr="00673C1F">
        <w:t>4</w:t>
      </w:r>
      <w:r w:rsidRPr="00673C1F">
        <w:t xml:space="preserve"> to </w:t>
      </w:r>
      <w:r w:rsidR="009165BA">
        <w:br/>
      </w:r>
      <w:r w:rsidRPr="00673C1F">
        <w:t>202</w:t>
      </w:r>
      <w:r w:rsidR="00441151" w:rsidRPr="00673C1F">
        <w:t>7</w:t>
      </w:r>
      <w:r w:rsidR="00C80E21" w:rsidRPr="00673C1F">
        <w:t>–</w:t>
      </w:r>
      <w:r w:rsidRPr="00673C1F">
        <w:t>2</w:t>
      </w:r>
      <w:r w:rsidR="00441151" w:rsidRPr="00673C1F">
        <w:t>8</w:t>
      </w:r>
      <w:r w:rsidRPr="00673C1F">
        <w:t xml:space="preserve">. </w:t>
      </w:r>
      <w:r w:rsidR="00A06C2E" w:rsidRPr="00673C1F">
        <w:t>Over half of th</w:t>
      </w:r>
      <w:r w:rsidR="009F3506" w:rsidRPr="00673C1F">
        <w:t>is</w:t>
      </w:r>
      <w:r w:rsidR="00A06C2E" w:rsidRPr="00673C1F">
        <w:t xml:space="preserve"> upgrade is in the first two</w:t>
      </w:r>
      <w:r w:rsidR="00AC672B" w:rsidRPr="00673C1F">
        <w:t> </w:t>
      </w:r>
      <w:r w:rsidR="00A06C2E" w:rsidRPr="00673C1F">
        <w:t>years of</w:t>
      </w:r>
      <w:r w:rsidR="00DA737C" w:rsidRPr="00673C1F">
        <w:t> </w:t>
      </w:r>
      <w:r w:rsidR="00A06C2E" w:rsidRPr="00673C1F">
        <w:t>the</w:t>
      </w:r>
      <w:r w:rsidR="00AC672B" w:rsidRPr="00673C1F">
        <w:t xml:space="preserve"> </w:t>
      </w:r>
      <w:r w:rsidR="00A06C2E" w:rsidRPr="00673C1F">
        <w:t>forward estimates.</w:t>
      </w:r>
      <w:r w:rsidRPr="00673C1F">
        <w:t xml:space="preserve"> This upgrade</w:t>
      </w:r>
      <w:r w:rsidR="00A06C2E" w:rsidRPr="00673C1F">
        <w:t xml:space="preserve"> </w:t>
      </w:r>
      <w:r w:rsidRPr="00673C1F">
        <w:t xml:space="preserve">reflects a stronger outlook for </w:t>
      </w:r>
      <w:r w:rsidR="002E2724" w:rsidRPr="00673C1F">
        <w:t xml:space="preserve">personal income tax and </w:t>
      </w:r>
      <w:r w:rsidR="00CC19D0" w:rsidRPr="00673C1F">
        <w:t>company tax</w:t>
      </w:r>
      <w:r w:rsidR="00552BD2" w:rsidRPr="00673C1F">
        <w:t>,</w:t>
      </w:r>
      <w:r w:rsidRPr="00673C1F">
        <w:t xml:space="preserve"> </w:t>
      </w:r>
      <w:r w:rsidR="00CC19D0" w:rsidRPr="00673C1F">
        <w:t xml:space="preserve">partly offset by a </w:t>
      </w:r>
      <w:r w:rsidR="005B4FF2" w:rsidRPr="00673C1F">
        <w:t>weaker outlook for super</w:t>
      </w:r>
      <w:r w:rsidR="00552BD2" w:rsidRPr="00673C1F">
        <w:t xml:space="preserve">annuation </w:t>
      </w:r>
      <w:r w:rsidR="005B4FF2" w:rsidRPr="00673C1F">
        <w:t>fund</w:t>
      </w:r>
      <w:r w:rsidR="00552BD2" w:rsidRPr="00673C1F">
        <w:t xml:space="preserve"> </w:t>
      </w:r>
      <w:r w:rsidR="00AF1C73" w:rsidRPr="00673C1F">
        <w:t>tax</w:t>
      </w:r>
      <w:r w:rsidR="00165741" w:rsidRPr="00673C1F">
        <w:t>,</w:t>
      </w:r>
      <w:r w:rsidR="005B4FF2" w:rsidRPr="00673C1F">
        <w:t xml:space="preserve"> tobacco excis</w:t>
      </w:r>
      <w:r w:rsidR="00FD25E6" w:rsidRPr="00673C1F">
        <w:t>e</w:t>
      </w:r>
      <w:r w:rsidR="00640F12" w:rsidRPr="00673C1F">
        <w:t xml:space="preserve"> and GST</w:t>
      </w:r>
      <w:r w:rsidR="009E19A4" w:rsidRPr="00673C1F">
        <w:t> </w:t>
      </w:r>
      <w:r w:rsidR="00DC30BF" w:rsidRPr="00673C1F">
        <w:t>receipts</w:t>
      </w:r>
      <w:r w:rsidRPr="00673C1F">
        <w:t>.</w:t>
      </w:r>
      <w:r w:rsidR="00EF5965" w:rsidRPr="00673C1F">
        <w:t xml:space="preserve"> </w:t>
      </w:r>
      <w:r w:rsidR="001D0A77" w:rsidRPr="00673C1F">
        <w:t xml:space="preserve">The upgrade since MYEFO is driven by </w:t>
      </w:r>
      <w:r w:rsidR="00EF5965" w:rsidRPr="00673C1F">
        <w:t>continuing strength in the labour market and corporate profit</w:t>
      </w:r>
      <w:r w:rsidR="001B5B11" w:rsidRPr="00673C1F">
        <w:t>s</w:t>
      </w:r>
      <w:r w:rsidR="00EF5965" w:rsidRPr="00673C1F">
        <w:t>.</w:t>
      </w:r>
    </w:p>
    <w:p w14:paraId="4E2C7FFC" w14:textId="4889A5F0" w:rsidR="00A75446" w:rsidRPr="00673C1F" w:rsidRDefault="00356E70" w:rsidP="003B1D3E">
      <w:r w:rsidRPr="00673C1F">
        <w:t>Personal income taxes have been revised up by $</w:t>
      </w:r>
      <w:r w:rsidR="003B41F4" w:rsidRPr="00673C1F">
        <w:t>8.</w:t>
      </w:r>
      <w:r w:rsidR="00553F1F" w:rsidRPr="00673C1F">
        <w:t>0</w:t>
      </w:r>
      <w:r w:rsidR="00F968E3" w:rsidRPr="00673C1F">
        <w:t> </w:t>
      </w:r>
      <w:r w:rsidRPr="00673C1F">
        <w:t>billion in 202</w:t>
      </w:r>
      <w:r w:rsidR="00563D1C" w:rsidRPr="00673C1F">
        <w:t>4</w:t>
      </w:r>
      <w:r w:rsidRPr="00673C1F">
        <w:t>–2</w:t>
      </w:r>
      <w:r w:rsidR="00563D1C" w:rsidRPr="00673C1F">
        <w:t>5</w:t>
      </w:r>
      <w:r w:rsidRPr="00673C1F">
        <w:t xml:space="preserve"> and $</w:t>
      </w:r>
      <w:r w:rsidR="003B41F4" w:rsidRPr="00673C1F">
        <w:t>26.</w:t>
      </w:r>
      <w:r w:rsidR="00553F1F" w:rsidRPr="00673C1F">
        <w:t>0</w:t>
      </w:r>
      <w:r w:rsidR="009E19A4" w:rsidRPr="00673C1F">
        <w:t> </w:t>
      </w:r>
      <w:r w:rsidRPr="00673C1F">
        <w:t xml:space="preserve">billion over the </w:t>
      </w:r>
      <w:r w:rsidR="007A22C6" w:rsidRPr="00673C1F">
        <w:t>five years</w:t>
      </w:r>
      <w:r w:rsidR="00C97D26" w:rsidRPr="00673C1F">
        <w:t xml:space="preserve"> from 2023–24 to 2027–28</w:t>
      </w:r>
      <w:r w:rsidRPr="00673C1F">
        <w:t xml:space="preserve">. This principally reflects strength in tax withholding from salary and wages, supported by </w:t>
      </w:r>
      <w:r w:rsidR="002A05A5" w:rsidRPr="00673C1F">
        <w:t>a</w:t>
      </w:r>
      <w:r w:rsidRPr="00673C1F">
        <w:t xml:space="preserve"> high</w:t>
      </w:r>
      <w:r w:rsidR="002A05A5" w:rsidRPr="00673C1F">
        <w:t>er</w:t>
      </w:r>
      <w:r w:rsidRPr="00673C1F">
        <w:t xml:space="preserve"> level of employment</w:t>
      </w:r>
      <w:r w:rsidR="00745DF9" w:rsidRPr="00673C1F">
        <w:t>.</w:t>
      </w:r>
      <w:r w:rsidR="003B41F4" w:rsidRPr="00673C1F">
        <w:t xml:space="preserve"> </w:t>
      </w:r>
      <w:r w:rsidR="00B30595" w:rsidRPr="00673C1F">
        <w:t>Relative to MYEFO</w:t>
      </w:r>
      <w:r w:rsidR="00A75446" w:rsidRPr="00673C1F">
        <w:t xml:space="preserve"> employment reaches a higher level sooner, with smaller expected upgrade</w:t>
      </w:r>
      <w:r w:rsidR="00DC2AEE" w:rsidRPr="00673C1F">
        <w:t>s</w:t>
      </w:r>
      <w:r w:rsidR="00A75446" w:rsidRPr="00673C1F">
        <w:t xml:space="preserve"> by the end of the forward estimates.</w:t>
      </w:r>
    </w:p>
    <w:p w14:paraId="29285A95" w14:textId="4B97D628" w:rsidR="00D71953" w:rsidRPr="00673C1F" w:rsidRDefault="00356E70" w:rsidP="003B1D3E">
      <w:r w:rsidRPr="00673C1F">
        <w:t>Company tax has been revised up by $</w:t>
      </w:r>
      <w:r w:rsidR="000748B6" w:rsidRPr="00673C1F">
        <w:t>5.5</w:t>
      </w:r>
      <w:r w:rsidR="00AC672B" w:rsidRPr="00673C1F">
        <w:t> </w:t>
      </w:r>
      <w:r w:rsidRPr="00673C1F">
        <w:t>billion in 202</w:t>
      </w:r>
      <w:r w:rsidR="001E65EA" w:rsidRPr="00673C1F">
        <w:t>4</w:t>
      </w:r>
      <w:r w:rsidRPr="00673C1F">
        <w:t>–2</w:t>
      </w:r>
      <w:r w:rsidR="001E65EA" w:rsidRPr="00673C1F">
        <w:t>5</w:t>
      </w:r>
      <w:r w:rsidRPr="00673C1F">
        <w:t xml:space="preserve"> and $</w:t>
      </w:r>
      <w:r w:rsidR="000748B6" w:rsidRPr="00673C1F">
        <w:t>26.</w:t>
      </w:r>
      <w:r w:rsidR="00C83B7C" w:rsidRPr="00673C1F">
        <w:t>2</w:t>
      </w:r>
      <w:r w:rsidR="00AC672B" w:rsidRPr="00673C1F">
        <w:t> </w:t>
      </w:r>
      <w:r w:rsidRPr="00673C1F">
        <w:t xml:space="preserve">billion over the </w:t>
      </w:r>
      <w:r w:rsidR="007A22C6" w:rsidRPr="00673C1F">
        <w:t>five years</w:t>
      </w:r>
      <w:r w:rsidR="00C97D26" w:rsidRPr="00673C1F">
        <w:t xml:space="preserve"> from 2023–24 to 2027–28</w:t>
      </w:r>
      <w:r w:rsidRPr="00673C1F">
        <w:t xml:space="preserve">. </w:t>
      </w:r>
      <w:r w:rsidR="00614C13" w:rsidRPr="00673C1F">
        <w:t>Strong corporate</w:t>
      </w:r>
      <w:r w:rsidR="00353A30" w:rsidRPr="00673C1F">
        <w:t xml:space="preserve"> profits</w:t>
      </w:r>
      <w:r w:rsidR="0076556C" w:rsidRPr="00673C1F">
        <w:t xml:space="preserve">, including from iron ore and coal prices in late 2023 and </w:t>
      </w:r>
      <w:r w:rsidR="008D2006" w:rsidRPr="00673C1F">
        <w:t>the very</w:t>
      </w:r>
      <w:r w:rsidR="0076556C" w:rsidRPr="00673C1F">
        <w:t xml:space="preserve"> early</w:t>
      </w:r>
      <w:r w:rsidR="00ED6953" w:rsidRPr="00673C1F">
        <w:t xml:space="preserve"> part of</w:t>
      </w:r>
      <w:r w:rsidR="0076556C" w:rsidRPr="00673C1F">
        <w:t xml:space="preserve"> 2024 exceeding those assumed in MYEFO and robust demand,</w:t>
      </w:r>
      <w:r w:rsidR="002F575C" w:rsidRPr="00673C1F">
        <w:t xml:space="preserve"> </w:t>
      </w:r>
      <w:r w:rsidR="005738FE" w:rsidRPr="00673C1F">
        <w:t xml:space="preserve">contribute </w:t>
      </w:r>
      <w:r w:rsidR="002F575C" w:rsidRPr="00673C1F">
        <w:t>to an upgraded company tax outlook</w:t>
      </w:r>
      <w:r w:rsidR="0027405C" w:rsidRPr="00673C1F">
        <w:t xml:space="preserve">. </w:t>
      </w:r>
      <w:r w:rsidR="00573324" w:rsidRPr="00673C1F">
        <w:t xml:space="preserve">The stronger company tax outlook includes additional </w:t>
      </w:r>
      <w:r w:rsidR="004952CE" w:rsidRPr="00673C1F">
        <w:t>tax</w:t>
      </w:r>
      <w:r w:rsidR="00573324" w:rsidRPr="00673C1F">
        <w:t xml:space="preserve"> from</w:t>
      </w:r>
      <w:r w:rsidR="00D7713E" w:rsidRPr="00673C1F">
        <w:t xml:space="preserve"> resource</w:t>
      </w:r>
      <w:r w:rsidR="00573324" w:rsidRPr="00673C1F">
        <w:t xml:space="preserve"> companies that </w:t>
      </w:r>
      <w:r w:rsidR="007A122F" w:rsidRPr="00673C1F">
        <w:t>made</w:t>
      </w:r>
      <w:r w:rsidR="00573324" w:rsidRPr="00673C1F">
        <w:t xml:space="preserve"> significant payments </w:t>
      </w:r>
      <w:r w:rsidR="00E41B16" w:rsidRPr="00673C1F">
        <w:t xml:space="preserve">when lodging their tax returns </w:t>
      </w:r>
      <w:r w:rsidR="00573324" w:rsidRPr="00673C1F">
        <w:t>last year</w:t>
      </w:r>
      <w:r w:rsidR="009B7264" w:rsidRPr="00673C1F">
        <w:t>,</w:t>
      </w:r>
      <w:r w:rsidR="00573324" w:rsidRPr="00673C1F">
        <w:t xml:space="preserve"> after previously being in a </w:t>
      </w:r>
      <w:r w:rsidR="00F55220" w:rsidRPr="00673C1F">
        <w:t xml:space="preserve">tax </w:t>
      </w:r>
      <w:r w:rsidR="00573324" w:rsidRPr="00673C1F">
        <w:t>loss position</w:t>
      </w:r>
      <w:r w:rsidR="00302D12" w:rsidRPr="00673C1F">
        <w:t>,</w:t>
      </w:r>
      <w:r w:rsidR="00573324" w:rsidRPr="00673C1F">
        <w:t xml:space="preserve"> </w:t>
      </w:r>
      <w:r w:rsidR="004B3FC9" w:rsidRPr="00673C1F">
        <w:t>owing to</w:t>
      </w:r>
      <w:r w:rsidR="00573324" w:rsidRPr="00673C1F">
        <w:t xml:space="preserve"> significant past investments.</w:t>
      </w:r>
    </w:p>
    <w:p w14:paraId="4C05319C" w14:textId="10E1F04C" w:rsidR="00C469DD" w:rsidRPr="00673C1F" w:rsidRDefault="00A442D9" w:rsidP="003B1D3E">
      <w:r w:rsidRPr="00673C1F">
        <w:t xml:space="preserve">Superannuation fund taxes have been revised down </w:t>
      </w:r>
      <w:r w:rsidR="00F11F03" w:rsidRPr="00673C1F">
        <w:t>by</w:t>
      </w:r>
      <w:r w:rsidRPr="00673C1F">
        <w:t xml:space="preserve"> $3.4</w:t>
      </w:r>
      <w:r w:rsidR="009E19A4" w:rsidRPr="00673C1F">
        <w:t> </w:t>
      </w:r>
      <w:r w:rsidRPr="00673C1F">
        <w:t>billion in 2024–25 and $12.6</w:t>
      </w:r>
      <w:r w:rsidR="009E19A4" w:rsidRPr="00673C1F">
        <w:t> </w:t>
      </w:r>
      <w:r w:rsidRPr="00673C1F">
        <w:t xml:space="preserve">billion over the </w:t>
      </w:r>
      <w:r w:rsidR="007A22C6" w:rsidRPr="00673C1F">
        <w:t>five years</w:t>
      </w:r>
      <w:r w:rsidRPr="00673C1F">
        <w:t xml:space="preserve"> from 2023–24 to 2027–28 </w:t>
      </w:r>
      <w:r w:rsidR="003401F0" w:rsidRPr="00673C1F">
        <w:t xml:space="preserve">reflecting </w:t>
      </w:r>
      <w:r w:rsidR="00BD17EC" w:rsidRPr="00673C1F">
        <w:t>lower</w:t>
      </w:r>
      <w:r w:rsidR="006D727E" w:rsidRPr="00673C1F">
        <w:noBreakHyphen/>
      </w:r>
      <w:r w:rsidR="00BD17EC" w:rsidRPr="00673C1F">
        <w:t>than</w:t>
      </w:r>
      <w:r w:rsidR="006D727E" w:rsidRPr="00673C1F">
        <w:noBreakHyphen/>
      </w:r>
      <w:r w:rsidR="00BD17EC" w:rsidRPr="00673C1F">
        <w:t xml:space="preserve">expected </w:t>
      </w:r>
      <w:r w:rsidR="00FC444E" w:rsidRPr="00673C1F">
        <w:t xml:space="preserve">collections </w:t>
      </w:r>
      <w:r w:rsidR="0040176D" w:rsidRPr="00673C1F">
        <w:t>to</w:t>
      </w:r>
      <w:r w:rsidR="00B86986" w:rsidRPr="00673C1F">
        <w:t xml:space="preserve"> </w:t>
      </w:r>
      <w:r w:rsidR="0040176D" w:rsidRPr="00673C1F">
        <w:t>date in 2023–24</w:t>
      </w:r>
      <w:r w:rsidR="00FC444E" w:rsidRPr="00673C1F">
        <w:t xml:space="preserve"> and </w:t>
      </w:r>
      <w:r w:rsidRPr="00673C1F">
        <w:t>a</w:t>
      </w:r>
      <w:r w:rsidR="00E77778" w:rsidRPr="00673C1F">
        <w:t xml:space="preserve"> weaker outlook for</w:t>
      </w:r>
      <w:r w:rsidR="004D08A9" w:rsidRPr="00673C1F">
        <w:t xml:space="preserve"> </w:t>
      </w:r>
      <w:r w:rsidR="002D051A" w:rsidRPr="00673C1F">
        <w:t xml:space="preserve">tax from </w:t>
      </w:r>
      <w:r w:rsidR="004D08A9" w:rsidRPr="00673C1F">
        <w:t>earnings on investments</w:t>
      </w:r>
      <w:r w:rsidR="00F67CE9" w:rsidRPr="00673C1F">
        <w:t>.</w:t>
      </w:r>
      <w:r w:rsidR="005804B6" w:rsidRPr="00673C1F">
        <w:t xml:space="preserve"> </w:t>
      </w:r>
    </w:p>
    <w:p w14:paraId="142B775D" w14:textId="0EC52DD9" w:rsidR="00EE1720" w:rsidRPr="00673C1F" w:rsidRDefault="00EE1720" w:rsidP="003B1D3E">
      <w:r w:rsidRPr="00673C1F">
        <w:t>Lower</w:t>
      </w:r>
      <w:r w:rsidR="006D727E" w:rsidRPr="00673C1F">
        <w:noBreakHyphen/>
      </w:r>
      <w:r w:rsidRPr="00673C1F">
        <w:t>than</w:t>
      </w:r>
      <w:r w:rsidR="006D727E" w:rsidRPr="00673C1F">
        <w:noBreakHyphen/>
      </w:r>
      <w:r w:rsidRPr="00673C1F">
        <w:t>expected</w:t>
      </w:r>
      <w:r w:rsidR="0033781D" w:rsidRPr="00673C1F">
        <w:t xml:space="preserve"> </w:t>
      </w:r>
      <w:r w:rsidR="003E7B04" w:rsidRPr="00673C1F">
        <w:t>collections of</w:t>
      </w:r>
      <w:r w:rsidRPr="00673C1F">
        <w:t xml:space="preserve"> </w:t>
      </w:r>
      <w:r w:rsidR="007414D5" w:rsidRPr="00673C1F">
        <w:t xml:space="preserve">tobacco excise </w:t>
      </w:r>
      <w:r w:rsidR="005B0E22" w:rsidRPr="00673C1F">
        <w:t>in 2023–24</w:t>
      </w:r>
      <w:r w:rsidR="003E7B04" w:rsidRPr="00673C1F">
        <w:t xml:space="preserve"> coupled with</w:t>
      </w:r>
      <w:r w:rsidR="007414D5" w:rsidRPr="00673C1F">
        <w:t xml:space="preserve"> a weaker </w:t>
      </w:r>
      <w:r w:rsidR="00BE4AA5" w:rsidRPr="00673C1F">
        <w:t xml:space="preserve">forecast level of tobacco consumption </w:t>
      </w:r>
      <w:r w:rsidR="00BE6D51" w:rsidRPr="00673C1F">
        <w:t xml:space="preserve">contribute to </w:t>
      </w:r>
      <w:r w:rsidR="00BE4AA5" w:rsidRPr="00673C1F">
        <w:t xml:space="preserve">a </w:t>
      </w:r>
      <w:r w:rsidR="007611CF" w:rsidRPr="00673C1F">
        <w:t xml:space="preserve">downgrade </w:t>
      </w:r>
      <w:r w:rsidR="007C4B5C" w:rsidRPr="00673C1F">
        <w:t>to</w:t>
      </w:r>
      <w:r w:rsidR="00BE6D51" w:rsidRPr="00673C1F">
        <w:t xml:space="preserve"> </w:t>
      </w:r>
      <w:r w:rsidR="00162AE7" w:rsidRPr="00673C1F">
        <w:t xml:space="preserve">tobacco </w:t>
      </w:r>
      <w:r w:rsidR="007C4B5C" w:rsidRPr="00673C1F">
        <w:t>excise</w:t>
      </w:r>
      <w:r w:rsidR="00084EB0" w:rsidRPr="00673C1F">
        <w:t xml:space="preserve"> receipts </w:t>
      </w:r>
      <w:r w:rsidR="007611CF" w:rsidRPr="00673C1F">
        <w:t>of $1.7</w:t>
      </w:r>
      <w:r w:rsidR="009E19A4" w:rsidRPr="00673C1F">
        <w:t> </w:t>
      </w:r>
      <w:r w:rsidR="007611CF" w:rsidRPr="00673C1F">
        <w:t>billion in 2024–25 and $12.5 billion over the five years from 2023–24 to 2027–28</w:t>
      </w:r>
      <w:r w:rsidR="00E85E27" w:rsidRPr="00673C1F">
        <w:t>.</w:t>
      </w:r>
      <w:r w:rsidR="007414D5" w:rsidRPr="00673C1F">
        <w:t xml:space="preserve"> </w:t>
      </w:r>
    </w:p>
    <w:p w14:paraId="7A9093DA" w14:textId="3093B9F4" w:rsidR="008C197E" w:rsidRPr="00673C1F" w:rsidRDefault="002C2E3A" w:rsidP="003B1D3E">
      <w:r w:rsidRPr="00673C1F">
        <w:t>GST receipts have been revised down by $9</w:t>
      </w:r>
      <w:r w:rsidR="00706D73" w:rsidRPr="00673C1F">
        <w:t>19</w:t>
      </w:r>
      <w:r w:rsidR="004F0F46" w:rsidRPr="00673C1F">
        <w:t>.</w:t>
      </w:r>
      <w:r w:rsidR="00706D73" w:rsidRPr="00673C1F">
        <w:t>4</w:t>
      </w:r>
      <w:r w:rsidR="00F968E3" w:rsidRPr="00673C1F">
        <w:t> </w:t>
      </w:r>
      <w:r w:rsidRPr="00673C1F">
        <w:t>million in 2024</w:t>
      </w:r>
      <w:r w:rsidR="00737948" w:rsidRPr="00673C1F">
        <w:t>–</w:t>
      </w:r>
      <w:r w:rsidRPr="00673C1F">
        <w:t>25 and $5.5</w:t>
      </w:r>
      <w:r w:rsidR="00AC672B" w:rsidRPr="00673C1F">
        <w:t> </w:t>
      </w:r>
      <w:r w:rsidRPr="00673C1F">
        <w:t>billion over the five</w:t>
      </w:r>
      <w:r w:rsidR="00AC672B" w:rsidRPr="00673C1F">
        <w:t> </w:t>
      </w:r>
      <w:r w:rsidRPr="00673C1F">
        <w:t xml:space="preserve">years from 2023–24 to 2027–28. </w:t>
      </w:r>
      <w:r w:rsidR="00E83692" w:rsidRPr="00673C1F">
        <w:t>Th</w:t>
      </w:r>
      <w:r w:rsidR="002E671A" w:rsidRPr="00673C1F">
        <w:t>is is consistent with</w:t>
      </w:r>
      <w:r w:rsidR="00CB0C8D" w:rsidRPr="00673C1F">
        <w:t xml:space="preserve"> the</w:t>
      </w:r>
      <w:r w:rsidR="00644462" w:rsidRPr="00673C1F">
        <w:t xml:space="preserve"> outlook for </w:t>
      </w:r>
      <w:r w:rsidR="0074364C" w:rsidRPr="00673C1F">
        <w:t>nominal</w:t>
      </w:r>
      <w:r w:rsidR="00644462" w:rsidRPr="00673C1F">
        <w:t xml:space="preserve"> consumption subject to GST</w:t>
      </w:r>
      <w:r w:rsidR="00D231CE" w:rsidRPr="00673C1F">
        <w:t>,</w:t>
      </w:r>
      <w:r w:rsidR="00625B17" w:rsidRPr="00673C1F">
        <w:t xml:space="preserve"> </w:t>
      </w:r>
      <w:r w:rsidR="00CB0C8D" w:rsidRPr="00673C1F">
        <w:t>which</w:t>
      </w:r>
      <w:r w:rsidR="00625B17" w:rsidRPr="00673C1F">
        <w:t xml:space="preserve"> </w:t>
      </w:r>
      <w:r w:rsidR="00E83692" w:rsidRPr="00673C1F">
        <w:t xml:space="preserve">has been downgraded since MYEFO </w:t>
      </w:r>
      <w:r w:rsidR="00BF1B88" w:rsidRPr="00673C1F">
        <w:t xml:space="preserve">owing to </w:t>
      </w:r>
      <w:r w:rsidR="002C3BED" w:rsidRPr="00673C1F">
        <w:t>weaker</w:t>
      </w:r>
      <w:r w:rsidR="00A3295D" w:rsidRPr="00673C1F">
        <w:t xml:space="preserve"> discretionary</w:t>
      </w:r>
      <w:r w:rsidR="00586519" w:rsidRPr="00673C1F">
        <w:t xml:space="preserve"> </w:t>
      </w:r>
      <w:r w:rsidR="005804B6" w:rsidRPr="00673C1F">
        <w:t>consumption</w:t>
      </w:r>
      <w:r w:rsidR="0000540A" w:rsidRPr="00673C1F">
        <w:t>.</w:t>
      </w:r>
    </w:p>
    <w:p w14:paraId="54E910ED" w14:textId="3B9611E2" w:rsidR="00356E70" w:rsidRPr="00673C1F" w:rsidRDefault="00356E70" w:rsidP="003B1D3E">
      <w:r w:rsidRPr="00673C1F">
        <w:t xml:space="preserve">Policy decisions in this Budget focus on reforms to </w:t>
      </w:r>
      <w:r w:rsidR="00787395" w:rsidRPr="00673C1F">
        <w:t xml:space="preserve">provide </w:t>
      </w:r>
      <w:r w:rsidR="00A3295D" w:rsidRPr="00673C1F">
        <w:t>cost</w:t>
      </w:r>
      <w:r w:rsidR="006D727E" w:rsidRPr="00673C1F">
        <w:noBreakHyphen/>
      </w:r>
      <w:r w:rsidR="00065BBF" w:rsidRPr="00673C1F">
        <w:t>of</w:t>
      </w:r>
      <w:r w:rsidR="006D727E" w:rsidRPr="00673C1F">
        <w:noBreakHyphen/>
      </w:r>
      <w:r w:rsidR="00A3295D" w:rsidRPr="00673C1F">
        <w:t xml:space="preserve">living </w:t>
      </w:r>
      <w:r w:rsidR="00DA043D" w:rsidRPr="00673C1F">
        <w:t>relief</w:t>
      </w:r>
      <w:r w:rsidR="00C7656F" w:rsidRPr="00673C1F">
        <w:t>, support investment, promote integrity and tackle fraud</w:t>
      </w:r>
      <w:r w:rsidRPr="00673C1F">
        <w:t xml:space="preserve">. Policy decisions taken since </w:t>
      </w:r>
      <w:r w:rsidR="00384EBD" w:rsidRPr="00673C1F">
        <w:t>MYEFO</w:t>
      </w:r>
      <w:r w:rsidRPr="00673C1F">
        <w:t xml:space="preserve"> increase tax receipts by $</w:t>
      </w:r>
      <w:r w:rsidR="00623CCA" w:rsidRPr="00673C1F">
        <w:t>1.7</w:t>
      </w:r>
      <w:r w:rsidR="00AC672B" w:rsidRPr="00673C1F">
        <w:t> </w:t>
      </w:r>
      <w:r w:rsidRPr="00673C1F">
        <w:t>billion in 202</w:t>
      </w:r>
      <w:r w:rsidR="001D35CB" w:rsidRPr="00673C1F">
        <w:t>4</w:t>
      </w:r>
      <w:r w:rsidRPr="00673C1F">
        <w:t>–2</w:t>
      </w:r>
      <w:r w:rsidR="001D35CB" w:rsidRPr="00673C1F">
        <w:t>5</w:t>
      </w:r>
      <w:r w:rsidRPr="00673C1F">
        <w:t xml:space="preserve"> and $</w:t>
      </w:r>
      <w:r w:rsidR="00E1742B" w:rsidRPr="00673C1F">
        <w:t>4.9</w:t>
      </w:r>
      <w:r w:rsidR="00AC672B" w:rsidRPr="00673C1F">
        <w:t> </w:t>
      </w:r>
      <w:r w:rsidRPr="00673C1F">
        <w:t xml:space="preserve">billion over the </w:t>
      </w:r>
      <w:r w:rsidR="007A22C6" w:rsidRPr="00673C1F">
        <w:t>five years</w:t>
      </w:r>
      <w:r w:rsidRPr="00673C1F">
        <w:t xml:space="preserve"> from 202</w:t>
      </w:r>
      <w:r w:rsidR="00E5699D" w:rsidRPr="00673C1F">
        <w:t>3</w:t>
      </w:r>
      <w:r w:rsidRPr="00673C1F">
        <w:t>–2</w:t>
      </w:r>
      <w:r w:rsidR="00E5699D" w:rsidRPr="00673C1F">
        <w:t>4</w:t>
      </w:r>
      <w:r w:rsidRPr="00673C1F">
        <w:t xml:space="preserve"> to 202</w:t>
      </w:r>
      <w:r w:rsidR="005132D0" w:rsidRPr="00673C1F">
        <w:t>7</w:t>
      </w:r>
      <w:r w:rsidRPr="00673C1F">
        <w:t>–2</w:t>
      </w:r>
      <w:r w:rsidR="005132D0" w:rsidRPr="00673C1F">
        <w:t>8</w:t>
      </w:r>
      <w:r w:rsidRPr="00673C1F">
        <w:t>. Key policy decisions include:</w:t>
      </w:r>
    </w:p>
    <w:p w14:paraId="34850293" w14:textId="6B8B8F20" w:rsidR="001C2AD3" w:rsidRPr="00673C1F" w:rsidRDefault="001C2AD3" w:rsidP="001C2AD3">
      <w:pPr>
        <w:pStyle w:val="Bullet"/>
        <w:rPr>
          <w:i/>
        </w:rPr>
      </w:pPr>
      <w:r w:rsidRPr="00673C1F">
        <w:rPr>
          <w:i/>
        </w:rPr>
        <w:tab/>
        <w:t xml:space="preserve">Personal Income Tax – </w:t>
      </w:r>
      <w:r w:rsidR="00784532" w:rsidRPr="00673C1F">
        <w:rPr>
          <w:i/>
        </w:rPr>
        <w:t>C</w:t>
      </w:r>
      <w:r w:rsidRPr="00673C1F">
        <w:rPr>
          <w:i/>
        </w:rPr>
        <w:t>ost</w:t>
      </w:r>
      <w:r w:rsidR="00784532" w:rsidRPr="00673C1F">
        <w:rPr>
          <w:i/>
        </w:rPr>
        <w:t xml:space="preserve"> </w:t>
      </w:r>
      <w:r w:rsidR="003F3C83" w:rsidRPr="00673C1F">
        <w:rPr>
          <w:i/>
        </w:rPr>
        <w:t>o</w:t>
      </w:r>
      <w:r w:rsidRPr="00673C1F">
        <w:rPr>
          <w:i/>
        </w:rPr>
        <w:t>f</w:t>
      </w:r>
      <w:r w:rsidR="003F3C83" w:rsidRPr="00673C1F">
        <w:rPr>
          <w:i/>
        </w:rPr>
        <w:t xml:space="preserve"> L</w:t>
      </w:r>
      <w:r w:rsidRPr="00673C1F">
        <w:rPr>
          <w:i/>
        </w:rPr>
        <w:t xml:space="preserve">iving </w:t>
      </w:r>
      <w:r w:rsidR="003F3C83" w:rsidRPr="00673C1F">
        <w:rPr>
          <w:i/>
        </w:rPr>
        <w:t>T</w:t>
      </w:r>
      <w:r w:rsidRPr="00673C1F">
        <w:rPr>
          <w:i/>
        </w:rPr>
        <w:t xml:space="preserve">ax </w:t>
      </w:r>
      <w:r w:rsidR="003F3C83" w:rsidRPr="00673C1F">
        <w:rPr>
          <w:i/>
        </w:rPr>
        <w:t>C</w:t>
      </w:r>
      <w:r w:rsidRPr="00673C1F">
        <w:rPr>
          <w:i/>
        </w:rPr>
        <w:t>uts</w:t>
      </w:r>
    </w:p>
    <w:p w14:paraId="6DC0898E" w14:textId="63FEBDED" w:rsidR="001C2AD3" w:rsidRPr="00673C1F" w:rsidRDefault="001C2AD3" w:rsidP="001C2AD3">
      <w:pPr>
        <w:pStyle w:val="Bullet"/>
        <w:rPr>
          <w:i/>
        </w:rPr>
      </w:pPr>
      <w:r w:rsidRPr="00673C1F">
        <w:rPr>
          <w:i/>
        </w:rPr>
        <w:tab/>
        <w:t xml:space="preserve">Strengthening Tax Compliance – </w:t>
      </w:r>
      <w:r w:rsidR="00DF2854" w:rsidRPr="00673C1F">
        <w:rPr>
          <w:i/>
        </w:rPr>
        <w:t>e</w:t>
      </w:r>
      <w:r w:rsidRPr="00673C1F">
        <w:rPr>
          <w:i/>
        </w:rPr>
        <w:t>xtending the Shadow Economy Compliance Program</w:t>
      </w:r>
    </w:p>
    <w:p w14:paraId="0E6A09B8" w14:textId="476A5910" w:rsidR="001C2AD3" w:rsidRPr="00673C1F" w:rsidRDefault="001C2AD3" w:rsidP="001C2AD3">
      <w:pPr>
        <w:pStyle w:val="Bullet"/>
        <w:rPr>
          <w:i/>
        </w:rPr>
      </w:pPr>
      <w:r w:rsidRPr="00673C1F">
        <w:rPr>
          <w:i/>
        </w:rPr>
        <w:tab/>
        <w:t xml:space="preserve">Strengthening Tax Compliance – </w:t>
      </w:r>
      <w:r w:rsidR="00BF4E09" w:rsidRPr="00673C1F">
        <w:rPr>
          <w:i/>
        </w:rPr>
        <w:t>e</w:t>
      </w:r>
      <w:r w:rsidRPr="00673C1F">
        <w:rPr>
          <w:i/>
        </w:rPr>
        <w:t>xtending the Tax Avoidance Taskforce</w:t>
      </w:r>
    </w:p>
    <w:p w14:paraId="3515E7F2" w14:textId="1449CFD1" w:rsidR="005B0A5D" w:rsidRPr="00673C1F" w:rsidRDefault="001C2AD3" w:rsidP="002C682D">
      <w:pPr>
        <w:pStyle w:val="Bullet"/>
        <w:rPr>
          <w:i/>
        </w:rPr>
      </w:pPr>
      <w:r w:rsidRPr="00673C1F">
        <w:lastRenderedPageBreak/>
        <w:tab/>
      </w:r>
      <w:r w:rsidRPr="00673C1F">
        <w:rPr>
          <w:i/>
        </w:rPr>
        <w:t xml:space="preserve">Strengthening the </w:t>
      </w:r>
      <w:r w:rsidR="00A47001" w:rsidRPr="00673C1F">
        <w:rPr>
          <w:i/>
        </w:rPr>
        <w:t>f</w:t>
      </w:r>
      <w:r w:rsidRPr="00673C1F">
        <w:rPr>
          <w:i/>
        </w:rPr>
        <w:t xml:space="preserve">oreign </w:t>
      </w:r>
      <w:r w:rsidR="00A47001" w:rsidRPr="00673C1F">
        <w:rPr>
          <w:i/>
        </w:rPr>
        <w:t>r</w:t>
      </w:r>
      <w:r w:rsidRPr="00673C1F">
        <w:rPr>
          <w:i/>
        </w:rPr>
        <w:t xml:space="preserve">esident </w:t>
      </w:r>
      <w:r w:rsidR="00A47001" w:rsidRPr="00673C1F">
        <w:rPr>
          <w:i/>
        </w:rPr>
        <w:t>c</w:t>
      </w:r>
      <w:r w:rsidRPr="00673C1F">
        <w:rPr>
          <w:i/>
        </w:rPr>
        <w:t xml:space="preserve">apital </w:t>
      </w:r>
      <w:r w:rsidR="00A47001" w:rsidRPr="00673C1F">
        <w:rPr>
          <w:i/>
        </w:rPr>
        <w:t>g</w:t>
      </w:r>
      <w:r w:rsidRPr="00673C1F">
        <w:rPr>
          <w:i/>
        </w:rPr>
        <w:t xml:space="preserve">ains </w:t>
      </w:r>
      <w:r w:rsidR="00A47001" w:rsidRPr="00673C1F">
        <w:rPr>
          <w:i/>
        </w:rPr>
        <w:t>t</w:t>
      </w:r>
      <w:r w:rsidRPr="00673C1F">
        <w:rPr>
          <w:i/>
        </w:rPr>
        <w:t xml:space="preserve">ax </w:t>
      </w:r>
      <w:r w:rsidR="00A47001" w:rsidRPr="00673C1F">
        <w:rPr>
          <w:i/>
        </w:rPr>
        <w:t>r</w:t>
      </w:r>
      <w:r w:rsidRPr="00673C1F">
        <w:rPr>
          <w:i/>
        </w:rPr>
        <w:t>egime</w:t>
      </w:r>
    </w:p>
    <w:p w14:paraId="34A6FE46" w14:textId="2E06F3F7" w:rsidR="00FE2516" w:rsidRPr="00673C1F" w:rsidRDefault="001C2AD3" w:rsidP="006276B8">
      <w:pPr>
        <w:pStyle w:val="Bullet"/>
      </w:pPr>
      <w:r w:rsidRPr="00673C1F">
        <w:rPr>
          <w:i/>
        </w:rPr>
        <w:t xml:space="preserve">Small Business Support </w:t>
      </w:r>
      <w:r w:rsidR="00027061" w:rsidRPr="00673C1F">
        <w:rPr>
          <w:i/>
        </w:rPr>
        <w:t>–</w:t>
      </w:r>
      <w:r w:rsidRPr="00673C1F">
        <w:rPr>
          <w:i/>
        </w:rPr>
        <w:t xml:space="preserve"> $20,000 instant asset write</w:t>
      </w:r>
      <w:r w:rsidR="006D727E" w:rsidRPr="00673C1F">
        <w:rPr>
          <w:i/>
        </w:rPr>
        <w:noBreakHyphen/>
      </w:r>
      <w:r w:rsidRPr="00673C1F">
        <w:rPr>
          <w:i/>
        </w:rPr>
        <w:t>off</w:t>
      </w:r>
      <w:r w:rsidR="00285A4E" w:rsidRPr="00673C1F">
        <w:t>.</w:t>
      </w:r>
      <w:r w:rsidRPr="00673C1F">
        <w:t xml:space="preserve"> </w:t>
      </w:r>
    </w:p>
    <w:p w14:paraId="19ADD375" w14:textId="555AD8E5" w:rsidR="00865B29" w:rsidRPr="00673C1F" w:rsidRDefault="00CA1258" w:rsidP="00175535">
      <w:r w:rsidRPr="00673C1F">
        <w:t xml:space="preserve">In addition to these measures </w:t>
      </w:r>
      <w:r w:rsidR="00E7650B" w:rsidRPr="00673C1F">
        <w:t xml:space="preserve">the Government has announced </w:t>
      </w:r>
      <w:r w:rsidR="00086DB6" w:rsidRPr="00673C1F">
        <w:t xml:space="preserve">production tax </w:t>
      </w:r>
      <w:r w:rsidR="008F6EAE" w:rsidRPr="00673C1F">
        <w:t>incentives</w:t>
      </w:r>
      <w:r w:rsidR="00086DB6" w:rsidRPr="00673C1F">
        <w:t xml:space="preserve"> to accelerate investment</w:t>
      </w:r>
      <w:r w:rsidR="008F6EAE" w:rsidRPr="00673C1F">
        <w:t xml:space="preserve"> in Future Made in Australia priority industries</w:t>
      </w:r>
      <w:r w:rsidR="002D1C39" w:rsidRPr="00673C1F">
        <w:t>.</w:t>
      </w:r>
      <w:r w:rsidR="00E7650B" w:rsidRPr="00673C1F">
        <w:t xml:space="preserve"> </w:t>
      </w:r>
      <w:r w:rsidR="002D1C39" w:rsidRPr="00673C1F">
        <w:t>W</w:t>
      </w:r>
      <w:r w:rsidR="00E7650B" w:rsidRPr="00673C1F">
        <w:t>hile delivered through the tax system</w:t>
      </w:r>
      <w:r w:rsidR="002D1C39" w:rsidRPr="00673C1F">
        <w:t>,</w:t>
      </w:r>
      <w:r w:rsidR="00E7650B" w:rsidRPr="00673C1F">
        <w:t xml:space="preserve"> these </w:t>
      </w:r>
      <w:r w:rsidR="008F6EAE" w:rsidRPr="00673C1F">
        <w:t xml:space="preserve">tax credits </w:t>
      </w:r>
      <w:r w:rsidR="00E7650B" w:rsidRPr="00673C1F">
        <w:t>are treated as expenses for budget purposes</w:t>
      </w:r>
      <w:r w:rsidRPr="00673C1F">
        <w:t xml:space="preserve">. </w:t>
      </w:r>
    </w:p>
    <w:p w14:paraId="03599EBA" w14:textId="59367831" w:rsidR="00356E70" w:rsidRPr="00673C1F" w:rsidRDefault="00356E70" w:rsidP="00175535">
      <w:r w:rsidRPr="00673C1F">
        <w:t xml:space="preserve">For more details on policy decisions, see </w:t>
      </w:r>
      <w:r w:rsidRPr="00673C1F">
        <w:rPr>
          <w:rStyle w:val="Emphasis"/>
        </w:rPr>
        <w:t>Budget Statement 1</w:t>
      </w:r>
      <w:r w:rsidRPr="00673C1F">
        <w:t xml:space="preserve"> and Budget Paper No. 2.</w:t>
      </w:r>
    </w:p>
    <w:tbl>
      <w:tblPr>
        <w:tblW w:w="5000" w:type="pct"/>
        <w:shd w:val="clear" w:color="auto" w:fill="E6F2FF"/>
        <w:tblCellMar>
          <w:top w:w="284" w:type="dxa"/>
          <w:bottom w:w="284" w:type="dxa"/>
        </w:tblCellMar>
        <w:tblLook w:val="0000" w:firstRow="0" w:lastRow="0" w:firstColumn="0" w:lastColumn="0" w:noHBand="0" w:noVBand="0"/>
      </w:tblPr>
      <w:tblGrid>
        <w:gridCol w:w="7710"/>
      </w:tblGrid>
      <w:tr w:rsidR="00780452" w:rsidRPr="00BD68BD" w14:paraId="70C63341" w14:textId="77777777" w:rsidTr="00A75E1F">
        <w:trPr>
          <w:cantSplit/>
        </w:trPr>
        <w:tc>
          <w:tcPr>
            <w:tcW w:w="7710" w:type="dxa"/>
            <w:shd w:val="clear" w:color="auto" w:fill="E6F2FF"/>
          </w:tcPr>
          <w:p w14:paraId="202B0569" w14:textId="331205F1" w:rsidR="00780452" w:rsidRPr="00673C1F" w:rsidRDefault="00780452">
            <w:pPr>
              <w:pStyle w:val="BoxHeading"/>
            </w:pPr>
            <w:r w:rsidRPr="00673C1F">
              <w:lastRenderedPageBreak/>
              <w:t xml:space="preserve">Box 5.1 Growth in </w:t>
            </w:r>
            <w:r w:rsidR="00343CD0" w:rsidRPr="00673C1F">
              <w:t>incomes driving</w:t>
            </w:r>
            <w:r w:rsidRPr="00673C1F">
              <w:t xml:space="preserve"> personal income tax</w:t>
            </w:r>
          </w:p>
          <w:p w14:paraId="0C825B26" w14:textId="47AE3863" w:rsidR="00F50937" w:rsidRPr="00673C1F" w:rsidRDefault="00F50937" w:rsidP="00F50937">
            <w:pPr>
              <w:pStyle w:val="BoxText"/>
            </w:pPr>
            <w:r w:rsidRPr="00673C1F">
              <w:t xml:space="preserve">The </w:t>
            </w:r>
            <w:r w:rsidR="00753F45" w:rsidRPr="00673C1F">
              <w:t>resilient</w:t>
            </w:r>
            <w:r w:rsidRPr="00673C1F">
              <w:t xml:space="preserve"> </w:t>
            </w:r>
            <w:r w:rsidR="007B1FAC" w:rsidRPr="00673C1F">
              <w:t xml:space="preserve">labour market, </w:t>
            </w:r>
            <w:r w:rsidR="00CF0C66" w:rsidRPr="00673C1F">
              <w:t xml:space="preserve">which has </w:t>
            </w:r>
            <w:r w:rsidR="00786486" w:rsidRPr="00673C1F">
              <w:t>resulted in</w:t>
            </w:r>
            <w:r w:rsidR="00E0356F" w:rsidRPr="00673C1F">
              <w:t xml:space="preserve"> stronger</w:t>
            </w:r>
            <w:r w:rsidR="007B1FAC" w:rsidRPr="00673C1F">
              <w:t xml:space="preserve"> </w:t>
            </w:r>
            <w:r w:rsidR="0047692B" w:rsidRPr="00673C1F">
              <w:t>wage</w:t>
            </w:r>
            <w:r w:rsidR="006B1BF6" w:rsidRPr="00673C1F">
              <w:t xml:space="preserve"> and </w:t>
            </w:r>
            <w:r w:rsidR="007B1FAC" w:rsidRPr="00673C1F">
              <w:t>employment growth</w:t>
            </w:r>
            <w:r w:rsidR="006D757B" w:rsidRPr="00673C1F">
              <w:t>,</w:t>
            </w:r>
            <w:r w:rsidR="007B1FAC" w:rsidRPr="00673C1F">
              <w:t xml:space="preserve"> is </w:t>
            </w:r>
            <w:r w:rsidR="000B346F" w:rsidRPr="00673C1F">
              <w:t xml:space="preserve">contributing to </w:t>
            </w:r>
            <w:r w:rsidR="007B1FAC" w:rsidRPr="00673C1F">
              <w:t>a</w:t>
            </w:r>
            <w:r w:rsidRPr="00673C1F">
              <w:t xml:space="preserve"> rise in personal income tax </w:t>
            </w:r>
            <w:r w:rsidR="000B346F" w:rsidRPr="00673C1F">
              <w:t xml:space="preserve">that </w:t>
            </w:r>
            <w:r w:rsidR="005355BD" w:rsidRPr="00673C1F">
              <w:t>is</w:t>
            </w:r>
            <w:r w:rsidR="00106E4A" w:rsidRPr="00673C1F">
              <w:t xml:space="preserve"> </w:t>
            </w:r>
            <w:r w:rsidRPr="00673C1F">
              <w:t>expected to be $</w:t>
            </w:r>
            <w:r w:rsidR="006A6B18" w:rsidRPr="00673C1F">
              <w:t>6</w:t>
            </w:r>
            <w:r w:rsidR="00E56229" w:rsidRPr="00673C1F">
              <w:t>7</w:t>
            </w:r>
            <w:r w:rsidR="00967AF6" w:rsidRPr="00673C1F">
              <w:t> </w:t>
            </w:r>
            <w:r w:rsidRPr="00673C1F">
              <w:t>billion (</w:t>
            </w:r>
            <w:r w:rsidR="00076470" w:rsidRPr="00673C1F">
              <w:t>2</w:t>
            </w:r>
            <w:r w:rsidR="00E56229" w:rsidRPr="00673C1F">
              <w:t>6</w:t>
            </w:r>
            <w:r w:rsidR="00AC672B" w:rsidRPr="00673C1F">
              <w:t> </w:t>
            </w:r>
            <w:r w:rsidRPr="00673C1F">
              <w:t>per</w:t>
            </w:r>
            <w:r w:rsidR="00AC672B" w:rsidRPr="00673C1F">
              <w:t> </w:t>
            </w:r>
            <w:r w:rsidRPr="00673C1F">
              <w:t>cent) higher</w:t>
            </w:r>
            <w:r w:rsidR="00427CE9" w:rsidRPr="00673C1F">
              <w:t xml:space="preserve"> on a receipts basis</w:t>
            </w:r>
            <w:r w:rsidR="00136EDF" w:rsidRPr="00673C1F">
              <w:t xml:space="preserve"> and $57 billion </w:t>
            </w:r>
            <w:r w:rsidR="00B6235D" w:rsidRPr="00673C1F">
              <w:t>(20 per cent)</w:t>
            </w:r>
            <w:r w:rsidR="004D0190" w:rsidRPr="00673C1F">
              <w:t xml:space="preserve"> on an income year basis</w:t>
            </w:r>
            <w:r w:rsidRPr="00673C1F">
              <w:t xml:space="preserve"> in 2024</w:t>
            </w:r>
            <w:r w:rsidR="0028610E" w:rsidRPr="00673C1F">
              <w:t>–</w:t>
            </w:r>
            <w:r w:rsidRPr="00673C1F">
              <w:t>25 than 20</w:t>
            </w:r>
            <w:r w:rsidR="00076470" w:rsidRPr="00673C1F">
              <w:t>21</w:t>
            </w:r>
            <w:r w:rsidR="00275190" w:rsidRPr="00673C1F">
              <w:t>–</w:t>
            </w:r>
            <w:r w:rsidRPr="00673C1F">
              <w:t>2</w:t>
            </w:r>
            <w:r w:rsidR="002D5D90" w:rsidRPr="00673C1F">
              <w:t>2</w:t>
            </w:r>
            <w:r w:rsidRPr="00673C1F">
              <w:t xml:space="preserve">. </w:t>
            </w:r>
            <w:r w:rsidR="005D3E06" w:rsidRPr="00673C1F">
              <w:t>T</w:t>
            </w:r>
            <w:r w:rsidR="00DF1D76" w:rsidRPr="00673C1F">
              <w:t xml:space="preserve">wo </w:t>
            </w:r>
            <w:r w:rsidR="003A7517" w:rsidRPr="00673C1F">
              <w:t>thirds of the increase</w:t>
            </w:r>
            <w:r w:rsidR="005D3E06" w:rsidRPr="00673C1F">
              <w:t xml:space="preserve"> in 2024–25 relative to 2021–22</w:t>
            </w:r>
            <w:r w:rsidR="003A7517" w:rsidRPr="00673C1F">
              <w:t xml:space="preserve"> is driven by strong</w:t>
            </w:r>
            <w:r w:rsidR="00C20A04" w:rsidRPr="00673C1F">
              <w:t xml:space="preserve"> expected growth in incomes</w:t>
            </w:r>
            <w:r w:rsidR="00120B74" w:rsidRPr="00673C1F">
              <w:t xml:space="preserve">, while around </w:t>
            </w:r>
            <w:r w:rsidR="00A30CF2" w:rsidRPr="00673C1F">
              <w:t>a quarter</w:t>
            </w:r>
            <w:r w:rsidR="00120B74" w:rsidRPr="00673C1F">
              <w:t xml:space="preserve"> is due to tax filer population growth</w:t>
            </w:r>
            <w:r w:rsidR="005D3E06" w:rsidRPr="00673C1F">
              <w:t xml:space="preserve"> (Chart</w:t>
            </w:r>
            <w:r w:rsidR="000C54BA" w:rsidRPr="00673C1F">
              <w:t> </w:t>
            </w:r>
            <w:r w:rsidR="005D3E06" w:rsidRPr="00673C1F">
              <w:t>5.1)</w:t>
            </w:r>
            <w:r w:rsidR="00495FFF" w:rsidRPr="00673C1F">
              <w:t>. The impact of bracket creep is much smaller</w:t>
            </w:r>
            <w:r w:rsidR="00B8723A" w:rsidRPr="00673C1F">
              <w:t xml:space="preserve">, accounting for </w:t>
            </w:r>
            <w:r w:rsidR="002B12A9" w:rsidRPr="00673C1F">
              <w:t>less than</w:t>
            </w:r>
            <w:r w:rsidR="00D66FCE" w:rsidRPr="00673C1F">
              <w:t xml:space="preserve"> 10</w:t>
            </w:r>
            <w:r w:rsidR="0087798E" w:rsidRPr="00673C1F">
              <w:t xml:space="preserve"> per cent of the forecast increase in 2024</w:t>
            </w:r>
            <w:r w:rsidR="003D1755" w:rsidRPr="00673C1F">
              <w:t>–</w:t>
            </w:r>
            <w:r w:rsidR="0087798E" w:rsidRPr="00673C1F">
              <w:t>25</w:t>
            </w:r>
            <w:r w:rsidR="0071735B" w:rsidRPr="00673C1F">
              <w:t>. Without the Government</w:t>
            </w:r>
            <w:r w:rsidR="006D727E" w:rsidRPr="00673C1F">
              <w:t>’</w:t>
            </w:r>
            <w:r w:rsidR="0071735B" w:rsidRPr="00673C1F">
              <w:t>s cost</w:t>
            </w:r>
            <w:r w:rsidR="006D727E" w:rsidRPr="00673C1F">
              <w:noBreakHyphen/>
            </w:r>
            <w:r w:rsidR="0071735B" w:rsidRPr="00673C1F">
              <w:t>of</w:t>
            </w:r>
            <w:r w:rsidR="006D727E" w:rsidRPr="00673C1F">
              <w:noBreakHyphen/>
            </w:r>
            <w:r w:rsidR="0071735B" w:rsidRPr="00673C1F">
              <w:t xml:space="preserve">living tax cuts, </w:t>
            </w:r>
            <w:r w:rsidR="009457D5" w:rsidRPr="00673C1F">
              <w:t xml:space="preserve">increases in </w:t>
            </w:r>
            <w:r w:rsidR="00C85EA0" w:rsidRPr="00673C1F">
              <w:t>average tax rates including</w:t>
            </w:r>
            <w:r w:rsidR="009457D5" w:rsidRPr="00673C1F">
              <w:t xml:space="preserve"> </w:t>
            </w:r>
            <w:r w:rsidR="00071DE1" w:rsidRPr="00673C1F">
              <w:t>bracket creep</w:t>
            </w:r>
            <w:r w:rsidR="009457D5" w:rsidRPr="00673C1F">
              <w:t xml:space="preserve"> </w:t>
            </w:r>
            <w:r w:rsidR="00BC628F" w:rsidRPr="00673C1F">
              <w:t xml:space="preserve">would </w:t>
            </w:r>
            <w:r w:rsidR="008530CD" w:rsidRPr="00673C1F">
              <w:t>have</w:t>
            </w:r>
            <w:r w:rsidR="00BC628F" w:rsidRPr="00673C1F">
              <w:t xml:space="preserve"> contributed </w:t>
            </w:r>
            <w:r w:rsidR="007276E8" w:rsidRPr="00673C1F">
              <w:t xml:space="preserve">to a third of </w:t>
            </w:r>
            <w:r w:rsidR="008530CD" w:rsidRPr="00673C1F">
              <w:t>the personal income tax</w:t>
            </w:r>
            <w:r w:rsidR="00237ADD" w:rsidRPr="00673C1F">
              <w:t xml:space="preserve"> </w:t>
            </w:r>
            <w:r w:rsidR="00B272D7" w:rsidRPr="00673C1F">
              <w:t xml:space="preserve">increase </w:t>
            </w:r>
            <w:r w:rsidR="007C268F" w:rsidRPr="00673C1F">
              <w:t>in 2024</w:t>
            </w:r>
            <w:r w:rsidR="003D1755" w:rsidRPr="00673C1F">
              <w:t>–</w:t>
            </w:r>
            <w:r w:rsidR="007C268F" w:rsidRPr="00673C1F">
              <w:t>25</w:t>
            </w:r>
            <w:r w:rsidR="00F27A56" w:rsidRPr="00673C1F">
              <w:t xml:space="preserve"> relative to 2021</w:t>
            </w:r>
            <w:r w:rsidR="003D1755" w:rsidRPr="00673C1F">
              <w:t>–</w:t>
            </w:r>
            <w:r w:rsidR="00F27A56" w:rsidRPr="00673C1F">
              <w:t>22</w:t>
            </w:r>
            <w:r w:rsidR="008530CD" w:rsidRPr="00673C1F">
              <w:t>.</w:t>
            </w:r>
            <w:r w:rsidR="0087798E" w:rsidRPr="00673C1F">
              <w:t xml:space="preserve"> </w:t>
            </w:r>
          </w:p>
          <w:p w14:paraId="35B9F80B" w14:textId="4C4C4B56" w:rsidR="00BE71D7" w:rsidRPr="00673C1F" w:rsidRDefault="002D6679" w:rsidP="00F50937">
            <w:pPr>
              <w:pStyle w:val="BoxText"/>
            </w:pPr>
            <w:r w:rsidRPr="00673C1F">
              <w:t xml:space="preserve">Growth </w:t>
            </w:r>
            <w:r w:rsidR="00F50937" w:rsidRPr="00673C1F">
              <w:t xml:space="preserve">in personal income tax </w:t>
            </w:r>
            <w:r w:rsidRPr="00673C1F">
              <w:t xml:space="preserve">is </w:t>
            </w:r>
            <w:r w:rsidR="00F50937" w:rsidRPr="00673C1F">
              <w:t xml:space="preserve">determined by </w:t>
            </w:r>
            <w:r w:rsidR="006A169B" w:rsidRPr="00673C1F">
              <w:t xml:space="preserve">the number of </w:t>
            </w:r>
            <w:r w:rsidR="004E4221" w:rsidRPr="00673C1F">
              <w:t xml:space="preserve">tax filers </w:t>
            </w:r>
            <w:r w:rsidR="006A169B" w:rsidRPr="00673C1F">
              <w:t>(</w:t>
            </w:r>
            <w:r w:rsidR="008F02D4" w:rsidRPr="00673C1F">
              <w:t xml:space="preserve">driven by </w:t>
            </w:r>
            <w:r w:rsidR="00F50937" w:rsidRPr="00673C1F">
              <w:t>growth in population</w:t>
            </w:r>
            <w:r w:rsidR="008F02D4" w:rsidRPr="00673C1F">
              <w:t xml:space="preserve"> and</w:t>
            </w:r>
            <w:r w:rsidR="006D4C9C" w:rsidRPr="00673C1F">
              <w:t xml:space="preserve"> </w:t>
            </w:r>
            <w:r w:rsidR="00B6024F" w:rsidRPr="00673C1F">
              <w:t>employment</w:t>
            </w:r>
            <w:r w:rsidR="008F02D4" w:rsidRPr="00673C1F">
              <w:t>)</w:t>
            </w:r>
            <w:r w:rsidR="00F50937" w:rsidRPr="00673C1F">
              <w:t>, income</w:t>
            </w:r>
            <w:r w:rsidR="0050427B" w:rsidRPr="00673C1F">
              <w:t xml:space="preserve"> growth</w:t>
            </w:r>
            <w:r w:rsidR="00697416" w:rsidRPr="00673C1F">
              <w:t>,</w:t>
            </w:r>
            <w:r w:rsidR="00F50937" w:rsidRPr="00673C1F">
              <w:t xml:space="preserve"> </w:t>
            </w:r>
            <w:r w:rsidR="00A0406A" w:rsidRPr="00673C1F">
              <w:t>i</w:t>
            </w:r>
            <w:r w:rsidR="002E1D4A" w:rsidRPr="00673C1F">
              <w:t xml:space="preserve">ncreases in average tax rates </w:t>
            </w:r>
            <w:r w:rsidR="00A0406A" w:rsidRPr="00673C1F">
              <w:t>(</w:t>
            </w:r>
            <w:r w:rsidR="003B4AFF" w:rsidRPr="00673C1F">
              <w:t xml:space="preserve">often </w:t>
            </w:r>
            <w:r w:rsidR="002E1D4A" w:rsidRPr="00673C1F">
              <w:t>referred to</w:t>
            </w:r>
            <w:r w:rsidR="0031591F" w:rsidRPr="00673C1F">
              <w:t xml:space="preserve"> </w:t>
            </w:r>
            <w:r w:rsidR="003B4AFF" w:rsidRPr="00673C1F">
              <w:t>as bracket creep)</w:t>
            </w:r>
            <w:r w:rsidR="00697416" w:rsidRPr="00673C1F">
              <w:t xml:space="preserve"> and changes in tax policy</w:t>
            </w:r>
            <w:r w:rsidR="00F50937" w:rsidRPr="00673C1F">
              <w:t xml:space="preserve">. </w:t>
            </w:r>
            <w:r w:rsidR="00BE71D7" w:rsidRPr="00673C1F">
              <w:t>Chart</w:t>
            </w:r>
            <w:r w:rsidR="000C54BA" w:rsidRPr="00673C1F">
              <w:t> </w:t>
            </w:r>
            <w:r w:rsidR="00F211DE" w:rsidRPr="00673C1F">
              <w:t>5.</w:t>
            </w:r>
            <w:r w:rsidR="00FE5161" w:rsidRPr="00673C1F">
              <w:t>1</w:t>
            </w:r>
            <w:r w:rsidR="00BE71D7" w:rsidRPr="00673C1F">
              <w:t xml:space="preserve"> decomposes </w:t>
            </w:r>
            <w:r w:rsidR="00FB02F7" w:rsidRPr="00673C1F">
              <w:t xml:space="preserve">the </w:t>
            </w:r>
            <w:r w:rsidR="00BE71D7" w:rsidRPr="00673C1F">
              <w:t>growth in personal income tax into those components.</w:t>
            </w:r>
          </w:p>
          <w:p w14:paraId="3FF10AE2" w14:textId="76A0AE53" w:rsidR="00DC76AC" w:rsidRPr="00673C1F" w:rsidRDefault="00DC76AC" w:rsidP="00382380">
            <w:pPr>
              <w:pStyle w:val="ChartHeading"/>
              <w:spacing w:after="120"/>
            </w:pPr>
            <w:r w:rsidRPr="00673C1F">
              <w:t xml:space="preserve">Chart </w:t>
            </w:r>
            <w:r w:rsidR="00F211DE" w:rsidRPr="00673C1F">
              <w:t>5.</w:t>
            </w:r>
            <w:r w:rsidR="00FE5161" w:rsidRPr="00673C1F">
              <w:t>1</w:t>
            </w:r>
            <w:r w:rsidRPr="00673C1F">
              <w:t>: Drivers of growth in personal income tax compared to 20</w:t>
            </w:r>
            <w:r w:rsidR="002D5D90" w:rsidRPr="00673C1F">
              <w:t>21</w:t>
            </w:r>
            <w:r w:rsidRPr="00673C1F">
              <w:t>–2</w:t>
            </w:r>
            <w:r w:rsidR="002D5D90" w:rsidRPr="00673C1F">
              <w:t>2</w:t>
            </w:r>
            <w:r w:rsidRPr="00673C1F">
              <w:t xml:space="preserve"> </w:t>
            </w:r>
            <w:r w:rsidR="00D3535C" w:rsidRPr="00673C1F">
              <w:t>(</w:t>
            </w:r>
            <w:r w:rsidRPr="00673C1F">
              <w:t>income year basis</w:t>
            </w:r>
            <w:r w:rsidR="00D3535C" w:rsidRPr="00673C1F">
              <w:t>)</w:t>
            </w:r>
          </w:p>
          <w:p w14:paraId="696A8E65" w14:textId="00E5451D" w:rsidR="00687F97" w:rsidRPr="00673C1F" w:rsidRDefault="00D42EF7" w:rsidP="00E41683">
            <w:pPr>
              <w:pStyle w:val="ChartGraphic"/>
            </w:pPr>
            <w:r>
              <w:pict w14:anchorId="325EFB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chart decomposes the increase in personal income tax (on an income year basis) into amounts from average income growth, growth in the number of tax filers and increases in the average tax rate due to bracket creep and policy changes. Components are presented in terms of change in the amount of personal income tax relative to the 2021-22 level in years from 2022-23 to 2024-25. The chart demonstrates that the Government's cost-of-living tax cuts in 2024-25 decrease bracket creep by $25 billion and that the largest driver of increased personal income tax over the period 2022-23 to 2024-25 is average income growth which amounts to $73 billion of the expected $153 billion increase." style="width:353pt;height:209pt">
                  <v:imagedata r:id="rId21" o:title=""/>
                </v:shape>
              </w:pict>
            </w:r>
          </w:p>
          <w:p w14:paraId="0846EC1D" w14:textId="0AD9D38B" w:rsidR="00DC76AC" w:rsidRPr="00673C1F" w:rsidRDefault="00DC76AC" w:rsidP="006276B8">
            <w:pPr>
              <w:pStyle w:val="ChartandTableFootnote"/>
              <w:ind w:left="0" w:firstLine="0"/>
              <w:rPr>
                <w:color w:val="auto"/>
              </w:rPr>
            </w:pPr>
            <w:r w:rsidRPr="00673C1F">
              <w:rPr>
                <w:color w:val="auto"/>
              </w:rPr>
              <w:t>Source:</w:t>
            </w:r>
            <w:r w:rsidRPr="00673C1F">
              <w:rPr>
                <w:color w:val="auto"/>
              </w:rPr>
              <w:tab/>
              <w:t>Treasury.</w:t>
            </w:r>
          </w:p>
          <w:p w14:paraId="7ADC9187" w14:textId="6F0F85A9" w:rsidR="00002E0C" w:rsidRPr="00673C1F" w:rsidRDefault="00CF239F" w:rsidP="005815CD">
            <w:pPr>
              <w:pStyle w:val="ChartandTableFootnote"/>
              <w:ind w:left="0" w:firstLine="0"/>
              <w:rPr>
                <w:color w:val="auto"/>
              </w:rPr>
            </w:pPr>
            <w:r w:rsidRPr="00673C1F">
              <w:rPr>
                <w:color w:val="auto"/>
              </w:rPr>
              <w:t>Note:</w:t>
            </w:r>
            <w:r w:rsidR="00D645AB" w:rsidRPr="00673C1F">
              <w:rPr>
                <w:color w:val="auto"/>
              </w:rPr>
              <w:tab/>
            </w:r>
            <w:r w:rsidRPr="00673C1F">
              <w:rPr>
                <w:color w:val="auto"/>
              </w:rPr>
              <w:t>Growth in the number of tax filers reflects a combination of population growth, labour force participation and other economic factors that affect the number of individuals earning income. Growth in average incomes includes the effect of growth in nominal wages and non</w:t>
            </w:r>
            <w:r w:rsidR="006D727E" w:rsidRPr="00673C1F">
              <w:rPr>
                <w:color w:val="auto"/>
              </w:rPr>
              <w:noBreakHyphen/>
            </w:r>
            <w:r w:rsidRPr="00673C1F">
              <w:rPr>
                <w:color w:val="auto"/>
              </w:rPr>
              <w:t xml:space="preserve">employment incomes, including capital gains, business income and dividend income. </w:t>
            </w:r>
            <w:r w:rsidR="00A75E1F" w:rsidRPr="00673C1F">
              <w:rPr>
                <w:color w:val="auto"/>
              </w:rPr>
              <w:t>Bracket creep reflects the increase in the average tax rate</w:t>
            </w:r>
            <w:r w:rsidR="00FB02F7" w:rsidRPr="00673C1F">
              <w:rPr>
                <w:color w:val="auto"/>
              </w:rPr>
              <w:t xml:space="preserve"> due to income growth, as individuals pay a decreasing share </w:t>
            </w:r>
            <w:r w:rsidR="00D05E5B" w:rsidRPr="00673C1F">
              <w:rPr>
                <w:color w:val="auto"/>
              </w:rPr>
              <w:t>of their income at lower marginal tax rates</w:t>
            </w:r>
            <w:r w:rsidR="00125299" w:rsidRPr="00673C1F">
              <w:rPr>
                <w:color w:val="auto"/>
              </w:rPr>
              <w:t>,</w:t>
            </w:r>
            <w:r w:rsidR="00A75E1F" w:rsidRPr="00673C1F">
              <w:rPr>
                <w:color w:val="auto"/>
              </w:rPr>
              <w:t xml:space="preserve"> and </w:t>
            </w:r>
            <w:r w:rsidR="003E374B" w:rsidRPr="00673C1F">
              <w:rPr>
                <w:color w:val="auto"/>
              </w:rPr>
              <w:t>includes</w:t>
            </w:r>
            <w:r w:rsidR="007402A5" w:rsidRPr="00673C1F">
              <w:rPr>
                <w:color w:val="auto"/>
              </w:rPr>
              <w:t xml:space="preserve"> the effect</w:t>
            </w:r>
            <w:r w:rsidR="00A02CD6" w:rsidRPr="00673C1F">
              <w:rPr>
                <w:color w:val="auto"/>
              </w:rPr>
              <w:t xml:space="preserve"> of policy changes</w:t>
            </w:r>
            <w:r w:rsidR="00A75E1F" w:rsidRPr="00673C1F">
              <w:rPr>
                <w:color w:val="auto"/>
              </w:rPr>
              <w:t xml:space="preserve">. </w:t>
            </w:r>
          </w:p>
          <w:p w14:paraId="56D6331B" w14:textId="6D653C83" w:rsidR="00CF239F" w:rsidRPr="00673C1F" w:rsidRDefault="00DA008E" w:rsidP="005815CD">
            <w:pPr>
              <w:pStyle w:val="ChartandTableFootnote"/>
              <w:ind w:left="0" w:firstLine="0"/>
              <w:rPr>
                <w:color w:val="auto"/>
              </w:rPr>
            </w:pPr>
            <w:r w:rsidRPr="00673C1F">
              <w:rPr>
                <w:color w:val="auto"/>
              </w:rPr>
              <w:t xml:space="preserve">The chart is prepared on an income year basis, which </w:t>
            </w:r>
            <w:r w:rsidR="00AB6F47" w:rsidRPr="00673C1F">
              <w:rPr>
                <w:color w:val="auto"/>
              </w:rPr>
              <w:t xml:space="preserve">differs from tax receipts due to </w:t>
            </w:r>
            <w:r w:rsidR="00F666E8" w:rsidRPr="00673C1F">
              <w:rPr>
                <w:color w:val="auto"/>
              </w:rPr>
              <w:t>differences in when tax is incurred compared to when paid</w:t>
            </w:r>
            <w:r w:rsidR="00AB6F47" w:rsidRPr="00673C1F">
              <w:rPr>
                <w:color w:val="auto"/>
              </w:rPr>
              <w:t>.</w:t>
            </w:r>
          </w:p>
          <w:p w14:paraId="23DCDCC5" w14:textId="77777777" w:rsidR="00DC76AC" w:rsidRPr="00673C1F" w:rsidRDefault="00DC76AC" w:rsidP="00954823">
            <w:pPr>
              <w:pStyle w:val="ChartLine"/>
            </w:pPr>
          </w:p>
          <w:p w14:paraId="2D7B5DB2" w14:textId="2CFCD6B6" w:rsidR="005951CD" w:rsidRPr="00673C1F" w:rsidRDefault="00611F76" w:rsidP="005815CD">
            <w:pPr>
              <w:pStyle w:val="Box-continuedon"/>
              <w:spacing w:after="0"/>
            </w:pPr>
            <w:r w:rsidRPr="00673C1F">
              <w:t>C</w:t>
            </w:r>
            <w:r w:rsidR="00DA11E9" w:rsidRPr="00673C1F">
              <w:t>ontinued o</w:t>
            </w:r>
            <w:r w:rsidR="006477DD" w:rsidRPr="00673C1F">
              <w:t>n next</w:t>
            </w:r>
            <w:r w:rsidR="00DA11E9" w:rsidRPr="00673C1F">
              <w:t xml:space="preserve"> page</w:t>
            </w:r>
          </w:p>
        </w:tc>
      </w:tr>
      <w:tr w:rsidR="0015047D" w:rsidRPr="00BD68BD" w14:paraId="307C9AD5" w14:textId="77777777" w:rsidTr="00E86D4C">
        <w:tblPrEx>
          <w:tblCellMar>
            <w:left w:w="284" w:type="dxa"/>
            <w:right w:w="284" w:type="dxa"/>
          </w:tblCellMar>
        </w:tblPrEx>
        <w:trPr>
          <w:cantSplit/>
        </w:trPr>
        <w:tc>
          <w:tcPr>
            <w:tcW w:w="7710" w:type="dxa"/>
            <w:shd w:val="clear" w:color="auto" w:fill="E6F2FF"/>
          </w:tcPr>
          <w:p w14:paraId="72C11364" w14:textId="5FF72614" w:rsidR="009B54F0" w:rsidRPr="00673C1F" w:rsidRDefault="0015047D" w:rsidP="00D54BED">
            <w:pPr>
              <w:pStyle w:val="BoxHeading"/>
            </w:pPr>
            <w:r w:rsidRPr="00673C1F">
              <w:lastRenderedPageBreak/>
              <w:t xml:space="preserve">Box 5.1 Growth in </w:t>
            </w:r>
            <w:r w:rsidR="00343CD0" w:rsidRPr="00673C1F">
              <w:rPr>
                <w:rStyle w:val="BoxHeading-Continued"/>
                <w:sz w:val="20"/>
              </w:rPr>
              <w:t>incomes</w:t>
            </w:r>
            <w:r w:rsidR="00343CD0" w:rsidRPr="00673C1F">
              <w:t xml:space="preserve"> driving</w:t>
            </w:r>
            <w:r w:rsidRPr="00673C1F">
              <w:t xml:space="preserve"> personal income tax </w:t>
            </w:r>
            <w:r w:rsidRPr="00673C1F">
              <w:rPr>
                <w:rStyle w:val="BoxHeading-Continued"/>
              </w:rPr>
              <w:t>(continued)</w:t>
            </w:r>
          </w:p>
          <w:p w14:paraId="7D8AE9FF" w14:textId="5DAD260C" w:rsidR="008656BD" w:rsidRPr="00673C1F" w:rsidRDefault="00071DE1" w:rsidP="005815CD">
            <w:pPr>
              <w:pStyle w:val="BoxText"/>
            </w:pPr>
            <w:r w:rsidRPr="00673C1F">
              <w:t xml:space="preserve">Growth in average incomes is expected to be the largest </w:t>
            </w:r>
            <w:r w:rsidR="00E17FC0" w:rsidRPr="00673C1F">
              <w:t>driver of growth in personal income tax, account</w:t>
            </w:r>
            <w:r w:rsidR="00333892" w:rsidRPr="00673C1F">
              <w:t>ing</w:t>
            </w:r>
            <w:r w:rsidR="00E17FC0" w:rsidRPr="00673C1F">
              <w:t xml:space="preserve"> for </w:t>
            </w:r>
            <w:r w:rsidR="0052520C" w:rsidRPr="00673C1F">
              <w:t>two</w:t>
            </w:r>
            <w:r w:rsidR="00333892" w:rsidRPr="00673C1F">
              <w:t xml:space="preserve"> third</w:t>
            </w:r>
            <w:r w:rsidR="0052520C" w:rsidRPr="00673C1F">
              <w:t>s</w:t>
            </w:r>
            <w:r w:rsidR="00E17FC0" w:rsidRPr="00673C1F">
              <w:t xml:space="preserve"> of the forecast rise</w:t>
            </w:r>
            <w:r w:rsidR="00333892" w:rsidRPr="00673C1F">
              <w:t xml:space="preserve"> in 2024–25</w:t>
            </w:r>
            <w:r w:rsidR="00E17FC0" w:rsidRPr="00673C1F">
              <w:t xml:space="preserve">. </w:t>
            </w:r>
            <w:r w:rsidR="008656BD" w:rsidRPr="00673C1F">
              <w:t>The average income per</w:t>
            </w:r>
            <w:r w:rsidR="002811BB" w:rsidRPr="00673C1F">
              <w:t> </w:t>
            </w:r>
            <w:r w:rsidR="008656BD" w:rsidRPr="00673C1F">
              <w:t>tax filer is expected to increase from $</w:t>
            </w:r>
            <w:r w:rsidR="005E2450" w:rsidRPr="00673C1F">
              <w:t>71</w:t>
            </w:r>
            <w:r w:rsidR="008656BD" w:rsidRPr="00673C1F">
              <w:t>,000 in 20</w:t>
            </w:r>
            <w:r w:rsidR="005E2450" w:rsidRPr="00673C1F">
              <w:t>21</w:t>
            </w:r>
            <w:r w:rsidR="008656BD" w:rsidRPr="00673C1F">
              <w:t>–2</w:t>
            </w:r>
            <w:r w:rsidR="000B4352" w:rsidRPr="00673C1F">
              <w:t>2</w:t>
            </w:r>
            <w:r w:rsidR="008656BD" w:rsidRPr="00673C1F">
              <w:t xml:space="preserve"> to $80,000 in 2024–25</w:t>
            </w:r>
            <w:r w:rsidR="00C7030A" w:rsidRPr="00673C1F">
              <w:t>,</w:t>
            </w:r>
            <w:r w:rsidR="008656BD" w:rsidRPr="00673C1F">
              <w:t xml:space="preserve"> </w:t>
            </w:r>
            <w:r w:rsidR="00C7030A" w:rsidRPr="00673C1F">
              <w:t>which</w:t>
            </w:r>
            <w:r w:rsidR="0085729D" w:rsidRPr="00673C1F">
              <w:t xml:space="preserve"> </w:t>
            </w:r>
            <w:r w:rsidR="008656BD" w:rsidRPr="00673C1F">
              <w:t>would contribute an additional $</w:t>
            </w:r>
            <w:r w:rsidR="00AD1B46" w:rsidRPr="00673C1F">
              <w:t>3</w:t>
            </w:r>
            <w:r w:rsidR="001875C0" w:rsidRPr="00673C1F">
              <w:t>6</w:t>
            </w:r>
            <w:r w:rsidR="001166A9" w:rsidRPr="00673C1F">
              <w:t> </w:t>
            </w:r>
            <w:r w:rsidR="008656BD" w:rsidRPr="00673C1F">
              <w:t>billion in income tax by 2024–25 with constant average tax rates. Growth in average incomes is broad</w:t>
            </w:r>
            <w:r w:rsidR="006D727E" w:rsidRPr="00673C1F">
              <w:noBreakHyphen/>
            </w:r>
            <w:r w:rsidR="008656BD" w:rsidRPr="00673C1F">
              <w:t>based over this period for workers, business owners and retirees, with</w:t>
            </w:r>
            <w:r w:rsidR="00AF2BC8" w:rsidRPr="00673C1F">
              <w:t xml:space="preserve"> growth in incomes being concentrated in</w:t>
            </w:r>
            <w:r w:rsidR="008656BD" w:rsidRPr="00673C1F">
              <w:t xml:space="preserve"> salary and wages </w:t>
            </w:r>
            <w:r w:rsidR="001B46C4" w:rsidRPr="00673C1F">
              <w:t xml:space="preserve">income, </w:t>
            </w:r>
            <w:r w:rsidR="008656BD" w:rsidRPr="00673C1F">
              <w:t xml:space="preserve">business income, and interest income. </w:t>
            </w:r>
          </w:p>
          <w:p w14:paraId="3E29F6C8" w14:textId="1CD78BDB" w:rsidR="00DA11E9" w:rsidRPr="00673C1F" w:rsidRDefault="00854648" w:rsidP="005815CD">
            <w:pPr>
              <w:pStyle w:val="BoxText"/>
            </w:pPr>
            <w:r w:rsidRPr="00673C1F">
              <w:t>Continuing employment</w:t>
            </w:r>
            <w:r w:rsidR="00180BA1" w:rsidRPr="00673C1F">
              <w:t xml:space="preserve"> and </w:t>
            </w:r>
            <w:r w:rsidR="001B1959" w:rsidRPr="00673C1F">
              <w:t>population</w:t>
            </w:r>
            <w:r w:rsidRPr="00673C1F">
              <w:t xml:space="preserve"> growth</w:t>
            </w:r>
            <w:r w:rsidR="00203F68" w:rsidRPr="00673C1F">
              <w:t>, which</w:t>
            </w:r>
            <w:r w:rsidRPr="00673C1F" w:rsidDel="00203F68">
              <w:t xml:space="preserve"> </w:t>
            </w:r>
            <w:r w:rsidR="00940287" w:rsidRPr="00673C1F">
              <w:t>increas</w:t>
            </w:r>
            <w:r w:rsidR="006E2203" w:rsidRPr="00673C1F">
              <w:t>es</w:t>
            </w:r>
            <w:r w:rsidR="00940287" w:rsidRPr="00673C1F">
              <w:t xml:space="preserve"> the number of tax filers</w:t>
            </w:r>
            <w:r w:rsidR="00203F68" w:rsidRPr="00673C1F">
              <w:t>,</w:t>
            </w:r>
            <w:r w:rsidRPr="00673C1F">
              <w:t xml:space="preserve"> </w:t>
            </w:r>
            <w:r w:rsidR="00BD2F25" w:rsidRPr="00673C1F">
              <w:t xml:space="preserve">is expected to account for </w:t>
            </w:r>
            <w:r w:rsidR="002C6E18" w:rsidRPr="00673C1F">
              <w:t>around a quarter of the forecast</w:t>
            </w:r>
            <w:r w:rsidR="00615DCB" w:rsidRPr="00673C1F">
              <w:t xml:space="preserve"> </w:t>
            </w:r>
            <w:r w:rsidR="00E761FA" w:rsidRPr="00673C1F">
              <w:t>rise in personal income taxes</w:t>
            </w:r>
            <w:r w:rsidR="00867AE5" w:rsidRPr="00673C1F">
              <w:t xml:space="preserve"> in 2024–25</w:t>
            </w:r>
            <w:r w:rsidR="008B2995" w:rsidRPr="00673C1F">
              <w:t>.</w:t>
            </w:r>
            <w:r w:rsidR="002C6E18" w:rsidRPr="00673C1F">
              <w:t xml:space="preserve"> </w:t>
            </w:r>
            <w:r w:rsidR="0030590B" w:rsidRPr="00673C1F">
              <w:t>The</w:t>
            </w:r>
            <w:r w:rsidR="00DD70FE" w:rsidRPr="00673C1F">
              <w:t xml:space="preserve"> </w:t>
            </w:r>
            <w:r w:rsidR="00F32CC6" w:rsidRPr="00673C1F">
              <w:t>6</w:t>
            </w:r>
            <w:r w:rsidR="00DD70FE" w:rsidRPr="00673C1F">
              <w:t xml:space="preserve"> per cent increase in tax filers</w:t>
            </w:r>
            <w:r w:rsidR="0030590B" w:rsidRPr="00673C1F">
              <w:t>,</w:t>
            </w:r>
            <w:r w:rsidR="00DD70FE" w:rsidRPr="00673C1F">
              <w:t xml:space="preserve"> </w:t>
            </w:r>
            <w:r w:rsidR="00CF6015" w:rsidRPr="00673C1F">
              <w:t>primarily from</w:t>
            </w:r>
            <w:r w:rsidR="009C456A" w:rsidRPr="00673C1F">
              <w:t xml:space="preserve"> </w:t>
            </w:r>
            <w:r w:rsidR="000E3022" w:rsidRPr="00673C1F">
              <w:t>s</w:t>
            </w:r>
            <w:r w:rsidR="0029536C" w:rsidRPr="00673C1F">
              <w:t>trong employment</w:t>
            </w:r>
            <w:r w:rsidR="00273E5B" w:rsidRPr="00673C1F">
              <w:t xml:space="preserve"> </w:t>
            </w:r>
            <w:r w:rsidR="0029536C" w:rsidRPr="00673C1F">
              <w:t>growth</w:t>
            </w:r>
            <w:r w:rsidR="0030590B" w:rsidRPr="00673C1F">
              <w:t>,</w:t>
            </w:r>
            <w:r w:rsidR="0029536C" w:rsidRPr="00673C1F" w:rsidDel="00273E5B">
              <w:t xml:space="preserve"> </w:t>
            </w:r>
            <w:r w:rsidR="00DA11E9" w:rsidRPr="00673C1F">
              <w:t>contribute</w:t>
            </w:r>
            <w:r w:rsidR="0029536C" w:rsidRPr="00673C1F">
              <w:t>s</w:t>
            </w:r>
            <w:r w:rsidR="00DA11E9" w:rsidRPr="00673C1F">
              <w:t xml:space="preserve"> a further $</w:t>
            </w:r>
            <w:r w:rsidR="00120369" w:rsidRPr="00673C1F">
              <w:t>16</w:t>
            </w:r>
            <w:r w:rsidR="00967AF6" w:rsidRPr="00673C1F">
              <w:t> </w:t>
            </w:r>
            <w:r w:rsidR="00DA11E9" w:rsidRPr="00673C1F">
              <w:t>billion in income tax</w:t>
            </w:r>
            <w:r w:rsidR="00E56229" w:rsidRPr="00673C1F">
              <w:t xml:space="preserve"> in </w:t>
            </w:r>
            <w:r w:rsidR="00203878" w:rsidRPr="00673C1F">
              <w:t>2024</w:t>
            </w:r>
            <w:r w:rsidR="003D1755" w:rsidRPr="00673C1F">
              <w:t>–</w:t>
            </w:r>
            <w:r w:rsidR="00203878" w:rsidRPr="00673C1F">
              <w:t>25</w:t>
            </w:r>
            <w:r w:rsidR="00DA11E9" w:rsidRPr="00673C1F">
              <w:t xml:space="preserve">. </w:t>
            </w:r>
            <w:r w:rsidR="00B87B6C" w:rsidRPr="00673C1F">
              <w:t>The</w:t>
            </w:r>
            <w:r w:rsidR="00C84091" w:rsidRPr="00673C1F">
              <w:t xml:space="preserve"> </w:t>
            </w:r>
            <w:r w:rsidR="004030ED" w:rsidRPr="00673C1F">
              <w:t xml:space="preserve">vast majority of </w:t>
            </w:r>
            <w:r w:rsidR="00047B02" w:rsidRPr="00673C1F">
              <w:t xml:space="preserve">additional </w:t>
            </w:r>
            <w:r w:rsidR="009D7202" w:rsidRPr="00673C1F">
              <w:t xml:space="preserve">tax filers </w:t>
            </w:r>
            <w:r w:rsidR="00B87B6C" w:rsidRPr="00673C1F">
              <w:t>have been</w:t>
            </w:r>
            <w:r w:rsidR="009D7202" w:rsidRPr="00673C1F">
              <w:t xml:space="preserve"> wage and salary earners</w:t>
            </w:r>
            <w:r w:rsidR="00702FE9" w:rsidRPr="00673C1F">
              <w:t>.</w:t>
            </w:r>
            <w:r w:rsidR="00DA11E9" w:rsidRPr="00673C1F">
              <w:t xml:space="preserve"> </w:t>
            </w:r>
          </w:p>
          <w:p w14:paraId="19DF8EF9" w14:textId="3790DCE3" w:rsidR="0015047D" w:rsidRPr="00673C1F" w:rsidRDefault="00454E85" w:rsidP="005815CD">
            <w:pPr>
              <w:pStyle w:val="BoxText"/>
            </w:pPr>
            <w:r w:rsidRPr="00673C1F">
              <w:t xml:space="preserve">Policy changes </w:t>
            </w:r>
            <w:r w:rsidR="009A2A3F" w:rsidRPr="00673C1F">
              <w:t xml:space="preserve">significantly </w:t>
            </w:r>
            <w:r w:rsidR="00725B48" w:rsidRPr="00673C1F">
              <w:t>reduce the effect of</w:t>
            </w:r>
            <w:r w:rsidR="00DA11E9" w:rsidRPr="00673C1F">
              <w:t xml:space="preserve"> bracket creep </w:t>
            </w:r>
            <w:r w:rsidR="00EA00F7" w:rsidRPr="00673C1F">
              <w:t>in 2024</w:t>
            </w:r>
            <w:r w:rsidR="003D1755" w:rsidRPr="00673C1F">
              <w:t>–</w:t>
            </w:r>
            <w:r w:rsidR="00EA00F7" w:rsidRPr="00673C1F">
              <w:t>25</w:t>
            </w:r>
            <w:r w:rsidR="00AA0BD5" w:rsidRPr="00673C1F">
              <w:t>,</w:t>
            </w:r>
            <w:r w:rsidR="00DA11E9" w:rsidRPr="00673C1F">
              <w:t xml:space="preserve"> </w:t>
            </w:r>
            <w:r w:rsidR="00372B92" w:rsidRPr="00673C1F">
              <w:t>especially</w:t>
            </w:r>
            <w:r w:rsidR="00DA11E9" w:rsidRPr="00673C1F">
              <w:t xml:space="preserve"> the Government</w:t>
            </w:r>
            <w:r w:rsidR="006D727E" w:rsidRPr="00673C1F">
              <w:t>’</w:t>
            </w:r>
            <w:r w:rsidR="00DA11E9" w:rsidRPr="00673C1F">
              <w:t>s cost</w:t>
            </w:r>
            <w:r w:rsidR="006D727E" w:rsidRPr="00673C1F">
              <w:noBreakHyphen/>
            </w:r>
            <w:r w:rsidR="00DA11E9" w:rsidRPr="00673C1F">
              <w:t>of</w:t>
            </w:r>
            <w:r w:rsidR="006D727E" w:rsidRPr="00673C1F">
              <w:noBreakHyphen/>
            </w:r>
            <w:r w:rsidR="00DA11E9" w:rsidRPr="00673C1F">
              <w:t>living tax cuts</w:t>
            </w:r>
            <w:r w:rsidR="00AA0BD5" w:rsidRPr="00673C1F">
              <w:t xml:space="preserve"> that</w:t>
            </w:r>
            <w:r w:rsidR="00DA11E9" w:rsidRPr="00673C1F">
              <w:t xml:space="preserve"> will deliver a tax cut to every Australian taxpayer from 1</w:t>
            </w:r>
            <w:r w:rsidR="00AC672B" w:rsidRPr="00673C1F">
              <w:t> </w:t>
            </w:r>
            <w:r w:rsidR="00DA11E9" w:rsidRPr="00673C1F">
              <w:t>July</w:t>
            </w:r>
            <w:r w:rsidR="00AC672B" w:rsidRPr="00673C1F">
              <w:t> </w:t>
            </w:r>
            <w:r w:rsidR="00DA11E9" w:rsidRPr="00673C1F">
              <w:t>2024 and reduce the personal income tax take by $23</w:t>
            </w:r>
            <w:r w:rsidR="00D645AB" w:rsidRPr="00673C1F">
              <w:t> </w:t>
            </w:r>
            <w:r w:rsidR="00DA11E9" w:rsidRPr="00673C1F">
              <w:t>billion in 2024</w:t>
            </w:r>
            <w:r w:rsidR="00275190" w:rsidRPr="00673C1F">
              <w:t>–</w:t>
            </w:r>
            <w:r w:rsidR="00DA11E9" w:rsidRPr="00673C1F">
              <w:t>25.</w:t>
            </w:r>
            <w:r w:rsidR="001B1959" w:rsidRPr="00673C1F">
              <w:t xml:space="preserve"> This </w:t>
            </w:r>
            <w:r w:rsidR="00867AE5" w:rsidRPr="00673C1F">
              <w:t xml:space="preserve">policy change </w:t>
            </w:r>
            <w:r w:rsidR="001B1959" w:rsidRPr="00673C1F">
              <w:t xml:space="preserve">means, that despite continuing </w:t>
            </w:r>
            <w:r w:rsidR="00831993" w:rsidRPr="00673C1F">
              <w:t>to forecast</w:t>
            </w:r>
            <w:r w:rsidR="001B1959" w:rsidRPr="00673C1F">
              <w:t xml:space="preserve"> strength in the labour market</w:t>
            </w:r>
            <w:r w:rsidR="00EF7B71" w:rsidRPr="00673C1F">
              <w:t>, personal income tax receipts are expect</w:t>
            </w:r>
            <w:r w:rsidR="00CF630E" w:rsidRPr="00673C1F">
              <w:t>ed</w:t>
            </w:r>
            <w:r w:rsidR="00EF7B71" w:rsidRPr="00673C1F">
              <w:t xml:space="preserve"> to be lower in </w:t>
            </w:r>
            <w:r w:rsidR="00252FE5" w:rsidRPr="00673C1F">
              <w:t xml:space="preserve">2024–25 </w:t>
            </w:r>
            <w:r w:rsidR="00631867" w:rsidRPr="00673C1F">
              <w:t>than in</w:t>
            </w:r>
            <w:r w:rsidR="00B06AD4" w:rsidRPr="00673C1F">
              <w:t xml:space="preserve"> 2023–24.</w:t>
            </w:r>
          </w:p>
        </w:tc>
      </w:tr>
    </w:tbl>
    <w:p w14:paraId="5A9AFD13" w14:textId="77777777" w:rsidR="00DD557B" w:rsidRPr="00673C1F" w:rsidRDefault="00DD557B" w:rsidP="00967AF6">
      <w:bookmarkStart w:id="8" w:name="_Toc512337934"/>
      <w:bookmarkStart w:id="9" w:name="_Toc52676199"/>
      <w:bookmarkStart w:id="10" w:name="_Toc99201820"/>
      <w:bookmarkStart w:id="11" w:name="_Toc117324547"/>
      <w:bookmarkStart w:id="12" w:name="_Toc134182347"/>
      <w:bookmarkStart w:id="13" w:name="_Toc52676198"/>
      <w:r w:rsidRPr="00673C1F">
        <w:br w:type="page"/>
      </w:r>
    </w:p>
    <w:p w14:paraId="754FAA3E" w14:textId="77777777" w:rsidR="00356E70" w:rsidRPr="00673C1F" w:rsidRDefault="00356E70" w:rsidP="00356E70">
      <w:pPr>
        <w:pStyle w:val="Heading2"/>
      </w:pPr>
      <w:r w:rsidRPr="00673C1F">
        <w:lastRenderedPageBreak/>
        <w:t>Variations in receipts estimates</w:t>
      </w:r>
      <w:bookmarkEnd w:id="8"/>
      <w:bookmarkEnd w:id="9"/>
      <w:bookmarkEnd w:id="10"/>
      <w:bookmarkEnd w:id="11"/>
      <w:bookmarkEnd w:id="12"/>
    </w:p>
    <w:p w14:paraId="0C430CCE" w14:textId="379E65DA" w:rsidR="00356E70" w:rsidRPr="00673C1F" w:rsidRDefault="00356E70" w:rsidP="00356E70">
      <w:r w:rsidRPr="00673C1F">
        <w:t xml:space="preserve">Since </w:t>
      </w:r>
      <w:r w:rsidR="00384EBD" w:rsidRPr="00673C1F">
        <w:t>MYEFO</w:t>
      </w:r>
      <w:r w:rsidRPr="00673C1F">
        <w:t>, total receipts have been revised up by $</w:t>
      </w:r>
      <w:r w:rsidR="007C4E98" w:rsidRPr="00673C1F">
        <w:t>7.7</w:t>
      </w:r>
      <w:r w:rsidR="00AC672B" w:rsidRPr="00673C1F">
        <w:t> </w:t>
      </w:r>
      <w:r w:rsidRPr="00673C1F">
        <w:t xml:space="preserve">billion in </w:t>
      </w:r>
      <w:r w:rsidR="009E1785" w:rsidRPr="00673C1F">
        <w:t>2024</w:t>
      </w:r>
      <w:r w:rsidRPr="00673C1F">
        <w:t>–2</w:t>
      </w:r>
      <w:r w:rsidR="009E1785" w:rsidRPr="00673C1F">
        <w:t>5</w:t>
      </w:r>
      <w:r w:rsidRPr="00673C1F">
        <w:t xml:space="preserve"> and $</w:t>
      </w:r>
      <w:r w:rsidR="001E5791" w:rsidRPr="00673C1F">
        <w:t>31.8</w:t>
      </w:r>
      <w:r w:rsidR="00AC672B" w:rsidRPr="00673C1F">
        <w:t> </w:t>
      </w:r>
      <w:r w:rsidRPr="00673C1F">
        <w:t xml:space="preserve">billion over the </w:t>
      </w:r>
      <w:r w:rsidR="007A22C6" w:rsidRPr="00673C1F">
        <w:t>five years</w:t>
      </w:r>
      <w:r w:rsidR="00C97D26" w:rsidRPr="00673C1F">
        <w:t xml:space="preserve"> from 2023–24 to 2027–28</w:t>
      </w:r>
      <w:r w:rsidRPr="00673C1F">
        <w:t>. Table</w:t>
      </w:r>
      <w:r w:rsidR="007D0851" w:rsidRPr="00673C1F">
        <w:t> </w:t>
      </w:r>
      <w:r w:rsidRPr="00673C1F">
        <w:t xml:space="preserve">5.2 reconciles </w:t>
      </w:r>
      <w:r w:rsidR="00EC6F21" w:rsidRPr="00673C1F">
        <w:t>the 2024–</w:t>
      </w:r>
      <w:r w:rsidR="0068585E" w:rsidRPr="00673C1F">
        <w:t>‍</w:t>
      </w:r>
      <w:r w:rsidR="00EC6F21" w:rsidRPr="00673C1F">
        <w:t>25</w:t>
      </w:r>
      <w:r w:rsidR="0068585E" w:rsidRPr="00673C1F">
        <w:t> </w:t>
      </w:r>
      <w:r w:rsidR="00EC6F21" w:rsidRPr="00673C1F">
        <w:t xml:space="preserve">Budget </w:t>
      </w:r>
      <w:r w:rsidRPr="00673C1F">
        <w:t>estimates of total receipts with</w:t>
      </w:r>
      <w:r w:rsidR="001F1D64" w:rsidRPr="00673C1F">
        <w:t xml:space="preserve"> the 2023–24 Budget</w:t>
      </w:r>
      <w:r w:rsidR="005F5D6C" w:rsidRPr="00673C1F">
        <w:t xml:space="preserve"> and</w:t>
      </w:r>
      <w:r w:rsidRPr="00673C1F">
        <w:t xml:space="preserve"> </w:t>
      </w:r>
      <w:r w:rsidR="00384EBD" w:rsidRPr="00673C1F">
        <w:t>MYEFO</w:t>
      </w:r>
      <w:r w:rsidR="005F5D6C" w:rsidRPr="00673C1F">
        <w:t>.</w:t>
      </w:r>
    </w:p>
    <w:p w14:paraId="42382A01" w14:textId="4545CF06" w:rsidR="00B73037" w:rsidRPr="00673C1F" w:rsidRDefault="00356E70" w:rsidP="00E60C9E">
      <w:pPr>
        <w:pStyle w:val="TableHeading"/>
        <w:rPr>
          <w:rFonts w:asciiTheme="minorHAnsi" w:eastAsiaTheme="minorHAnsi" w:hAnsiTheme="minorHAnsi" w:cstheme="minorBidi"/>
          <w:sz w:val="22"/>
          <w:szCs w:val="22"/>
          <w:lang w:eastAsia="en-US"/>
        </w:rPr>
      </w:pPr>
      <w:r w:rsidRPr="00673C1F">
        <w:t xml:space="preserve">Table 5.2: Reconciliation of Australian Government general government receipts estimates from the </w:t>
      </w:r>
      <w:r w:rsidR="00384EBD" w:rsidRPr="00673C1F">
        <w:t>2023</w:t>
      </w:r>
      <w:r w:rsidR="00275190" w:rsidRPr="00673C1F">
        <w:t>–</w:t>
      </w:r>
      <w:r w:rsidR="00384EBD" w:rsidRPr="00673C1F">
        <w:t>24 MYEFO</w:t>
      </w:r>
      <w:r w:rsidRPr="00673C1F">
        <w:t xml:space="preserve"> </w:t>
      </w:r>
      <w:r w:rsidR="00075B95" w:rsidRPr="00673C1F">
        <w:t xml:space="preserve">and </w:t>
      </w:r>
      <w:r w:rsidR="00282D84" w:rsidRPr="00673C1F">
        <w:t>202</w:t>
      </w:r>
      <w:r w:rsidR="00886279" w:rsidRPr="00673C1F">
        <w:t>3</w:t>
      </w:r>
      <w:r w:rsidR="00282D84" w:rsidRPr="00673C1F">
        <w:t>–2</w:t>
      </w:r>
      <w:r w:rsidR="00886279" w:rsidRPr="00673C1F">
        <w:t>4</w:t>
      </w:r>
      <w:r w:rsidR="00282D84" w:rsidRPr="00673C1F">
        <w:t xml:space="preserve"> Budge</w:t>
      </w:r>
      <w:r w:rsidR="003F2649" w:rsidRPr="00673C1F">
        <w:t xml:space="preserve">t </w:t>
      </w:r>
    </w:p>
    <w:tbl>
      <w:tblPr>
        <w:tblW w:w="5000" w:type="pct"/>
        <w:tblCellMar>
          <w:left w:w="0" w:type="dxa"/>
          <w:right w:w="28" w:type="dxa"/>
        </w:tblCellMar>
        <w:tblLook w:val="04A0" w:firstRow="1" w:lastRow="0" w:firstColumn="1" w:lastColumn="0" w:noHBand="0" w:noVBand="1"/>
      </w:tblPr>
      <w:tblGrid>
        <w:gridCol w:w="2967"/>
        <w:gridCol w:w="754"/>
        <w:gridCol w:w="754"/>
        <w:gridCol w:w="754"/>
        <w:gridCol w:w="754"/>
        <w:gridCol w:w="754"/>
        <w:gridCol w:w="86"/>
        <w:gridCol w:w="887"/>
      </w:tblGrid>
      <w:tr w:rsidR="00B73037" w:rsidRPr="00BD68BD" w14:paraId="73C7A5AF" w14:textId="77777777" w:rsidTr="00C1546F">
        <w:trPr>
          <w:trHeight w:hRule="exact" w:val="225"/>
        </w:trPr>
        <w:tc>
          <w:tcPr>
            <w:tcW w:w="1924" w:type="pct"/>
            <w:tcBorders>
              <w:top w:val="single" w:sz="4" w:space="0" w:color="293F5B"/>
              <w:left w:val="nil"/>
              <w:bottom w:val="nil"/>
              <w:right w:val="nil"/>
            </w:tcBorders>
            <w:shd w:val="clear" w:color="auto" w:fill="auto"/>
            <w:vAlign w:val="center"/>
            <w:hideMark/>
          </w:tcPr>
          <w:p w14:paraId="0E2C6B08" w14:textId="28E7085A" w:rsidR="00B73037" w:rsidRPr="00673C1F" w:rsidRDefault="00B73037">
            <w:pPr>
              <w:rPr>
                <w:rFonts w:ascii="Arial" w:hAnsi="Arial" w:cs="Arial"/>
                <w:sz w:val="16"/>
                <w:szCs w:val="16"/>
              </w:rPr>
            </w:pPr>
            <w:r w:rsidRPr="00673C1F">
              <w:rPr>
                <w:rFonts w:ascii="Arial" w:hAnsi="Arial" w:cs="Arial"/>
                <w:sz w:val="16"/>
                <w:szCs w:val="16"/>
              </w:rPr>
              <w:t> </w:t>
            </w:r>
          </w:p>
        </w:tc>
        <w:tc>
          <w:tcPr>
            <w:tcW w:w="2443" w:type="pct"/>
            <w:gridSpan w:val="5"/>
            <w:tcBorders>
              <w:top w:val="single" w:sz="4" w:space="0" w:color="293F5B"/>
              <w:left w:val="nil"/>
              <w:bottom w:val="nil"/>
              <w:right w:val="nil"/>
            </w:tcBorders>
            <w:shd w:val="clear" w:color="auto" w:fill="auto"/>
            <w:noWrap/>
            <w:vAlign w:val="center"/>
            <w:hideMark/>
          </w:tcPr>
          <w:p w14:paraId="5912BF29" w14:textId="77777777" w:rsidR="00B73037" w:rsidRPr="00673C1F" w:rsidRDefault="00B73037" w:rsidP="00B73037">
            <w:pPr>
              <w:spacing w:before="0" w:after="0" w:line="240" w:lineRule="auto"/>
              <w:jc w:val="center"/>
              <w:rPr>
                <w:rFonts w:ascii="Arial" w:hAnsi="Arial" w:cs="Arial"/>
                <w:sz w:val="16"/>
                <w:szCs w:val="16"/>
              </w:rPr>
            </w:pPr>
            <w:r w:rsidRPr="00673C1F">
              <w:rPr>
                <w:rFonts w:ascii="Arial" w:hAnsi="Arial" w:cs="Arial"/>
                <w:sz w:val="16"/>
                <w:szCs w:val="16"/>
              </w:rPr>
              <w:t>Estimates</w:t>
            </w:r>
          </w:p>
        </w:tc>
        <w:tc>
          <w:tcPr>
            <w:tcW w:w="56" w:type="pct"/>
            <w:tcBorders>
              <w:top w:val="single" w:sz="4" w:space="0" w:color="293F5B"/>
              <w:left w:val="nil"/>
              <w:bottom w:val="nil"/>
              <w:right w:val="nil"/>
            </w:tcBorders>
            <w:shd w:val="clear" w:color="auto" w:fill="auto"/>
            <w:vAlign w:val="center"/>
            <w:hideMark/>
          </w:tcPr>
          <w:p w14:paraId="3F3C7D02"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c>
          <w:tcPr>
            <w:tcW w:w="578" w:type="pct"/>
            <w:tcBorders>
              <w:top w:val="single" w:sz="4" w:space="0" w:color="293F5B"/>
              <w:left w:val="nil"/>
              <w:bottom w:val="nil"/>
              <w:right w:val="nil"/>
            </w:tcBorders>
            <w:shd w:val="clear" w:color="auto" w:fill="auto"/>
            <w:vAlign w:val="center"/>
            <w:hideMark/>
          </w:tcPr>
          <w:p w14:paraId="0E948BE6"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r>
      <w:tr w:rsidR="00B73037" w:rsidRPr="00BD68BD" w14:paraId="74EC3203" w14:textId="77777777" w:rsidTr="00C1546F">
        <w:trPr>
          <w:trHeight w:hRule="exact" w:val="225"/>
        </w:trPr>
        <w:tc>
          <w:tcPr>
            <w:tcW w:w="1924" w:type="pct"/>
            <w:tcBorders>
              <w:top w:val="nil"/>
              <w:left w:val="nil"/>
              <w:bottom w:val="nil"/>
              <w:right w:val="nil"/>
            </w:tcBorders>
            <w:shd w:val="clear" w:color="auto" w:fill="auto"/>
            <w:vAlign w:val="center"/>
            <w:hideMark/>
          </w:tcPr>
          <w:p w14:paraId="4D2C0E14"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c>
          <w:tcPr>
            <w:tcW w:w="489" w:type="pct"/>
            <w:tcBorders>
              <w:top w:val="single" w:sz="4" w:space="0" w:color="293F5B"/>
              <w:left w:val="nil"/>
              <w:bottom w:val="nil"/>
              <w:right w:val="nil"/>
            </w:tcBorders>
            <w:shd w:val="clear" w:color="auto" w:fill="auto"/>
            <w:vAlign w:val="center"/>
            <w:hideMark/>
          </w:tcPr>
          <w:p w14:paraId="2E24F77F" w14:textId="123A0DE6"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2023</w:t>
            </w:r>
            <w:r w:rsidR="006D727E" w:rsidRPr="00673C1F">
              <w:rPr>
                <w:rFonts w:ascii="Arial" w:hAnsi="Arial" w:cs="Arial"/>
                <w:sz w:val="16"/>
                <w:szCs w:val="16"/>
              </w:rPr>
              <w:noBreakHyphen/>
            </w:r>
            <w:r w:rsidRPr="00673C1F">
              <w:rPr>
                <w:rFonts w:ascii="Arial" w:hAnsi="Arial" w:cs="Arial"/>
                <w:sz w:val="16"/>
                <w:szCs w:val="16"/>
              </w:rPr>
              <w:t>24</w:t>
            </w:r>
          </w:p>
        </w:tc>
        <w:tc>
          <w:tcPr>
            <w:tcW w:w="489" w:type="pct"/>
            <w:tcBorders>
              <w:top w:val="single" w:sz="4" w:space="0" w:color="293F5B"/>
              <w:left w:val="nil"/>
              <w:bottom w:val="nil"/>
              <w:right w:val="nil"/>
            </w:tcBorders>
            <w:shd w:val="clear" w:color="000000" w:fill="E6F2FF"/>
            <w:noWrap/>
            <w:vAlign w:val="center"/>
            <w:hideMark/>
          </w:tcPr>
          <w:p w14:paraId="5B37A1FF" w14:textId="5935DEC9"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2024</w:t>
            </w:r>
            <w:r w:rsidR="006D727E" w:rsidRPr="00673C1F">
              <w:rPr>
                <w:rFonts w:ascii="Arial" w:hAnsi="Arial" w:cs="Arial"/>
                <w:sz w:val="16"/>
                <w:szCs w:val="16"/>
              </w:rPr>
              <w:noBreakHyphen/>
            </w:r>
            <w:r w:rsidRPr="00673C1F">
              <w:rPr>
                <w:rFonts w:ascii="Arial" w:hAnsi="Arial" w:cs="Arial"/>
                <w:sz w:val="16"/>
                <w:szCs w:val="16"/>
              </w:rPr>
              <w:t>25</w:t>
            </w:r>
          </w:p>
        </w:tc>
        <w:tc>
          <w:tcPr>
            <w:tcW w:w="489" w:type="pct"/>
            <w:tcBorders>
              <w:top w:val="single" w:sz="4" w:space="0" w:color="293F5B"/>
              <w:left w:val="nil"/>
              <w:bottom w:val="nil"/>
              <w:right w:val="nil"/>
            </w:tcBorders>
            <w:shd w:val="clear" w:color="auto" w:fill="auto"/>
            <w:vAlign w:val="center"/>
            <w:hideMark/>
          </w:tcPr>
          <w:p w14:paraId="004E8BD5" w14:textId="4D9FE606"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2025</w:t>
            </w:r>
            <w:r w:rsidR="006D727E" w:rsidRPr="00673C1F">
              <w:rPr>
                <w:rFonts w:ascii="Arial" w:hAnsi="Arial" w:cs="Arial"/>
                <w:sz w:val="16"/>
                <w:szCs w:val="16"/>
              </w:rPr>
              <w:noBreakHyphen/>
            </w:r>
            <w:r w:rsidRPr="00673C1F">
              <w:rPr>
                <w:rFonts w:ascii="Arial" w:hAnsi="Arial" w:cs="Arial"/>
                <w:sz w:val="16"/>
                <w:szCs w:val="16"/>
              </w:rPr>
              <w:t>26</w:t>
            </w:r>
          </w:p>
        </w:tc>
        <w:tc>
          <w:tcPr>
            <w:tcW w:w="489" w:type="pct"/>
            <w:tcBorders>
              <w:top w:val="single" w:sz="4" w:space="0" w:color="293F5B"/>
              <w:left w:val="nil"/>
              <w:bottom w:val="nil"/>
              <w:right w:val="nil"/>
            </w:tcBorders>
            <w:shd w:val="clear" w:color="auto" w:fill="auto"/>
            <w:vAlign w:val="center"/>
            <w:hideMark/>
          </w:tcPr>
          <w:p w14:paraId="605715D6" w14:textId="131F7BE8"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2026</w:t>
            </w:r>
            <w:r w:rsidR="006D727E" w:rsidRPr="00673C1F">
              <w:rPr>
                <w:rFonts w:ascii="Arial" w:hAnsi="Arial" w:cs="Arial"/>
                <w:sz w:val="16"/>
                <w:szCs w:val="16"/>
              </w:rPr>
              <w:noBreakHyphen/>
            </w:r>
            <w:r w:rsidRPr="00673C1F">
              <w:rPr>
                <w:rFonts w:ascii="Arial" w:hAnsi="Arial" w:cs="Arial"/>
                <w:sz w:val="16"/>
                <w:szCs w:val="16"/>
              </w:rPr>
              <w:t>27</w:t>
            </w:r>
          </w:p>
        </w:tc>
        <w:tc>
          <w:tcPr>
            <w:tcW w:w="489" w:type="pct"/>
            <w:tcBorders>
              <w:top w:val="single" w:sz="4" w:space="0" w:color="293F5B"/>
              <w:left w:val="nil"/>
              <w:bottom w:val="nil"/>
              <w:right w:val="nil"/>
            </w:tcBorders>
            <w:shd w:val="clear" w:color="auto" w:fill="auto"/>
            <w:vAlign w:val="center"/>
            <w:hideMark/>
          </w:tcPr>
          <w:p w14:paraId="07ED9A13" w14:textId="1110EA31"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2027</w:t>
            </w:r>
            <w:r w:rsidR="006D727E" w:rsidRPr="00673C1F">
              <w:rPr>
                <w:rFonts w:ascii="Arial" w:hAnsi="Arial" w:cs="Arial"/>
                <w:sz w:val="16"/>
                <w:szCs w:val="16"/>
              </w:rPr>
              <w:noBreakHyphen/>
            </w:r>
            <w:r w:rsidRPr="00673C1F">
              <w:rPr>
                <w:rFonts w:ascii="Arial" w:hAnsi="Arial" w:cs="Arial"/>
                <w:sz w:val="16"/>
                <w:szCs w:val="16"/>
              </w:rPr>
              <w:t>28</w:t>
            </w:r>
          </w:p>
        </w:tc>
        <w:tc>
          <w:tcPr>
            <w:tcW w:w="56" w:type="pct"/>
            <w:tcBorders>
              <w:top w:val="nil"/>
              <w:left w:val="nil"/>
              <w:bottom w:val="nil"/>
              <w:right w:val="nil"/>
            </w:tcBorders>
            <w:shd w:val="clear" w:color="auto" w:fill="auto"/>
            <w:vAlign w:val="center"/>
            <w:hideMark/>
          </w:tcPr>
          <w:p w14:paraId="413C78E9" w14:textId="77777777" w:rsidR="00B73037" w:rsidRPr="00673C1F" w:rsidRDefault="00B73037" w:rsidP="00B73037">
            <w:pPr>
              <w:spacing w:before="0" w:after="0" w:line="240" w:lineRule="auto"/>
              <w:jc w:val="right"/>
              <w:rPr>
                <w:rFonts w:ascii="Arial" w:hAnsi="Arial" w:cs="Arial"/>
                <w:sz w:val="16"/>
                <w:szCs w:val="16"/>
              </w:rPr>
            </w:pPr>
          </w:p>
        </w:tc>
        <w:tc>
          <w:tcPr>
            <w:tcW w:w="578" w:type="pct"/>
            <w:tcBorders>
              <w:top w:val="single" w:sz="4" w:space="0" w:color="293F5B"/>
              <w:left w:val="nil"/>
              <w:bottom w:val="nil"/>
              <w:right w:val="nil"/>
            </w:tcBorders>
            <w:shd w:val="clear" w:color="auto" w:fill="auto"/>
            <w:vAlign w:val="center"/>
            <w:hideMark/>
          </w:tcPr>
          <w:p w14:paraId="47F74A5A"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Total</w:t>
            </w:r>
          </w:p>
        </w:tc>
      </w:tr>
      <w:tr w:rsidR="00B73037" w:rsidRPr="00BD68BD" w14:paraId="78077721" w14:textId="77777777" w:rsidTr="00C1546F">
        <w:trPr>
          <w:trHeight w:hRule="exact" w:val="225"/>
        </w:trPr>
        <w:tc>
          <w:tcPr>
            <w:tcW w:w="1924" w:type="pct"/>
            <w:tcBorders>
              <w:top w:val="nil"/>
              <w:left w:val="nil"/>
              <w:bottom w:val="nil"/>
              <w:right w:val="nil"/>
            </w:tcBorders>
            <w:shd w:val="clear" w:color="auto" w:fill="auto"/>
            <w:vAlign w:val="center"/>
            <w:hideMark/>
          </w:tcPr>
          <w:p w14:paraId="24479CB2"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c>
          <w:tcPr>
            <w:tcW w:w="489" w:type="pct"/>
            <w:tcBorders>
              <w:top w:val="nil"/>
              <w:left w:val="nil"/>
              <w:bottom w:val="single" w:sz="4" w:space="0" w:color="293F5B"/>
              <w:right w:val="nil"/>
            </w:tcBorders>
            <w:shd w:val="clear" w:color="auto" w:fill="auto"/>
            <w:vAlign w:val="center"/>
            <w:hideMark/>
          </w:tcPr>
          <w:p w14:paraId="6A531906"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$m</w:t>
            </w:r>
          </w:p>
        </w:tc>
        <w:tc>
          <w:tcPr>
            <w:tcW w:w="489" w:type="pct"/>
            <w:tcBorders>
              <w:top w:val="nil"/>
              <w:left w:val="nil"/>
              <w:bottom w:val="single" w:sz="4" w:space="0" w:color="293F5B"/>
              <w:right w:val="nil"/>
            </w:tcBorders>
            <w:shd w:val="clear" w:color="000000" w:fill="E6F2FF"/>
            <w:noWrap/>
            <w:vAlign w:val="center"/>
            <w:hideMark/>
          </w:tcPr>
          <w:p w14:paraId="10F3FC82"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$m</w:t>
            </w:r>
          </w:p>
        </w:tc>
        <w:tc>
          <w:tcPr>
            <w:tcW w:w="489" w:type="pct"/>
            <w:tcBorders>
              <w:top w:val="nil"/>
              <w:left w:val="nil"/>
              <w:bottom w:val="single" w:sz="4" w:space="0" w:color="293F5B"/>
              <w:right w:val="nil"/>
            </w:tcBorders>
            <w:shd w:val="clear" w:color="auto" w:fill="auto"/>
            <w:vAlign w:val="center"/>
            <w:hideMark/>
          </w:tcPr>
          <w:p w14:paraId="7B2ACE55"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$m</w:t>
            </w:r>
          </w:p>
        </w:tc>
        <w:tc>
          <w:tcPr>
            <w:tcW w:w="489" w:type="pct"/>
            <w:tcBorders>
              <w:top w:val="nil"/>
              <w:left w:val="nil"/>
              <w:bottom w:val="single" w:sz="4" w:space="0" w:color="293F5B"/>
              <w:right w:val="nil"/>
            </w:tcBorders>
            <w:shd w:val="clear" w:color="auto" w:fill="auto"/>
            <w:vAlign w:val="center"/>
            <w:hideMark/>
          </w:tcPr>
          <w:p w14:paraId="343A7B2E"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$m</w:t>
            </w:r>
          </w:p>
        </w:tc>
        <w:tc>
          <w:tcPr>
            <w:tcW w:w="489" w:type="pct"/>
            <w:tcBorders>
              <w:top w:val="nil"/>
              <w:left w:val="nil"/>
              <w:bottom w:val="single" w:sz="4" w:space="0" w:color="293F5B"/>
              <w:right w:val="nil"/>
            </w:tcBorders>
            <w:shd w:val="clear" w:color="auto" w:fill="auto"/>
            <w:vAlign w:val="center"/>
            <w:hideMark/>
          </w:tcPr>
          <w:p w14:paraId="4294678E"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$m</w:t>
            </w:r>
          </w:p>
        </w:tc>
        <w:tc>
          <w:tcPr>
            <w:tcW w:w="56" w:type="pct"/>
            <w:tcBorders>
              <w:top w:val="nil"/>
              <w:left w:val="nil"/>
              <w:bottom w:val="nil"/>
              <w:right w:val="nil"/>
            </w:tcBorders>
            <w:shd w:val="clear" w:color="auto" w:fill="auto"/>
            <w:vAlign w:val="center"/>
            <w:hideMark/>
          </w:tcPr>
          <w:p w14:paraId="5255963D" w14:textId="77777777" w:rsidR="00B73037" w:rsidRPr="00673C1F" w:rsidRDefault="00B73037" w:rsidP="00B73037">
            <w:pPr>
              <w:spacing w:before="0" w:after="0" w:line="240" w:lineRule="auto"/>
              <w:jc w:val="right"/>
              <w:rPr>
                <w:rFonts w:ascii="Arial" w:hAnsi="Arial" w:cs="Arial"/>
                <w:sz w:val="16"/>
                <w:szCs w:val="16"/>
              </w:rPr>
            </w:pPr>
          </w:p>
        </w:tc>
        <w:tc>
          <w:tcPr>
            <w:tcW w:w="578" w:type="pct"/>
            <w:tcBorders>
              <w:top w:val="nil"/>
              <w:left w:val="nil"/>
              <w:bottom w:val="single" w:sz="4" w:space="0" w:color="293F5B"/>
              <w:right w:val="nil"/>
            </w:tcBorders>
            <w:shd w:val="clear" w:color="auto" w:fill="auto"/>
            <w:vAlign w:val="center"/>
            <w:hideMark/>
          </w:tcPr>
          <w:p w14:paraId="38719254"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$m</w:t>
            </w:r>
          </w:p>
        </w:tc>
      </w:tr>
      <w:tr w:rsidR="00B73037" w:rsidRPr="00BD68BD" w14:paraId="48B86FAA" w14:textId="77777777" w:rsidTr="00C1546F">
        <w:trPr>
          <w:trHeight w:hRule="exact" w:val="225"/>
        </w:trPr>
        <w:tc>
          <w:tcPr>
            <w:tcW w:w="1924" w:type="pct"/>
            <w:tcBorders>
              <w:top w:val="nil"/>
              <w:left w:val="nil"/>
              <w:bottom w:val="nil"/>
              <w:right w:val="nil"/>
            </w:tcBorders>
            <w:shd w:val="clear" w:color="auto" w:fill="auto"/>
            <w:vAlign w:val="center"/>
            <w:hideMark/>
          </w:tcPr>
          <w:p w14:paraId="51722C4A" w14:textId="62DD5C0B" w:rsidR="00B73037" w:rsidRPr="00673C1F" w:rsidRDefault="00B73037" w:rsidP="00B73037">
            <w:pPr>
              <w:spacing w:before="0" w:after="0" w:line="240" w:lineRule="auto"/>
              <w:rPr>
                <w:rFonts w:ascii="Arial" w:hAnsi="Arial" w:cs="Arial"/>
                <w:b/>
                <w:sz w:val="16"/>
                <w:szCs w:val="16"/>
              </w:rPr>
            </w:pPr>
            <w:r w:rsidRPr="00673C1F">
              <w:rPr>
                <w:rFonts w:ascii="Arial" w:hAnsi="Arial" w:cs="Arial"/>
                <w:b/>
                <w:sz w:val="16"/>
                <w:szCs w:val="16"/>
              </w:rPr>
              <w:t>Receipts at 2023</w:t>
            </w:r>
            <w:r w:rsidR="006D727E" w:rsidRPr="00673C1F">
              <w:rPr>
                <w:rFonts w:ascii="Arial" w:hAnsi="Arial" w:cs="Arial"/>
                <w:b/>
                <w:sz w:val="16"/>
                <w:szCs w:val="16"/>
              </w:rPr>
              <w:noBreakHyphen/>
            </w:r>
            <w:r w:rsidRPr="00673C1F">
              <w:rPr>
                <w:rFonts w:ascii="Arial" w:hAnsi="Arial" w:cs="Arial"/>
                <w:b/>
                <w:sz w:val="16"/>
                <w:szCs w:val="16"/>
              </w:rPr>
              <w:t>24 Budget</w:t>
            </w:r>
          </w:p>
        </w:tc>
        <w:tc>
          <w:tcPr>
            <w:tcW w:w="489" w:type="pct"/>
            <w:tcBorders>
              <w:top w:val="nil"/>
              <w:left w:val="nil"/>
              <w:bottom w:val="nil"/>
              <w:right w:val="nil"/>
            </w:tcBorders>
            <w:shd w:val="clear" w:color="auto" w:fill="auto"/>
            <w:vAlign w:val="center"/>
            <w:hideMark/>
          </w:tcPr>
          <w:p w14:paraId="241A041A" w14:textId="5AAD3FCD" w:rsidR="00B73037" w:rsidRPr="00673C1F" w:rsidRDefault="00C1546F" w:rsidP="00B73037">
            <w:pPr>
              <w:spacing w:before="0" w:after="0" w:line="240" w:lineRule="auto"/>
              <w:jc w:val="right"/>
              <w:rPr>
                <w:rFonts w:ascii="Arial" w:hAnsi="Arial" w:cs="Arial"/>
                <w:b/>
                <w:sz w:val="16"/>
                <w:szCs w:val="16"/>
              </w:rPr>
            </w:pPr>
            <w:r w:rsidRPr="00673C1F">
              <w:rPr>
                <w:rFonts w:ascii="Arial" w:hAnsi="Arial" w:cs="Arial"/>
                <w:b/>
                <w:sz w:val="16"/>
                <w:szCs w:val="16"/>
              </w:rPr>
              <w:t xml:space="preserve">668,142 </w:t>
            </w:r>
          </w:p>
        </w:tc>
        <w:tc>
          <w:tcPr>
            <w:tcW w:w="489" w:type="pct"/>
            <w:tcBorders>
              <w:top w:val="nil"/>
              <w:left w:val="nil"/>
              <w:bottom w:val="nil"/>
              <w:right w:val="nil"/>
            </w:tcBorders>
            <w:shd w:val="clear" w:color="000000" w:fill="E6F2FF"/>
            <w:vAlign w:val="center"/>
            <w:hideMark/>
          </w:tcPr>
          <w:p w14:paraId="151C1E88" w14:textId="0E0AF9C1" w:rsidR="00B73037" w:rsidRPr="00673C1F" w:rsidRDefault="00C1546F" w:rsidP="00B73037">
            <w:pPr>
              <w:spacing w:before="0" w:after="0" w:line="240" w:lineRule="auto"/>
              <w:jc w:val="right"/>
              <w:rPr>
                <w:rFonts w:ascii="Arial" w:hAnsi="Arial" w:cs="Arial"/>
                <w:b/>
                <w:sz w:val="16"/>
                <w:szCs w:val="16"/>
              </w:rPr>
            </w:pPr>
            <w:r w:rsidRPr="00673C1F">
              <w:rPr>
                <w:rFonts w:ascii="Arial" w:hAnsi="Arial" w:cs="Arial"/>
                <w:b/>
                <w:sz w:val="16"/>
                <w:szCs w:val="16"/>
              </w:rPr>
              <w:t xml:space="preserve">671,238 </w:t>
            </w:r>
          </w:p>
        </w:tc>
        <w:tc>
          <w:tcPr>
            <w:tcW w:w="489" w:type="pct"/>
            <w:tcBorders>
              <w:top w:val="nil"/>
              <w:left w:val="nil"/>
              <w:bottom w:val="nil"/>
              <w:right w:val="nil"/>
            </w:tcBorders>
            <w:shd w:val="clear" w:color="auto" w:fill="auto"/>
            <w:vAlign w:val="center"/>
            <w:hideMark/>
          </w:tcPr>
          <w:p w14:paraId="72CC0D03" w14:textId="0CBC48A3" w:rsidR="00B73037" w:rsidRPr="00673C1F" w:rsidRDefault="00C1546F" w:rsidP="00B73037">
            <w:pPr>
              <w:spacing w:before="0" w:after="0" w:line="240" w:lineRule="auto"/>
              <w:jc w:val="right"/>
              <w:rPr>
                <w:rFonts w:ascii="Arial" w:hAnsi="Arial" w:cs="Arial"/>
                <w:b/>
                <w:sz w:val="16"/>
                <w:szCs w:val="16"/>
              </w:rPr>
            </w:pPr>
            <w:r w:rsidRPr="00673C1F">
              <w:rPr>
                <w:rFonts w:ascii="Arial" w:hAnsi="Arial" w:cs="Arial"/>
                <w:b/>
                <w:sz w:val="16"/>
                <w:szCs w:val="16"/>
              </w:rPr>
              <w:t xml:space="preserve">700,922 </w:t>
            </w:r>
          </w:p>
        </w:tc>
        <w:tc>
          <w:tcPr>
            <w:tcW w:w="489" w:type="pct"/>
            <w:tcBorders>
              <w:top w:val="nil"/>
              <w:left w:val="nil"/>
              <w:bottom w:val="nil"/>
              <w:right w:val="nil"/>
            </w:tcBorders>
            <w:shd w:val="clear" w:color="auto" w:fill="auto"/>
            <w:vAlign w:val="center"/>
            <w:hideMark/>
          </w:tcPr>
          <w:p w14:paraId="191C227B" w14:textId="3388BE2A" w:rsidR="00B73037" w:rsidRPr="00673C1F" w:rsidRDefault="00C1546F" w:rsidP="00B73037">
            <w:pPr>
              <w:spacing w:before="0" w:after="0" w:line="240" w:lineRule="auto"/>
              <w:jc w:val="right"/>
              <w:rPr>
                <w:rFonts w:ascii="Arial" w:hAnsi="Arial" w:cs="Arial"/>
                <w:b/>
                <w:sz w:val="16"/>
                <w:szCs w:val="16"/>
              </w:rPr>
            </w:pPr>
            <w:r w:rsidRPr="00673C1F">
              <w:rPr>
                <w:rFonts w:ascii="Arial" w:hAnsi="Arial" w:cs="Arial"/>
                <w:b/>
                <w:sz w:val="16"/>
                <w:szCs w:val="16"/>
              </w:rPr>
              <w:t xml:space="preserve">735,118 </w:t>
            </w:r>
          </w:p>
        </w:tc>
        <w:tc>
          <w:tcPr>
            <w:tcW w:w="489" w:type="pct"/>
            <w:tcBorders>
              <w:top w:val="nil"/>
              <w:left w:val="nil"/>
              <w:bottom w:val="nil"/>
              <w:right w:val="nil"/>
            </w:tcBorders>
            <w:shd w:val="clear" w:color="auto" w:fill="auto"/>
            <w:vAlign w:val="center"/>
            <w:hideMark/>
          </w:tcPr>
          <w:p w14:paraId="67637BDC" w14:textId="722F51E5" w:rsidR="00B73037" w:rsidRPr="00673C1F" w:rsidRDefault="00C1546F" w:rsidP="00B73037">
            <w:pPr>
              <w:spacing w:before="0" w:after="0" w:line="240" w:lineRule="auto"/>
              <w:jc w:val="right"/>
              <w:rPr>
                <w:rFonts w:ascii="Arial" w:hAnsi="Arial" w:cs="Arial"/>
                <w:b/>
                <w:sz w:val="16"/>
                <w:szCs w:val="16"/>
              </w:rPr>
            </w:pPr>
            <w:r w:rsidRPr="00673C1F">
              <w:rPr>
                <w:rFonts w:ascii="Arial" w:hAnsi="Arial" w:cs="Arial"/>
                <w:b/>
                <w:sz w:val="16"/>
                <w:szCs w:val="16"/>
              </w:rPr>
              <w:t xml:space="preserve">* </w:t>
            </w:r>
          </w:p>
        </w:tc>
        <w:tc>
          <w:tcPr>
            <w:tcW w:w="56" w:type="pct"/>
            <w:tcBorders>
              <w:top w:val="nil"/>
              <w:left w:val="nil"/>
              <w:bottom w:val="nil"/>
              <w:right w:val="nil"/>
            </w:tcBorders>
            <w:shd w:val="clear" w:color="auto" w:fill="auto"/>
            <w:vAlign w:val="center"/>
            <w:hideMark/>
          </w:tcPr>
          <w:p w14:paraId="6E938315" w14:textId="77777777" w:rsidR="00B73037" w:rsidRPr="00673C1F" w:rsidRDefault="00B73037" w:rsidP="00B73037">
            <w:pPr>
              <w:spacing w:before="0" w:after="0" w:line="240" w:lineRule="auto"/>
              <w:jc w:val="right"/>
              <w:rPr>
                <w:rFonts w:ascii="Arial" w:hAnsi="Arial" w:cs="Arial"/>
                <w:b/>
                <w:sz w:val="16"/>
                <w:szCs w:val="16"/>
              </w:rPr>
            </w:pPr>
          </w:p>
        </w:tc>
        <w:tc>
          <w:tcPr>
            <w:tcW w:w="578" w:type="pct"/>
            <w:tcBorders>
              <w:top w:val="nil"/>
              <w:left w:val="nil"/>
              <w:bottom w:val="nil"/>
              <w:right w:val="nil"/>
            </w:tcBorders>
            <w:shd w:val="clear" w:color="auto" w:fill="auto"/>
            <w:vAlign w:val="center"/>
            <w:hideMark/>
          </w:tcPr>
          <w:p w14:paraId="2C18A681" w14:textId="0285E5A3" w:rsidR="00B73037" w:rsidRPr="00673C1F" w:rsidRDefault="00C1546F" w:rsidP="00B73037">
            <w:pPr>
              <w:spacing w:before="0" w:after="0" w:line="240" w:lineRule="auto"/>
              <w:jc w:val="right"/>
              <w:rPr>
                <w:rFonts w:ascii="Arial" w:hAnsi="Arial" w:cs="Arial"/>
                <w:b/>
                <w:sz w:val="16"/>
                <w:szCs w:val="16"/>
              </w:rPr>
            </w:pPr>
            <w:r w:rsidRPr="00673C1F">
              <w:rPr>
                <w:rFonts w:ascii="Arial" w:hAnsi="Arial" w:cs="Arial"/>
                <w:b/>
                <w:sz w:val="16"/>
                <w:szCs w:val="16"/>
              </w:rPr>
              <w:t xml:space="preserve">* </w:t>
            </w:r>
          </w:p>
        </w:tc>
      </w:tr>
      <w:tr w:rsidR="00B73037" w:rsidRPr="00BD68BD" w14:paraId="3FDB87BC" w14:textId="77777777" w:rsidTr="00C1546F">
        <w:trPr>
          <w:trHeight w:hRule="exact" w:val="60"/>
        </w:trPr>
        <w:tc>
          <w:tcPr>
            <w:tcW w:w="1924" w:type="pct"/>
            <w:tcBorders>
              <w:top w:val="nil"/>
              <w:left w:val="nil"/>
              <w:bottom w:val="nil"/>
              <w:right w:val="nil"/>
            </w:tcBorders>
            <w:shd w:val="clear" w:color="auto" w:fill="auto"/>
            <w:vAlign w:val="center"/>
            <w:hideMark/>
          </w:tcPr>
          <w:p w14:paraId="66A0AD90" w14:textId="77777777" w:rsidR="00B73037" w:rsidRPr="00673C1F" w:rsidRDefault="00B73037" w:rsidP="00B73037">
            <w:pPr>
              <w:spacing w:before="0" w:after="0" w:line="240" w:lineRule="auto"/>
              <w:jc w:val="right"/>
              <w:rPr>
                <w:rFonts w:ascii="Arial" w:hAnsi="Arial" w:cs="Arial"/>
                <w:b/>
                <w:sz w:val="16"/>
                <w:szCs w:val="16"/>
              </w:rPr>
            </w:pPr>
          </w:p>
        </w:tc>
        <w:tc>
          <w:tcPr>
            <w:tcW w:w="489" w:type="pct"/>
            <w:tcBorders>
              <w:top w:val="nil"/>
              <w:left w:val="nil"/>
              <w:bottom w:val="nil"/>
              <w:right w:val="nil"/>
            </w:tcBorders>
            <w:shd w:val="clear" w:color="auto" w:fill="auto"/>
            <w:vAlign w:val="center"/>
            <w:hideMark/>
          </w:tcPr>
          <w:p w14:paraId="3D2F613A" w14:textId="77777777" w:rsidR="00B73037" w:rsidRPr="00673C1F" w:rsidRDefault="00B73037" w:rsidP="00B73037">
            <w:pPr>
              <w:spacing w:before="0" w:after="0" w:line="240" w:lineRule="auto"/>
              <w:jc w:val="right"/>
              <w:rPr>
                <w:rFonts w:ascii="Times New Roman" w:hAnsi="Times New Roman"/>
                <w:sz w:val="20"/>
              </w:rPr>
            </w:pPr>
          </w:p>
        </w:tc>
        <w:tc>
          <w:tcPr>
            <w:tcW w:w="489" w:type="pct"/>
            <w:tcBorders>
              <w:top w:val="nil"/>
              <w:left w:val="nil"/>
              <w:bottom w:val="nil"/>
              <w:right w:val="nil"/>
            </w:tcBorders>
            <w:shd w:val="clear" w:color="000000" w:fill="E6F2FF"/>
            <w:vAlign w:val="center"/>
            <w:hideMark/>
          </w:tcPr>
          <w:p w14:paraId="5DB1C7D5"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c>
          <w:tcPr>
            <w:tcW w:w="489" w:type="pct"/>
            <w:tcBorders>
              <w:top w:val="nil"/>
              <w:left w:val="nil"/>
              <w:bottom w:val="nil"/>
              <w:right w:val="nil"/>
            </w:tcBorders>
            <w:shd w:val="clear" w:color="auto" w:fill="auto"/>
            <w:vAlign w:val="center"/>
            <w:hideMark/>
          </w:tcPr>
          <w:p w14:paraId="084C2773" w14:textId="77777777" w:rsidR="00B73037" w:rsidRPr="00673C1F" w:rsidRDefault="00B73037" w:rsidP="00B73037">
            <w:pPr>
              <w:spacing w:before="0" w:after="0" w:line="240" w:lineRule="auto"/>
              <w:rPr>
                <w:rFonts w:ascii="Arial" w:hAnsi="Arial" w:cs="Arial"/>
                <w:sz w:val="16"/>
                <w:szCs w:val="16"/>
              </w:rPr>
            </w:pPr>
          </w:p>
        </w:tc>
        <w:tc>
          <w:tcPr>
            <w:tcW w:w="489" w:type="pct"/>
            <w:tcBorders>
              <w:top w:val="nil"/>
              <w:left w:val="nil"/>
              <w:bottom w:val="nil"/>
              <w:right w:val="nil"/>
            </w:tcBorders>
            <w:shd w:val="clear" w:color="auto" w:fill="auto"/>
            <w:vAlign w:val="center"/>
            <w:hideMark/>
          </w:tcPr>
          <w:p w14:paraId="6C921DEC" w14:textId="77777777" w:rsidR="00B73037" w:rsidRPr="00673C1F" w:rsidRDefault="00B73037" w:rsidP="00B73037">
            <w:pPr>
              <w:spacing w:before="0" w:after="0" w:line="240" w:lineRule="auto"/>
              <w:rPr>
                <w:rFonts w:ascii="Times New Roman" w:hAnsi="Times New Roman"/>
                <w:sz w:val="20"/>
              </w:rPr>
            </w:pPr>
          </w:p>
        </w:tc>
        <w:tc>
          <w:tcPr>
            <w:tcW w:w="489" w:type="pct"/>
            <w:tcBorders>
              <w:top w:val="nil"/>
              <w:left w:val="nil"/>
              <w:bottom w:val="nil"/>
              <w:right w:val="nil"/>
            </w:tcBorders>
            <w:shd w:val="clear" w:color="auto" w:fill="auto"/>
            <w:noWrap/>
            <w:vAlign w:val="bottom"/>
            <w:hideMark/>
          </w:tcPr>
          <w:p w14:paraId="3C92DAF3" w14:textId="77777777" w:rsidR="00B73037" w:rsidRPr="00673C1F" w:rsidRDefault="00B73037" w:rsidP="00B73037">
            <w:pPr>
              <w:spacing w:before="0" w:after="0" w:line="240" w:lineRule="auto"/>
              <w:rPr>
                <w:rFonts w:ascii="Times New Roman" w:hAnsi="Times New Roman"/>
                <w:sz w:val="20"/>
              </w:rPr>
            </w:pPr>
          </w:p>
        </w:tc>
        <w:tc>
          <w:tcPr>
            <w:tcW w:w="56" w:type="pct"/>
            <w:tcBorders>
              <w:top w:val="nil"/>
              <w:left w:val="nil"/>
              <w:bottom w:val="nil"/>
              <w:right w:val="nil"/>
            </w:tcBorders>
            <w:shd w:val="clear" w:color="auto" w:fill="auto"/>
            <w:vAlign w:val="center"/>
            <w:hideMark/>
          </w:tcPr>
          <w:p w14:paraId="68E66BA0" w14:textId="77777777" w:rsidR="00B73037" w:rsidRPr="00673C1F" w:rsidRDefault="00B73037" w:rsidP="00B73037">
            <w:pPr>
              <w:spacing w:before="0" w:after="0" w:line="240" w:lineRule="auto"/>
              <w:rPr>
                <w:rFonts w:ascii="Times New Roman" w:hAnsi="Times New Roman"/>
                <w:sz w:val="20"/>
              </w:rPr>
            </w:pPr>
          </w:p>
        </w:tc>
        <w:tc>
          <w:tcPr>
            <w:tcW w:w="578" w:type="pct"/>
            <w:tcBorders>
              <w:top w:val="nil"/>
              <w:left w:val="nil"/>
              <w:bottom w:val="nil"/>
              <w:right w:val="nil"/>
            </w:tcBorders>
            <w:shd w:val="clear" w:color="auto" w:fill="auto"/>
            <w:vAlign w:val="center"/>
            <w:hideMark/>
          </w:tcPr>
          <w:p w14:paraId="6ABBC0AC" w14:textId="77777777" w:rsidR="00B73037" w:rsidRPr="00673C1F" w:rsidRDefault="00B73037" w:rsidP="00B73037">
            <w:pPr>
              <w:spacing w:before="0" w:after="0" w:line="240" w:lineRule="auto"/>
              <w:rPr>
                <w:rFonts w:ascii="Times New Roman" w:hAnsi="Times New Roman"/>
                <w:sz w:val="20"/>
              </w:rPr>
            </w:pPr>
          </w:p>
        </w:tc>
      </w:tr>
      <w:tr w:rsidR="00B73037" w:rsidRPr="00BD68BD" w14:paraId="58711F5B" w14:textId="77777777" w:rsidTr="00C1546F">
        <w:trPr>
          <w:trHeight w:hRule="exact" w:val="225"/>
        </w:trPr>
        <w:tc>
          <w:tcPr>
            <w:tcW w:w="1924" w:type="pct"/>
            <w:tcBorders>
              <w:top w:val="nil"/>
              <w:left w:val="nil"/>
              <w:bottom w:val="nil"/>
              <w:right w:val="nil"/>
            </w:tcBorders>
            <w:shd w:val="clear" w:color="auto" w:fill="auto"/>
            <w:vAlign w:val="center"/>
            <w:hideMark/>
          </w:tcPr>
          <w:p w14:paraId="63F31DCC" w14:textId="488E10B2" w:rsidR="00B73037" w:rsidRPr="00673C1F" w:rsidRDefault="00B73037" w:rsidP="00B73037">
            <w:pPr>
              <w:spacing w:before="0" w:after="0" w:line="240" w:lineRule="auto"/>
              <w:rPr>
                <w:rFonts w:ascii="Arial" w:hAnsi="Arial" w:cs="Arial"/>
                <w:b/>
                <w:sz w:val="16"/>
                <w:szCs w:val="16"/>
              </w:rPr>
            </w:pPr>
            <w:r w:rsidRPr="00673C1F">
              <w:rPr>
                <w:rFonts w:ascii="Arial" w:hAnsi="Arial" w:cs="Arial"/>
                <w:b/>
                <w:sz w:val="16"/>
                <w:szCs w:val="16"/>
              </w:rPr>
              <w:t>Changes from 2023</w:t>
            </w:r>
            <w:r w:rsidR="006D727E" w:rsidRPr="00673C1F">
              <w:rPr>
                <w:rFonts w:ascii="Arial" w:hAnsi="Arial" w:cs="Arial"/>
                <w:b/>
                <w:sz w:val="16"/>
                <w:szCs w:val="16"/>
              </w:rPr>
              <w:noBreakHyphen/>
            </w:r>
            <w:r w:rsidRPr="00673C1F">
              <w:rPr>
                <w:rFonts w:ascii="Arial" w:hAnsi="Arial" w:cs="Arial"/>
                <w:b/>
                <w:sz w:val="16"/>
                <w:szCs w:val="16"/>
              </w:rPr>
              <w:t>24 Budget</w:t>
            </w:r>
          </w:p>
        </w:tc>
        <w:tc>
          <w:tcPr>
            <w:tcW w:w="489" w:type="pct"/>
            <w:tcBorders>
              <w:top w:val="nil"/>
              <w:left w:val="nil"/>
              <w:bottom w:val="nil"/>
              <w:right w:val="nil"/>
            </w:tcBorders>
            <w:shd w:val="clear" w:color="auto" w:fill="auto"/>
            <w:vAlign w:val="center"/>
            <w:hideMark/>
          </w:tcPr>
          <w:p w14:paraId="00CB0789" w14:textId="77777777" w:rsidR="00B73037" w:rsidRPr="00673C1F" w:rsidRDefault="00B73037" w:rsidP="00B73037">
            <w:pPr>
              <w:spacing w:before="0" w:after="0" w:line="240" w:lineRule="auto"/>
              <w:rPr>
                <w:rFonts w:ascii="Arial" w:hAnsi="Arial" w:cs="Arial"/>
                <w:b/>
                <w:sz w:val="16"/>
                <w:szCs w:val="16"/>
              </w:rPr>
            </w:pPr>
          </w:p>
        </w:tc>
        <w:tc>
          <w:tcPr>
            <w:tcW w:w="489" w:type="pct"/>
            <w:tcBorders>
              <w:top w:val="nil"/>
              <w:left w:val="nil"/>
              <w:bottom w:val="nil"/>
              <w:right w:val="nil"/>
            </w:tcBorders>
            <w:shd w:val="clear" w:color="000000" w:fill="E6F2FF"/>
            <w:vAlign w:val="center"/>
            <w:hideMark/>
          </w:tcPr>
          <w:p w14:paraId="07ECBFE1" w14:textId="77777777" w:rsidR="00B73037" w:rsidRPr="00673C1F" w:rsidRDefault="00B73037" w:rsidP="00B73037">
            <w:pPr>
              <w:spacing w:before="0" w:after="0" w:line="240" w:lineRule="auto"/>
              <w:rPr>
                <w:rFonts w:ascii="Arial" w:hAnsi="Arial" w:cs="Arial"/>
                <w:i/>
                <w:sz w:val="16"/>
                <w:szCs w:val="16"/>
              </w:rPr>
            </w:pPr>
            <w:r w:rsidRPr="00673C1F">
              <w:rPr>
                <w:rFonts w:ascii="Arial" w:hAnsi="Arial" w:cs="Arial"/>
                <w:i/>
                <w:sz w:val="16"/>
                <w:szCs w:val="16"/>
              </w:rPr>
              <w:t> </w:t>
            </w:r>
          </w:p>
        </w:tc>
        <w:tc>
          <w:tcPr>
            <w:tcW w:w="489" w:type="pct"/>
            <w:tcBorders>
              <w:top w:val="nil"/>
              <w:left w:val="nil"/>
              <w:bottom w:val="nil"/>
              <w:right w:val="nil"/>
            </w:tcBorders>
            <w:shd w:val="clear" w:color="auto" w:fill="auto"/>
            <w:vAlign w:val="center"/>
            <w:hideMark/>
          </w:tcPr>
          <w:p w14:paraId="2089DB8E" w14:textId="77777777" w:rsidR="00B73037" w:rsidRPr="00673C1F" w:rsidRDefault="00B73037" w:rsidP="00B73037">
            <w:pPr>
              <w:spacing w:before="0" w:after="0" w:line="240" w:lineRule="auto"/>
              <w:rPr>
                <w:rFonts w:ascii="Arial" w:hAnsi="Arial" w:cs="Arial"/>
                <w:i/>
                <w:sz w:val="16"/>
                <w:szCs w:val="16"/>
              </w:rPr>
            </w:pPr>
          </w:p>
        </w:tc>
        <w:tc>
          <w:tcPr>
            <w:tcW w:w="489" w:type="pct"/>
            <w:tcBorders>
              <w:top w:val="nil"/>
              <w:left w:val="nil"/>
              <w:bottom w:val="nil"/>
              <w:right w:val="nil"/>
            </w:tcBorders>
            <w:shd w:val="clear" w:color="auto" w:fill="auto"/>
            <w:vAlign w:val="center"/>
            <w:hideMark/>
          </w:tcPr>
          <w:p w14:paraId="63B89A22" w14:textId="77777777" w:rsidR="00B73037" w:rsidRPr="00673C1F" w:rsidRDefault="00B73037" w:rsidP="00B73037">
            <w:pPr>
              <w:spacing w:before="0" w:after="0" w:line="240" w:lineRule="auto"/>
              <w:rPr>
                <w:rFonts w:ascii="Times New Roman" w:hAnsi="Times New Roman"/>
                <w:sz w:val="20"/>
              </w:rPr>
            </w:pPr>
          </w:p>
        </w:tc>
        <w:tc>
          <w:tcPr>
            <w:tcW w:w="489" w:type="pct"/>
            <w:tcBorders>
              <w:top w:val="nil"/>
              <w:left w:val="nil"/>
              <w:bottom w:val="nil"/>
              <w:right w:val="nil"/>
            </w:tcBorders>
            <w:shd w:val="clear" w:color="auto" w:fill="auto"/>
            <w:noWrap/>
            <w:vAlign w:val="bottom"/>
            <w:hideMark/>
          </w:tcPr>
          <w:p w14:paraId="3BFDEDBF" w14:textId="77777777" w:rsidR="00B73037" w:rsidRPr="00673C1F" w:rsidRDefault="00B73037" w:rsidP="00B73037">
            <w:pPr>
              <w:spacing w:before="0" w:after="0" w:line="240" w:lineRule="auto"/>
              <w:rPr>
                <w:rFonts w:ascii="Times New Roman" w:hAnsi="Times New Roman"/>
                <w:sz w:val="20"/>
              </w:rPr>
            </w:pPr>
          </w:p>
        </w:tc>
        <w:tc>
          <w:tcPr>
            <w:tcW w:w="56" w:type="pct"/>
            <w:tcBorders>
              <w:top w:val="nil"/>
              <w:left w:val="nil"/>
              <w:bottom w:val="nil"/>
              <w:right w:val="nil"/>
            </w:tcBorders>
            <w:shd w:val="clear" w:color="auto" w:fill="auto"/>
            <w:vAlign w:val="center"/>
            <w:hideMark/>
          </w:tcPr>
          <w:p w14:paraId="17967D06" w14:textId="77777777" w:rsidR="00B73037" w:rsidRPr="00673C1F" w:rsidRDefault="00B73037" w:rsidP="00B73037">
            <w:pPr>
              <w:spacing w:before="0" w:after="0" w:line="240" w:lineRule="auto"/>
              <w:rPr>
                <w:rFonts w:ascii="Times New Roman" w:hAnsi="Times New Roman"/>
                <w:sz w:val="20"/>
              </w:rPr>
            </w:pPr>
          </w:p>
        </w:tc>
        <w:tc>
          <w:tcPr>
            <w:tcW w:w="578" w:type="pct"/>
            <w:tcBorders>
              <w:top w:val="nil"/>
              <w:left w:val="nil"/>
              <w:bottom w:val="nil"/>
              <w:right w:val="nil"/>
            </w:tcBorders>
            <w:shd w:val="clear" w:color="auto" w:fill="auto"/>
            <w:vAlign w:val="center"/>
            <w:hideMark/>
          </w:tcPr>
          <w:p w14:paraId="03471158" w14:textId="77777777" w:rsidR="00B73037" w:rsidRPr="00673C1F" w:rsidRDefault="00B73037" w:rsidP="00B73037">
            <w:pPr>
              <w:spacing w:before="0" w:after="0" w:line="240" w:lineRule="auto"/>
              <w:rPr>
                <w:rFonts w:ascii="Times New Roman" w:hAnsi="Times New Roman"/>
                <w:sz w:val="20"/>
              </w:rPr>
            </w:pPr>
          </w:p>
        </w:tc>
      </w:tr>
      <w:tr w:rsidR="00B73037" w:rsidRPr="00BD68BD" w14:paraId="5FF1E427" w14:textId="77777777" w:rsidTr="00C1546F">
        <w:trPr>
          <w:trHeight w:hRule="exact" w:val="225"/>
        </w:trPr>
        <w:tc>
          <w:tcPr>
            <w:tcW w:w="1924" w:type="pct"/>
            <w:tcBorders>
              <w:top w:val="nil"/>
              <w:left w:val="nil"/>
              <w:bottom w:val="nil"/>
              <w:right w:val="nil"/>
            </w:tcBorders>
            <w:shd w:val="clear" w:color="auto" w:fill="auto"/>
            <w:vAlign w:val="center"/>
            <w:hideMark/>
          </w:tcPr>
          <w:p w14:paraId="06CCBD5B" w14:textId="2149F290" w:rsidR="00B73037" w:rsidRPr="00673C1F" w:rsidRDefault="00B73037" w:rsidP="00C1546F">
            <w:pPr>
              <w:spacing w:before="0" w:after="0" w:line="240" w:lineRule="auto"/>
              <w:ind w:left="170"/>
              <w:rPr>
                <w:rFonts w:ascii="Arial" w:hAnsi="Arial" w:cs="Arial"/>
                <w:b/>
                <w:sz w:val="16"/>
                <w:szCs w:val="16"/>
              </w:rPr>
            </w:pPr>
            <w:r w:rsidRPr="00673C1F">
              <w:rPr>
                <w:rFonts w:ascii="Arial" w:hAnsi="Arial" w:cs="Arial"/>
                <w:b/>
                <w:sz w:val="16"/>
                <w:szCs w:val="16"/>
              </w:rPr>
              <w:t>to 2023</w:t>
            </w:r>
            <w:r w:rsidR="006D727E" w:rsidRPr="00673C1F">
              <w:rPr>
                <w:rFonts w:ascii="Arial" w:hAnsi="Arial" w:cs="Arial"/>
                <w:b/>
                <w:sz w:val="16"/>
                <w:szCs w:val="16"/>
              </w:rPr>
              <w:noBreakHyphen/>
            </w:r>
            <w:r w:rsidRPr="00673C1F">
              <w:rPr>
                <w:rFonts w:ascii="Arial" w:hAnsi="Arial" w:cs="Arial"/>
                <w:b/>
                <w:sz w:val="16"/>
                <w:szCs w:val="16"/>
              </w:rPr>
              <w:t>24 MYEFO</w:t>
            </w:r>
          </w:p>
        </w:tc>
        <w:tc>
          <w:tcPr>
            <w:tcW w:w="489" w:type="pct"/>
            <w:tcBorders>
              <w:top w:val="nil"/>
              <w:left w:val="nil"/>
              <w:bottom w:val="nil"/>
              <w:right w:val="nil"/>
            </w:tcBorders>
            <w:shd w:val="clear" w:color="auto" w:fill="auto"/>
            <w:vAlign w:val="center"/>
            <w:hideMark/>
          </w:tcPr>
          <w:p w14:paraId="778907A0" w14:textId="77777777" w:rsidR="00B73037" w:rsidRPr="00673C1F" w:rsidRDefault="00B73037" w:rsidP="00B73037">
            <w:pPr>
              <w:spacing w:before="0" w:after="0" w:line="240" w:lineRule="auto"/>
              <w:ind w:firstLineChars="100" w:firstLine="161"/>
              <w:rPr>
                <w:rFonts w:ascii="Arial" w:hAnsi="Arial" w:cs="Arial"/>
                <w:b/>
                <w:sz w:val="16"/>
                <w:szCs w:val="16"/>
              </w:rPr>
            </w:pPr>
          </w:p>
        </w:tc>
        <w:tc>
          <w:tcPr>
            <w:tcW w:w="489" w:type="pct"/>
            <w:tcBorders>
              <w:top w:val="nil"/>
              <w:left w:val="nil"/>
              <w:bottom w:val="nil"/>
              <w:right w:val="nil"/>
            </w:tcBorders>
            <w:shd w:val="clear" w:color="000000" w:fill="E6F2FF"/>
            <w:vAlign w:val="center"/>
            <w:hideMark/>
          </w:tcPr>
          <w:p w14:paraId="5EF66E79" w14:textId="77777777" w:rsidR="00B73037" w:rsidRPr="00673C1F" w:rsidRDefault="00B73037" w:rsidP="00B73037">
            <w:pPr>
              <w:spacing w:before="0" w:after="0" w:line="240" w:lineRule="auto"/>
              <w:rPr>
                <w:rFonts w:ascii="Arial" w:hAnsi="Arial" w:cs="Arial"/>
                <w:i/>
                <w:sz w:val="16"/>
                <w:szCs w:val="16"/>
              </w:rPr>
            </w:pPr>
            <w:r w:rsidRPr="00673C1F">
              <w:rPr>
                <w:rFonts w:ascii="Arial" w:hAnsi="Arial" w:cs="Arial"/>
                <w:i/>
                <w:sz w:val="16"/>
                <w:szCs w:val="16"/>
              </w:rPr>
              <w:t> </w:t>
            </w:r>
          </w:p>
        </w:tc>
        <w:tc>
          <w:tcPr>
            <w:tcW w:w="489" w:type="pct"/>
            <w:tcBorders>
              <w:top w:val="nil"/>
              <w:left w:val="nil"/>
              <w:bottom w:val="nil"/>
              <w:right w:val="nil"/>
            </w:tcBorders>
            <w:shd w:val="clear" w:color="auto" w:fill="auto"/>
            <w:vAlign w:val="center"/>
            <w:hideMark/>
          </w:tcPr>
          <w:p w14:paraId="2EF900C8" w14:textId="77777777" w:rsidR="00B73037" w:rsidRPr="00673C1F" w:rsidRDefault="00B73037" w:rsidP="00B73037">
            <w:pPr>
              <w:spacing w:before="0" w:after="0" w:line="240" w:lineRule="auto"/>
              <w:rPr>
                <w:rFonts w:ascii="Arial" w:hAnsi="Arial" w:cs="Arial"/>
                <w:i/>
                <w:sz w:val="16"/>
                <w:szCs w:val="16"/>
              </w:rPr>
            </w:pPr>
          </w:p>
        </w:tc>
        <w:tc>
          <w:tcPr>
            <w:tcW w:w="489" w:type="pct"/>
            <w:tcBorders>
              <w:top w:val="nil"/>
              <w:left w:val="nil"/>
              <w:bottom w:val="nil"/>
              <w:right w:val="nil"/>
            </w:tcBorders>
            <w:shd w:val="clear" w:color="auto" w:fill="auto"/>
            <w:vAlign w:val="center"/>
            <w:hideMark/>
          </w:tcPr>
          <w:p w14:paraId="219FD6EB" w14:textId="77777777" w:rsidR="00B73037" w:rsidRPr="00673C1F" w:rsidRDefault="00B73037" w:rsidP="00B73037">
            <w:pPr>
              <w:spacing w:before="0" w:after="0" w:line="240" w:lineRule="auto"/>
              <w:rPr>
                <w:rFonts w:ascii="Times New Roman" w:hAnsi="Times New Roman"/>
                <w:sz w:val="20"/>
              </w:rPr>
            </w:pPr>
          </w:p>
        </w:tc>
        <w:tc>
          <w:tcPr>
            <w:tcW w:w="489" w:type="pct"/>
            <w:tcBorders>
              <w:top w:val="nil"/>
              <w:left w:val="nil"/>
              <w:bottom w:val="nil"/>
              <w:right w:val="nil"/>
            </w:tcBorders>
            <w:shd w:val="clear" w:color="auto" w:fill="auto"/>
            <w:noWrap/>
            <w:vAlign w:val="bottom"/>
            <w:hideMark/>
          </w:tcPr>
          <w:p w14:paraId="0C04BC2F" w14:textId="77777777" w:rsidR="00B73037" w:rsidRPr="00673C1F" w:rsidRDefault="00B73037" w:rsidP="00B73037">
            <w:pPr>
              <w:spacing w:before="0" w:after="0" w:line="240" w:lineRule="auto"/>
              <w:rPr>
                <w:rFonts w:ascii="Times New Roman" w:hAnsi="Times New Roman"/>
                <w:sz w:val="20"/>
              </w:rPr>
            </w:pPr>
          </w:p>
        </w:tc>
        <w:tc>
          <w:tcPr>
            <w:tcW w:w="56" w:type="pct"/>
            <w:tcBorders>
              <w:top w:val="nil"/>
              <w:left w:val="nil"/>
              <w:bottom w:val="nil"/>
              <w:right w:val="nil"/>
            </w:tcBorders>
            <w:shd w:val="clear" w:color="auto" w:fill="auto"/>
            <w:vAlign w:val="center"/>
            <w:hideMark/>
          </w:tcPr>
          <w:p w14:paraId="2CB3FD24" w14:textId="77777777" w:rsidR="00B73037" w:rsidRPr="00673C1F" w:rsidRDefault="00B73037" w:rsidP="00B73037">
            <w:pPr>
              <w:spacing w:before="0" w:after="0" w:line="240" w:lineRule="auto"/>
              <w:rPr>
                <w:rFonts w:ascii="Times New Roman" w:hAnsi="Times New Roman"/>
                <w:sz w:val="20"/>
              </w:rPr>
            </w:pPr>
          </w:p>
        </w:tc>
        <w:tc>
          <w:tcPr>
            <w:tcW w:w="578" w:type="pct"/>
            <w:tcBorders>
              <w:top w:val="nil"/>
              <w:left w:val="nil"/>
              <w:bottom w:val="nil"/>
              <w:right w:val="nil"/>
            </w:tcBorders>
            <w:shd w:val="clear" w:color="auto" w:fill="auto"/>
            <w:vAlign w:val="center"/>
            <w:hideMark/>
          </w:tcPr>
          <w:p w14:paraId="10030C0C" w14:textId="77777777" w:rsidR="00B73037" w:rsidRPr="00673C1F" w:rsidRDefault="00B73037" w:rsidP="00B73037">
            <w:pPr>
              <w:spacing w:before="0" w:after="0" w:line="240" w:lineRule="auto"/>
              <w:rPr>
                <w:rFonts w:ascii="Times New Roman" w:hAnsi="Times New Roman"/>
                <w:sz w:val="20"/>
              </w:rPr>
            </w:pPr>
          </w:p>
        </w:tc>
      </w:tr>
      <w:tr w:rsidR="00B73037" w:rsidRPr="00BD68BD" w14:paraId="26BD64F1" w14:textId="77777777" w:rsidTr="00C1546F">
        <w:trPr>
          <w:trHeight w:hRule="exact" w:val="225"/>
        </w:trPr>
        <w:tc>
          <w:tcPr>
            <w:tcW w:w="1924" w:type="pct"/>
            <w:tcBorders>
              <w:top w:val="nil"/>
              <w:left w:val="nil"/>
              <w:bottom w:val="nil"/>
              <w:right w:val="nil"/>
            </w:tcBorders>
            <w:shd w:val="clear" w:color="auto" w:fill="auto"/>
            <w:vAlign w:val="center"/>
            <w:hideMark/>
          </w:tcPr>
          <w:p w14:paraId="5DCA840F"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Effect of policy decisions </w:t>
            </w:r>
          </w:p>
        </w:tc>
        <w:tc>
          <w:tcPr>
            <w:tcW w:w="489" w:type="pct"/>
            <w:tcBorders>
              <w:top w:val="nil"/>
              <w:left w:val="nil"/>
              <w:bottom w:val="nil"/>
              <w:right w:val="nil"/>
            </w:tcBorders>
            <w:shd w:val="clear" w:color="auto" w:fill="auto"/>
            <w:noWrap/>
            <w:vAlign w:val="bottom"/>
            <w:hideMark/>
          </w:tcPr>
          <w:p w14:paraId="3D390FC3"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450</w:t>
            </w:r>
          </w:p>
        </w:tc>
        <w:tc>
          <w:tcPr>
            <w:tcW w:w="489" w:type="pct"/>
            <w:tcBorders>
              <w:top w:val="nil"/>
              <w:left w:val="nil"/>
              <w:bottom w:val="nil"/>
              <w:right w:val="nil"/>
            </w:tcBorders>
            <w:shd w:val="clear" w:color="000000" w:fill="E6F2FF"/>
            <w:noWrap/>
            <w:vAlign w:val="bottom"/>
            <w:hideMark/>
          </w:tcPr>
          <w:p w14:paraId="511E7D49"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255</w:t>
            </w:r>
          </w:p>
        </w:tc>
        <w:tc>
          <w:tcPr>
            <w:tcW w:w="489" w:type="pct"/>
            <w:tcBorders>
              <w:top w:val="nil"/>
              <w:left w:val="nil"/>
              <w:bottom w:val="nil"/>
              <w:right w:val="nil"/>
            </w:tcBorders>
            <w:shd w:val="clear" w:color="auto" w:fill="auto"/>
            <w:noWrap/>
            <w:vAlign w:val="bottom"/>
            <w:hideMark/>
          </w:tcPr>
          <w:p w14:paraId="19B9445F"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87</w:t>
            </w:r>
          </w:p>
        </w:tc>
        <w:tc>
          <w:tcPr>
            <w:tcW w:w="489" w:type="pct"/>
            <w:tcBorders>
              <w:top w:val="nil"/>
              <w:left w:val="nil"/>
              <w:bottom w:val="nil"/>
              <w:right w:val="nil"/>
            </w:tcBorders>
            <w:shd w:val="clear" w:color="auto" w:fill="auto"/>
            <w:noWrap/>
            <w:vAlign w:val="bottom"/>
            <w:hideMark/>
          </w:tcPr>
          <w:p w14:paraId="7380A4BC"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407</w:t>
            </w:r>
          </w:p>
        </w:tc>
        <w:tc>
          <w:tcPr>
            <w:tcW w:w="489" w:type="pct"/>
            <w:tcBorders>
              <w:top w:val="nil"/>
              <w:left w:val="nil"/>
              <w:bottom w:val="nil"/>
              <w:right w:val="nil"/>
            </w:tcBorders>
            <w:shd w:val="clear" w:color="auto" w:fill="auto"/>
            <w:vAlign w:val="center"/>
            <w:hideMark/>
          </w:tcPr>
          <w:p w14:paraId="293CB14A"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w:t>
            </w:r>
          </w:p>
        </w:tc>
        <w:tc>
          <w:tcPr>
            <w:tcW w:w="56" w:type="pct"/>
            <w:tcBorders>
              <w:top w:val="nil"/>
              <w:left w:val="nil"/>
              <w:bottom w:val="nil"/>
              <w:right w:val="nil"/>
            </w:tcBorders>
            <w:shd w:val="clear" w:color="auto" w:fill="auto"/>
            <w:noWrap/>
            <w:vAlign w:val="bottom"/>
            <w:hideMark/>
          </w:tcPr>
          <w:p w14:paraId="186A3A6D" w14:textId="77777777" w:rsidR="00B73037" w:rsidRPr="00673C1F" w:rsidRDefault="00B73037" w:rsidP="00B73037">
            <w:pPr>
              <w:spacing w:before="0" w:after="0" w:line="240" w:lineRule="auto"/>
              <w:jc w:val="right"/>
              <w:rPr>
                <w:rFonts w:ascii="Arial" w:hAnsi="Arial" w:cs="Arial"/>
                <w:sz w:val="16"/>
                <w:szCs w:val="16"/>
              </w:rPr>
            </w:pPr>
          </w:p>
        </w:tc>
        <w:tc>
          <w:tcPr>
            <w:tcW w:w="578" w:type="pct"/>
            <w:tcBorders>
              <w:top w:val="nil"/>
              <w:left w:val="nil"/>
              <w:bottom w:val="nil"/>
              <w:right w:val="nil"/>
            </w:tcBorders>
            <w:shd w:val="clear" w:color="auto" w:fill="auto"/>
            <w:vAlign w:val="center"/>
            <w:hideMark/>
          </w:tcPr>
          <w:p w14:paraId="3E503992" w14:textId="2ADDA1BE" w:rsidR="00B73037" w:rsidRPr="00673C1F" w:rsidRDefault="00C1546F" w:rsidP="00B73037">
            <w:pPr>
              <w:spacing w:before="0" w:after="0" w:line="240" w:lineRule="auto"/>
              <w:jc w:val="right"/>
              <w:rPr>
                <w:rFonts w:ascii="Arial" w:hAnsi="Arial" w:cs="Arial"/>
                <w:sz w:val="16"/>
                <w:szCs w:val="16"/>
              </w:rPr>
            </w:pPr>
            <w:r w:rsidRPr="00673C1F">
              <w:rPr>
                <w:rFonts w:ascii="Arial" w:hAnsi="Arial" w:cs="Arial"/>
                <w:sz w:val="16"/>
                <w:szCs w:val="16"/>
              </w:rPr>
              <w:t xml:space="preserve">* </w:t>
            </w:r>
          </w:p>
        </w:tc>
      </w:tr>
      <w:tr w:rsidR="00B73037" w:rsidRPr="00BD68BD" w14:paraId="76BCC77F" w14:textId="77777777" w:rsidTr="00C1546F">
        <w:trPr>
          <w:trHeight w:hRule="exact" w:val="225"/>
        </w:trPr>
        <w:tc>
          <w:tcPr>
            <w:tcW w:w="1924" w:type="pct"/>
            <w:tcBorders>
              <w:top w:val="nil"/>
              <w:left w:val="nil"/>
              <w:bottom w:val="nil"/>
              <w:right w:val="nil"/>
            </w:tcBorders>
            <w:shd w:val="clear" w:color="auto" w:fill="auto"/>
            <w:vAlign w:val="center"/>
            <w:hideMark/>
          </w:tcPr>
          <w:p w14:paraId="4AD62F4B"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Effect of parameter and other variations </w:t>
            </w:r>
          </w:p>
        </w:tc>
        <w:tc>
          <w:tcPr>
            <w:tcW w:w="489" w:type="pct"/>
            <w:tcBorders>
              <w:top w:val="nil"/>
              <w:left w:val="nil"/>
              <w:bottom w:val="nil"/>
              <w:right w:val="nil"/>
            </w:tcBorders>
            <w:shd w:val="clear" w:color="auto" w:fill="auto"/>
            <w:vAlign w:val="center"/>
            <w:hideMark/>
          </w:tcPr>
          <w:p w14:paraId="15E11D80"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16,674</w:t>
            </w:r>
          </w:p>
        </w:tc>
        <w:tc>
          <w:tcPr>
            <w:tcW w:w="489" w:type="pct"/>
            <w:tcBorders>
              <w:top w:val="nil"/>
              <w:left w:val="nil"/>
              <w:bottom w:val="nil"/>
              <w:right w:val="nil"/>
            </w:tcBorders>
            <w:shd w:val="clear" w:color="000000" w:fill="E6F2FF"/>
            <w:vAlign w:val="center"/>
            <w:hideMark/>
          </w:tcPr>
          <w:p w14:paraId="78357563"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19,228</w:t>
            </w:r>
          </w:p>
        </w:tc>
        <w:tc>
          <w:tcPr>
            <w:tcW w:w="489" w:type="pct"/>
            <w:tcBorders>
              <w:top w:val="nil"/>
              <w:left w:val="nil"/>
              <w:bottom w:val="nil"/>
              <w:right w:val="nil"/>
            </w:tcBorders>
            <w:shd w:val="clear" w:color="auto" w:fill="auto"/>
            <w:vAlign w:val="center"/>
            <w:hideMark/>
          </w:tcPr>
          <w:p w14:paraId="35E55884"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10,329</w:t>
            </w:r>
          </w:p>
        </w:tc>
        <w:tc>
          <w:tcPr>
            <w:tcW w:w="489" w:type="pct"/>
            <w:tcBorders>
              <w:top w:val="nil"/>
              <w:left w:val="nil"/>
              <w:bottom w:val="nil"/>
              <w:right w:val="nil"/>
            </w:tcBorders>
            <w:shd w:val="clear" w:color="auto" w:fill="auto"/>
            <w:vAlign w:val="center"/>
            <w:hideMark/>
          </w:tcPr>
          <w:p w14:paraId="3A819C0A"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19,851</w:t>
            </w:r>
          </w:p>
        </w:tc>
        <w:tc>
          <w:tcPr>
            <w:tcW w:w="489" w:type="pct"/>
            <w:tcBorders>
              <w:top w:val="nil"/>
              <w:left w:val="nil"/>
              <w:bottom w:val="nil"/>
              <w:right w:val="nil"/>
            </w:tcBorders>
            <w:shd w:val="clear" w:color="auto" w:fill="auto"/>
            <w:vAlign w:val="center"/>
            <w:hideMark/>
          </w:tcPr>
          <w:p w14:paraId="194C0E8A"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w:t>
            </w:r>
          </w:p>
        </w:tc>
        <w:tc>
          <w:tcPr>
            <w:tcW w:w="56" w:type="pct"/>
            <w:tcBorders>
              <w:top w:val="nil"/>
              <w:left w:val="nil"/>
              <w:bottom w:val="nil"/>
              <w:right w:val="nil"/>
            </w:tcBorders>
            <w:shd w:val="clear" w:color="auto" w:fill="auto"/>
            <w:vAlign w:val="center"/>
            <w:hideMark/>
          </w:tcPr>
          <w:p w14:paraId="15D694FC" w14:textId="77777777" w:rsidR="00B73037" w:rsidRPr="00673C1F" w:rsidRDefault="00B73037" w:rsidP="00B73037">
            <w:pPr>
              <w:spacing w:before="0" w:after="0" w:line="240" w:lineRule="auto"/>
              <w:jc w:val="right"/>
              <w:rPr>
                <w:rFonts w:ascii="Arial" w:hAnsi="Arial" w:cs="Arial"/>
                <w:sz w:val="16"/>
                <w:szCs w:val="16"/>
              </w:rPr>
            </w:pPr>
          </w:p>
        </w:tc>
        <w:tc>
          <w:tcPr>
            <w:tcW w:w="578" w:type="pct"/>
            <w:tcBorders>
              <w:top w:val="nil"/>
              <w:left w:val="nil"/>
              <w:bottom w:val="single" w:sz="4" w:space="0" w:color="auto"/>
              <w:right w:val="nil"/>
            </w:tcBorders>
            <w:shd w:val="clear" w:color="auto" w:fill="auto"/>
            <w:vAlign w:val="center"/>
            <w:hideMark/>
          </w:tcPr>
          <w:p w14:paraId="641E3AA5" w14:textId="01AD696D" w:rsidR="00B73037" w:rsidRPr="00673C1F" w:rsidRDefault="00C1546F" w:rsidP="00B73037">
            <w:pPr>
              <w:spacing w:before="0" w:after="0" w:line="240" w:lineRule="auto"/>
              <w:jc w:val="right"/>
              <w:rPr>
                <w:rFonts w:ascii="Arial" w:hAnsi="Arial" w:cs="Arial"/>
                <w:sz w:val="16"/>
                <w:szCs w:val="16"/>
              </w:rPr>
            </w:pPr>
            <w:r w:rsidRPr="00673C1F">
              <w:rPr>
                <w:rFonts w:ascii="Arial" w:hAnsi="Arial" w:cs="Arial"/>
                <w:sz w:val="16"/>
                <w:szCs w:val="16"/>
              </w:rPr>
              <w:t xml:space="preserve">* </w:t>
            </w:r>
          </w:p>
        </w:tc>
      </w:tr>
      <w:tr w:rsidR="00B73037" w:rsidRPr="00BD68BD" w14:paraId="309F7545" w14:textId="77777777" w:rsidTr="00C1546F">
        <w:trPr>
          <w:trHeight w:hRule="exact" w:val="225"/>
        </w:trPr>
        <w:tc>
          <w:tcPr>
            <w:tcW w:w="1924" w:type="pct"/>
            <w:tcBorders>
              <w:top w:val="nil"/>
              <w:left w:val="nil"/>
              <w:bottom w:val="nil"/>
              <w:right w:val="nil"/>
            </w:tcBorders>
            <w:shd w:val="clear" w:color="auto" w:fill="auto"/>
            <w:vAlign w:val="center"/>
            <w:hideMark/>
          </w:tcPr>
          <w:p w14:paraId="433E4122" w14:textId="77777777" w:rsidR="00B73037" w:rsidRPr="00673C1F" w:rsidRDefault="00B73037" w:rsidP="00B73037">
            <w:pPr>
              <w:spacing w:before="0" w:after="0" w:line="240" w:lineRule="auto"/>
              <w:rPr>
                <w:rFonts w:ascii="Arial" w:hAnsi="Arial" w:cs="Arial"/>
                <w:b/>
                <w:sz w:val="16"/>
                <w:szCs w:val="16"/>
              </w:rPr>
            </w:pPr>
            <w:r w:rsidRPr="00673C1F">
              <w:rPr>
                <w:rFonts w:ascii="Arial" w:hAnsi="Arial" w:cs="Arial"/>
                <w:b/>
                <w:sz w:val="16"/>
                <w:szCs w:val="16"/>
              </w:rPr>
              <w:t>Total variations </w:t>
            </w:r>
          </w:p>
        </w:tc>
        <w:tc>
          <w:tcPr>
            <w:tcW w:w="489" w:type="pct"/>
            <w:tcBorders>
              <w:top w:val="single" w:sz="4" w:space="0" w:color="293F5B"/>
              <w:left w:val="nil"/>
              <w:bottom w:val="single" w:sz="4" w:space="0" w:color="293F5B"/>
              <w:right w:val="nil"/>
            </w:tcBorders>
            <w:shd w:val="clear" w:color="auto" w:fill="auto"/>
            <w:vAlign w:val="center"/>
            <w:hideMark/>
          </w:tcPr>
          <w:p w14:paraId="465581B4" w14:textId="74AF48C7" w:rsidR="00B73037" w:rsidRPr="00673C1F" w:rsidRDefault="00C1546F" w:rsidP="00B73037">
            <w:pPr>
              <w:spacing w:before="0" w:after="0" w:line="240" w:lineRule="auto"/>
              <w:jc w:val="right"/>
              <w:rPr>
                <w:rFonts w:ascii="Arial" w:hAnsi="Arial" w:cs="Arial"/>
                <w:b/>
                <w:sz w:val="16"/>
                <w:szCs w:val="16"/>
              </w:rPr>
            </w:pPr>
            <w:r w:rsidRPr="00673C1F">
              <w:rPr>
                <w:rFonts w:ascii="Arial" w:hAnsi="Arial" w:cs="Arial"/>
                <w:b/>
                <w:sz w:val="16"/>
                <w:szCs w:val="16"/>
              </w:rPr>
              <w:t xml:space="preserve">17,124 </w:t>
            </w:r>
          </w:p>
        </w:tc>
        <w:tc>
          <w:tcPr>
            <w:tcW w:w="489" w:type="pct"/>
            <w:tcBorders>
              <w:top w:val="single" w:sz="4" w:space="0" w:color="293F5B"/>
              <w:left w:val="nil"/>
              <w:bottom w:val="single" w:sz="4" w:space="0" w:color="293F5B"/>
              <w:right w:val="nil"/>
            </w:tcBorders>
            <w:shd w:val="clear" w:color="000000" w:fill="E6F2FF"/>
            <w:vAlign w:val="center"/>
            <w:hideMark/>
          </w:tcPr>
          <w:p w14:paraId="595DB3C0" w14:textId="119EF787" w:rsidR="00B73037" w:rsidRPr="00673C1F" w:rsidRDefault="00C1546F" w:rsidP="00B73037">
            <w:pPr>
              <w:spacing w:before="0" w:after="0" w:line="240" w:lineRule="auto"/>
              <w:jc w:val="right"/>
              <w:rPr>
                <w:rFonts w:ascii="Arial" w:hAnsi="Arial" w:cs="Arial"/>
                <w:b/>
                <w:sz w:val="16"/>
                <w:szCs w:val="16"/>
              </w:rPr>
            </w:pPr>
            <w:r w:rsidRPr="00673C1F">
              <w:rPr>
                <w:rFonts w:ascii="Arial" w:hAnsi="Arial" w:cs="Arial"/>
                <w:b/>
                <w:sz w:val="16"/>
                <w:szCs w:val="16"/>
              </w:rPr>
              <w:t xml:space="preserve">19,483 </w:t>
            </w:r>
          </w:p>
        </w:tc>
        <w:tc>
          <w:tcPr>
            <w:tcW w:w="489" w:type="pct"/>
            <w:tcBorders>
              <w:top w:val="single" w:sz="4" w:space="0" w:color="293F5B"/>
              <w:left w:val="nil"/>
              <w:bottom w:val="single" w:sz="4" w:space="0" w:color="293F5B"/>
              <w:right w:val="nil"/>
            </w:tcBorders>
            <w:shd w:val="clear" w:color="auto" w:fill="auto"/>
            <w:vAlign w:val="center"/>
            <w:hideMark/>
          </w:tcPr>
          <w:p w14:paraId="7AC5B306" w14:textId="53A78FB9" w:rsidR="00B73037" w:rsidRPr="00673C1F" w:rsidRDefault="00C1546F" w:rsidP="00B73037">
            <w:pPr>
              <w:spacing w:before="0" w:after="0" w:line="240" w:lineRule="auto"/>
              <w:jc w:val="right"/>
              <w:rPr>
                <w:rFonts w:ascii="Arial" w:hAnsi="Arial" w:cs="Arial"/>
                <w:b/>
                <w:sz w:val="16"/>
                <w:szCs w:val="16"/>
              </w:rPr>
            </w:pPr>
            <w:r w:rsidRPr="00673C1F">
              <w:rPr>
                <w:rFonts w:ascii="Arial" w:hAnsi="Arial" w:cs="Arial"/>
                <w:b/>
                <w:sz w:val="16"/>
                <w:szCs w:val="16"/>
              </w:rPr>
              <w:t xml:space="preserve">10,416 </w:t>
            </w:r>
          </w:p>
        </w:tc>
        <w:tc>
          <w:tcPr>
            <w:tcW w:w="489" w:type="pct"/>
            <w:tcBorders>
              <w:top w:val="single" w:sz="4" w:space="0" w:color="293F5B"/>
              <w:left w:val="nil"/>
              <w:bottom w:val="single" w:sz="4" w:space="0" w:color="293F5B"/>
              <w:right w:val="nil"/>
            </w:tcBorders>
            <w:shd w:val="clear" w:color="auto" w:fill="auto"/>
            <w:vAlign w:val="center"/>
            <w:hideMark/>
          </w:tcPr>
          <w:p w14:paraId="0D71EB10" w14:textId="1233725F" w:rsidR="00B73037" w:rsidRPr="00673C1F" w:rsidRDefault="00C1546F" w:rsidP="00B73037">
            <w:pPr>
              <w:spacing w:before="0" w:after="0" w:line="240" w:lineRule="auto"/>
              <w:jc w:val="right"/>
              <w:rPr>
                <w:rFonts w:ascii="Arial" w:hAnsi="Arial" w:cs="Arial"/>
                <w:b/>
                <w:sz w:val="16"/>
                <w:szCs w:val="16"/>
              </w:rPr>
            </w:pPr>
            <w:r w:rsidRPr="00673C1F">
              <w:rPr>
                <w:rFonts w:ascii="Arial" w:hAnsi="Arial" w:cs="Arial"/>
                <w:b/>
                <w:sz w:val="16"/>
                <w:szCs w:val="16"/>
              </w:rPr>
              <w:t xml:space="preserve">20,259 </w:t>
            </w:r>
          </w:p>
        </w:tc>
        <w:tc>
          <w:tcPr>
            <w:tcW w:w="489" w:type="pct"/>
            <w:tcBorders>
              <w:top w:val="single" w:sz="4" w:space="0" w:color="293F5B"/>
              <w:left w:val="nil"/>
              <w:bottom w:val="single" w:sz="4" w:space="0" w:color="293F5B"/>
              <w:right w:val="nil"/>
            </w:tcBorders>
            <w:shd w:val="clear" w:color="auto" w:fill="auto"/>
            <w:vAlign w:val="center"/>
            <w:hideMark/>
          </w:tcPr>
          <w:p w14:paraId="66537E48" w14:textId="4876DFE6" w:rsidR="00B73037" w:rsidRPr="00673C1F" w:rsidRDefault="00C1546F" w:rsidP="00B73037">
            <w:pPr>
              <w:spacing w:before="0" w:after="0" w:line="240" w:lineRule="auto"/>
              <w:jc w:val="right"/>
              <w:rPr>
                <w:rFonts w:ascii="Arial" w:hAnsi="Arial" w:cs="Arial"/>
                <w:b/>
                <w:sz w:val="16"/>
                <w:szCs w:val="16"/>
              </w:rPr>
            </w:pPr>
            <w:r w:rsidRPr="00673C1F">
              <w:rPr>
                <w:rFonts w:ascii="Arial" w:hAnsi="Arial" w:cs="Arial"/>
                <w:b/>
                <w:sz w:val="16"/>
                <w:szCs w:val="16"/>
              </w:rPr>
              <w:t xml:space="preserve">* </w:t>
            </w:r>
          </w:p>
        </w:tc>
        <w:tc>
          <w:tcPr>
            <w:tcW w:w="56" w:type="pct"/>
            <w:tcBorders>
              <w:top w:val="nil"/>
              <w:left w:val="nil"/>
              <w:bottom w:val="nil"/>
              <w:right w:val="nil"/>
            </w:tcBorders>
            <w:shd w:val="clear" w:color="auto" w:fill="auto"/>
            <w:vAlign w:val="center"/>
            <w:hideMark/>
          </w:tcPr>
          <w:p w14:paraId="2C207636" w14:textId="77777777" w:rsidR="00B73037" w:rsidRPr="00673C1F" w:rsidRDefault="00B73037" w:rsidP="00B73037">
            <w:pPr>
              <w:spacing w:before="0" w:after="0" w:line="240" w:lineRule="auto"/>
              <w:jc w:val="right"/>
              <w:rPr>
                <w:rFonts w:ascii="Arial" w:hAnsi="Arial" w:cs="Arial"/>
                <w:b/>
                <w:sz w:val="16"/>
                <w:szCs w:val="16"/>
              </w:rPr>
            </w:pPr>
          </w:p>
        </w:tc>
        <w:tc>
          <w:tcPr>
            <w:tcW w:w="578" w:type="pct"/>
            <w:tcBorders>
              <w:top w:val="nil"/>
              <w:left w:val="nil"/>
              <w:bottom w:val="single" w:sz="4" w:space="0" w:color="000000"/>
              <w:right w:val="nil"/>
            </w:tcBorders>
            <w:shd w:val="clear" w:color="auto" w:fill="auto"/>
            <w:vAlign w:val="center"/>
            <w:hideMark/>
          </w:tcPr>
          <w:p w14:paraId="7463B83A" w14:textId="0B0B0FB4" w:rsidR="00B73037" w:rsidRPr="00673C1F" w:rsidRDefault="00C1546F" w:rsidP="00B73037">
            <w:pPr>
              <w:spacing w:before="0" w:after="0" w:line="240" w:lineRule="auto"/>
              <w:jc w:val="right"/>
              <w:rPr>
                <w:rFonts w:ascii="Arial" w:hAnsi="Arial" w:cs="Arial"/>
                <w:b/>
                <w:sz w:val="16"/>
                <w:szCs w:val="16"/>
              </w:rPr>
            </w:pPr>
            <w:r w:rsidRPr="00673C1F">
              <w:rPr>
                <w:rFonts w:ascii="Arial" w:hAnsi="Arial" w:cs="Arial"/>
                <w:b/>
                <w:sz w:val="16"/>
                <w:szCs w:val="16"/>
              </w:rPr>
              <w:t xml:space="preserve">* </w:t>
            </w:r>
          </w:p>
        </w:tc>
      </w:tr>
      <w:tr w:rsidR="00B73037" w:rsidRPr="00BD68BD" w14:paraId="1785E353" w14:textId="77777777" w:rsidTr="00C1546F">
        <w:trPr>
          <w:trHeight w:hRule="exact" w:val="225"/>
        </w:trPr>
        <w:tc>
          <w:tcPr>
            <w:tcW w:w="1924" w:type="pct"/>
            <w:tcBorders>
              <w:top w:val="nil"/>
              <w:left w:val="nil"/>
              <w:bottom w:val="nil"/>
              <w:right w:val="nil"/>
            </w:tcBorders>
            <w:shd w:val="clear" w:color="auto" w:fill="auto"/>
            <w:vAlign w:val="center"/>
            <w:hideMark/>
          </w:tcPr>
          <w:p w14:paraId="706296A1" w14:textId="5635404E" w:rsidR="00B73037" w:rsidRPr="00673C1F" w:rsidRDefault="00B73037" w:rsidP="00B73037">
            <w:pPr>
              <w:spacing w:before="0" w:after="0" w:line="240" w:lineRule="auto"/>
              <w:rPr>
                <w:rFonts w:ascii="Arial" w:hAnsi="Arial" w:cs="Arial"/>
                <w:b/>
                <w:sz w:val="16"/>
                <w:szCs w:val="16"/>
              </w:rPr>
            </w:pPr>
            <w:r w:rsidRPr="00673C1F">
              <w:rPr>
                <w:rFonts w:ascii="Arial" w:hAnsi="Arial" w:cs="Arial"/>
                <w:b/>
                <w:sz w:val="16"/>
                <w:szCs w:val="16"/>
              </w:rPr>
              <w:t>Receipts at 2023</w:t>
            </w:r>
            <w:r w:rsidR="006D727E" w:rsidRPr="00673C1F">
              <w:rPr>
                <w:rFonts w:ascii="Arial" w:hAnsi="Arial" w:cs="Arial"/>
                <w:b/>
                <w:sz w:val="16"/>
                <w:szCs w:val="16"/>
              </w:rPr>
              <w:noBreakHyphen/>
            </w:r>
            <w:r w:rsidRPr="00673C1F">
              <w:rPr>
                <w:rFonts w:ascii="Arial" w:hAnsi="Arial" w:cs="Arial"/>
                <w:b/>
                <w:sz w:val="16"/>
                <w:szCs w:val="16"/>
              </w:rPr>
              <w:t>24 MYEFO</w:t>
            </w:r>
          </w:p>
        </w:tc>
        <w:tc>
          <w:tcPr>
            <w:tcW w:w="489" w:type="pct"/>
            <w:tcBorders>
              <w:top w:val="nil"/>
              <w:left w:val="nil"/>
              <w:bottom w:val="nil"/>
              <w:right w:val="nil"/>
            </w:tcBorders>
            <w:shd w:val="clear" w:color="auto" w:fill="auto"/>
            <w:vAlign w:val="center"/>
            <w:hideMark/>
          </w:tcPr>
          <w:p w14:paraId="11399208" w14:textId="61ADC728" w:rsidR="00B73037" w:rsidRPr="00673C1F" w:rsidRDefault="00C1546F" w:rsidP="00B73037">
            <w:pPr>
              <w:spacing w:before="0" w:after="0" w:line="240" w:lineRule="auto"/>
              <w:jc w:val="right"/>
              <w:rPr>
                <w:rFonts w:ascii="Arial" w:hAnsi="Arial" w:cs="Arial"/>
                <w:b/>
                <w:sz w:val="16"/>
                <w:szCs w:val="16"/>
              </w:rPr>
            </w:pPr>
            <w:r w:rsidRPr="00673C1F">
              <w:rPr>
                <w:rFonts w:ascii="Arial" w:hAnsi="Arial" w:cs="Arial"/>
                <w:b/>
                <w:sz w:val="16"/>
                <w:szCs w:val="16"/>
              </w:rPr>
              <w:t xml:space="preserve">685,266 </w:t>
            </w:r>
          </w:p>
        </w:tc>
        <w:tc>
          <w:tcPr>
            <w:tcW w:w="489" w:type="pct"/>
            <w:tcBorders>
              <w:top w:val="nil"/>
              <w:left w:val="nil"/>
              <w:bottom w:val="nil"/>
              <w:right w:val="nil"/>
            </w:tcBorders>
            <w:shd w:val="clear" w:color="000000" w:fill="E6F2FF"/>
            <w:vAlign w:val="center"/>
            <w:hideMark/>
          </w:tcPr>
          <w:p w14:paraId="68A3F3FA" w14:textId="3625C53E" w:rsidR="00B73037" w:rsidRPr="00673C1F" w:rsidRDefault="00C1546F" w:rsidP="00B73037">
            <w:pPr>
              <w:spacing w:before="0" w:after="0" w:line="240" w:lineRule="auto"/>
              <w:jc w:val="right"/>
              <w:rPr>
                <w:rFonts w:ascii="Arial" w:hAnsi="Arial" w:cs="Arial"/>
                <w:b/>
                <w:sz w:val="16"/>
                <w:szCs w:val="16"/>
              </w:rPr>
            </w:pPr>
            <w:r w:rsidRPr="00673C1F">
              <w:rPr>
                <w:rFonts w:ascii="Arial" w:hAnsi="Arial" w:cs="Arial"/>
                <w:b/>
                <w:sz w:val="16"/>
                <w:szCs w:val="16"/>
              </w:rPr>
              <w:t xml:space="preserve">690,721 </w:t>
            </w:r>
          </w:p>
        </w:tc>
        <w:tc>
          <w:tcPr>
            <w:tcW w:w="489" w:type="pct"/>
            <w:tcBorders>
              <w:top w:val="nil"/>
              <w:left w:val="nil"/>
              <w:bottom w:val="nil"/>
              <w:right w:val="nil"/>
            </w:tcBorders>
            <w:shd w:val="clear" w:color="auto" w:fill="auto"/>
            <w:vAlign w:val="center"/>
            <w:hideMark/>
          </w:tcPr>
          <w:p w14:paraId="74D3AB10" w14:textId="1974868B" w:rsidR="00B73037" w:rsidRPr="00673C1F" w:rsidRDefault="00C1546F" w:rsidP="00B73037">
            <w:pPr>
              <w:spacing w:before="0" w:after="0" w:line="240" w:lineRule="auto"/>
              <w:jc w:val="right"/>
              <w:rPr>
                <w:rFonts w:ascii="Arial" w:hAnsi="Arial" w:cs="Arial"/>
                <w:b/>
                <w:sz w:val="16"/>
                <w:szCs w:val="16"/>
              </w:rPr>
            </w:pPr>
            <w:r w:rsidRPr="00673C1F">
              <w:rPr>
                <w:rFonts w:ascii="Arial" w:hAnsi="Arial" w:cs="Arial"/>
                <w:b/>
                <w:sz w:val="16"/>
                <w:szCs w:val="16"/>
              </w:rPr>
              <w:t xml:space="preserve">711,339 </w:t>
            </w:r>
          </w:p>
        </w:tc>
        <w:tc>
          <w:tcPr>
            <w:tcW w:w="489" w:type="pct"/>
            <w:tcBorders>
              <w:top w:val="nil"/>
              <w:left w:val="nil"/>
              <w:bottom w:val="nil"/>
              <w:right w:val="nil"/>
            </w:tcBorders>
            <w:shd w:val="clear" w:color="auto" w:fill="auto"/>
            <w:vAlign w:val="center"/>
            <w:hideMark/>
          </w:tcPr>
          <w:p w14:paraId="77567E91" w14:textId="6D9905D8" w:rsidR="00B73037" w:rsidRPr="00673C1F" w:rsidRDefault="00C1546F" w:rsidP="00B73037">
            <w:pPr>
              <w:spacing w:before="0" w:after="0" w:line="240" w:lineRule="auto"/>
              <w:jc w:val="right"/>
              <w:rPr>
                <w:rFonts w:ascii="Arial" w:hAnsi="Arial" w:cs="Arial"/>
                <w:b/>
                <w:sz w:val="16"/>
                <w:szCs w:val="16"/>
              </w:rPr>
            </w:pPr>
            <w:r w:rsidRPr="00673C1F">
              <w:rPr>
                <w:rFonts w:ascii="Arial" w:hAnsi="Arial" w:cs="Arial"/>
                <w:b/>
                <w:sz w:val="16"/>
                <w:szCs w:val="16"/>
              </w:rPr>
              <w:t xml:space="preserve">755,377 </w:t>
            </w:r>
          </w:p>
        </w:tc>
        <w:tc>
          <w:tcPr>
            <w:tcW w:w="489" w:type="pct"/>
            <w:tcBorders>
              <w:top w:val="nil"/>
              <w:left w:val="nil"/>
              <w:bottom w:val="nil"/>
              <w:right w:val="nil"/>
            </w:tcBorders>
            <w:shd w:val="clear" w:color="auto" w:fill="auto"/>
            <w:vAlign w:val="center"/>
            <w:hideMark/>
          </w:tcPr>
          <w:p w14:paraId="4C428752" w14:textId="73133D34" w:rsidR="00B73037" w:rsidRPr="00673C1F" w:rsidRDefault="00C1546F" w:rsidP="00B73037">
            <w:pPr>
              <w:spacing w:before="0" w:after="0" w:line="240" w:lineRule="auto"/>
              <w:jc w:val="right"/>
              <w:rPr>
                <w:rFonts w:ascii="Arial" w:hAnsi="Arial" w:cs="Arial"/>
                <w:b/>
                <w:sz w:val="16"/>
                <w:szCs w:val="16"/>
              </w:rPr>
            </w:pPr>
            <w:r w:rsidRPr="00673C1F">
              <w:rPr>
                <w:rFonts w:ascii="Arial" w:hAnsi="Arial" w:cs="Arial"/>
                <w:b/>
                <w:sz w:val="16"/>
                <w:szCs w:val="16"/>
              </w:rPr>
              <w:t xml:space="preserve">797,385 </w:t>
            </w:r>
          </w:p>
        </w:tc>
        <w:tc>
          <w:tcPr>
            <w:tcW w:w="56" w:type="pct"/>
            <w:tcBorders>
              <w:top w:val="nil"/>
              <w:left w:val="nil"/>
              <w:bottom w:val="nil"/>
              <w:right w:val="nil"/>
            </w:tcBorders>
            <w:shd w:val="clear" w:color="auto" w:fill="auto"/>
            <w:vAlign w:val="center"/>
            <w:hideMark/>
          </w:tcPr>
          <w:p w14:paraId="2F4E3E5D" w14:textId="77777777" w:rsidR="00B73037" w:rsidRPr="00673C1F" w:rsidRDefault="00B73037" w:rsidP="00B73037">
            <w:pPr>
              <w:spacing w:before="0" w:after="0" w:line="240" w:lineRule="auto"/>
              <w:jc w:val="right"/>
              <w:rPr>
                <w:rFonts w:ascii="Arial" w:hAnsi="Arial" w:cs="Arial"/>
                <w:b/>
                <w:sz w:val="16"/>
                <w:szCs w:val="16"/>
              </w:rPr>
            </w:pPr>
          </w:p>
        </w:tc>
        <w:tc>
          <w:tcPr>
            <w:tcW w:w="578" w:type="pct"/>
            <w:tcBorders>
              <w:top w:val="nil"/>
              <w:left w:val="nil"/>
              <w:bottom w:val="nil"/>
              <w:right w:val="nil"/>
            </w:tcBorders>
            <w:shd w:val="clear" w:color="auto" w:fill="auto"/>
            <w:vAlign w:val="center"/>
            <w:hideMark/>
          </w:tcPr>
          <w:p w14:paraId="67BB4D00" w14:textId="165D4BA4" w:rsidR="00B73037" w:rsidRPr="00673C1F" w:rsidRDefault="00C1546F" w:rsidP="00B73037">
            <w:pPr>
              <w:spacing w:before="0" w:after="0" w:line="240" w:lineRule="auto"/>
              <w:jc w:val="right"/>
              <w:rPr>
                <w:rFonts w:ascii="Arial" w:hAnsi="Arial" w:cs="Arial"/>
                <w:b/>
                <w:sz w:val="16"/>
                <w:szCs w:val="16"/>
              </w:rPr>
            </w:pPr>
            <w:r w:rsidRPr="00673C1F">
              <w:rPr>
                <w:rFonts w:ascii="Arial" w:hAnsi="Arial" w:cs="Arial"/>
                <w:b/>
                <w:sz w:val="16"/>
                <w:szCs w:val="16"/>
              </w:rPr>
              <w:t xml:space="preserve">3,640,087 </w:t>
            </w:r>
          </w:p>
        </w:tc>
      </w:tr>
      <w:tr w:rsidR="00B73037" w:rsidRPr="00BD68BD" w14:paraId="0006A853" w14:textId="77777777" w:rsidTr="00C1546F">
        <w:trPr>
          <w:trHeight w:hRule="exact" w:val="60"/>
        </w:trPr>
        <w:tc>
          <w:tcPr>
            <w:tcW w:w="1924" w:type="pct"/>
            <w:tcBorders>
              <w:top w:val="nil"/>
              <w:left w:val="nil"/>
              <w:bottom w:val="nil"/>
              <w:right w:val="nil"/>
            </w:tcBorders>
            <w:shd w:val="clear" w:color="auto" w:fill="auto"/>
            <w:vAlign w:val="center"/>
            <w:hideMark/>
          </w:tcPr>
          <w:p w14:paraId="066EB754" w14:textId="77777777" w:rsidR="00B73037" w:rsidRPr="00673C1F" w:rsidRDefault="00B73037" w:rsidP="00B73037">
            <w:pPr>
              <w:spacing w:before="0" w:after="0" w:line="240" w:lineRule="auto"/>
              <w:jc w:val="right"/>
              <w:rPr>
                <w:rFonts w:ascii="Arial" w:hAnsi="Arial" w:cs="Arial"/>
                <w:b/>
                <w:sz w:val="16"/>
                <w:szCs w:val="16"/>
              </w:rPr>
            </w:pPr>
          </w:p>
        </w:tc>
        <w:tc>
          <w:tcPr>
            <w:tcW w:w="489" w:type="pct"/>
            <w:tcBorders>
              <w:top w:val="nil"/>
              <w:left w:val="nil"/>
              <w:bottom w:val="nil"/>
              <w:right w:val="nil"/>
            </w:tcBorders>
            <w:shd w:val="clear" w:color="auto" w:fill="auto"/>
            <w:noWrap/>
            <w:vAlign w:val="bottom"/>
            <w:hideMark/>
          </w:tcPr>
          <w:p w14:paraId="607BD2A0" w14:textId="77777777" w:rsidR="00B73037" w:rsidRPr="00673C1F" w:rsidRDefault="00B73037" w:rsidP="00B73037">
            <w:pPr>
              <w:spacing w:before="0" w:after="0" w:line="240" w:lineRule="auto"/>
              <w:jc w:val="right"/>
              <w:rPr>
                <w:rFonts w:ascii="Times New Roman" w:hAnsi="Times New Roman"/>
                <w:sz w:val="20"/>
              </w:rPr>
            </w:pPr>
          </w:p>
        </w:tc>
        <w:tc>
          <w:tcPr>
            <w:tcW w:w="489" w:type="pct"/>
            <w:tcBorders>
              <w:top w:val="nil"/>
              <w:left w:val="nil"/>
              <w:bottom w:val="nil"/>
              <w:right w:val="nil"/>
            </w:tcBorders>
            <w:shd w:val="clear" w:color="000000" w:fill="E6F2FF"/>
            <w:noWrap/>
            <w:vAlign w:val="bottom"/>
            <w:hideMark/>
          </w:tcPr>
          <w:p w14:paraId="094C3E69"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c>
          <w:tcPr>
            <w:tcW w:w="489" w:type="pct"/>
            <w:tcBorders>
              <w:top w:val="nil"/>
              <w:left w:val="nil"/>
              <w:bottom w:val="nil"/>
              <w:right w:val="nil"/>
            </w:tcBorders>
            <w:shd w:val="clear" w:color="auto" w:fill="auto"/>
            <w:noWrap/>
            <w:vAlign w:val="bottom"/>
            <w:hideMark/>
          </w:tcPr>
          <w:p w14:paraId="4D030667" w14:textId="77777777" w:rsidR="00B73037" w:rsidRPr="00673C1F" w:rsidRDefault="00B73037" w:rsidP="00B73037">
            <w:pPr>
              <w:spacing w:before="0" w:after="0" w:line="240" w:lineRule="auto"/>
              <w:rPr>
                <w:rFonts w:ascii="Arial" w:hAnsi="Arial" w:cs="Arial"/>
                <w:sz w:val="16"/>
                <w:szCs w:val="16"/>
              </w:rPr>
            </w:pPr>
          </w:p>
        </w:tc>
        <w:tc>
          <w:tcPr>
            <w:tcW w:w="489" w:type="pct"/>
            <w:tcBorders>
              <w:top w:val="nil"/>
              <w:left w:val="nil"/>
              <w:bottom w:val="nil"/>
              <w:right w:val="nil"/>
            </w:tcBorders>
            <w:shd w:val="clear" w:color="auto" w:fill="auto"/>
            <w:noWrap/>
            <w:vAlign w:val="bottom"/>
            <w:hideMark/>
          </w:tcPr>
          <w:p w14:paraId="08198978" w14:textId="77777777" w:rsidR="00B73037" w:rsidRPr="00673C1F" w:rsidRDefault="00B73037" w:rsidP="00B73037">
            <w:pPr>
              <w:spacing w:before="0" w:after="0" w:line="240" w:lineRule="auto"/>
              <w:rPr>
                <w:rFonts w:ascii="Times New Roman" w:hAnsi="Times New Roman"/>
                <w:sz w:val="20"/>
              </w:rPr>
            </w:pPr>
          </w:p>
        </w:tc>
        <w:tc>
          <w:tcPr>
            <w:tcW w:w="489" w:type="pct"/>
            <w:tcBorders>
              <w:top w:val="nil"/>
              <w:left w:val="nil"/>
              <w:bottom w:val="nil"/>
              <w:right w:val="nil"/>
            </w:tcBorders>
            <w:shd w:val="clear" w:color="auto" w:fill="auto"/>
            <w:noWrap/>
            <w:vAlign w:val="bottom"/>
            <w:hideMark/>
          </w:tcPr>
          <w:p w14:paraId="56BB7139" w14:textId="77777777" w:rsidR="00B73037" w:rsidRPr="00673C1F" w:rsidRDefault="00B73037" w:rsidP="00B73037">
            <w:pPr>
              <w:spacing w:before="0" w:after="0" w:line="240" w:lineRule="auto"/>
              <w:rPr>
                <w:rFonts w:ascii="Times New Roman" w:hAnsi="Times New Roman"/>
                <w:sz w:val="20"/>
              </w:rPr>
            </w:pPr>
          </w:p>
        </w:tc>
        <w:tc>
          <w:tcPr>
            <w:tcW w:w="56" w:type="pct"/>
            <w:tcBorders>
              <w:top w:val="nil"/>
              <w:left w:val="nil"/>
              <w:bottom w:val="nil"/>
              <w:right w:val="nil"/>
            </w:tcBorders>
            <w:shd w:val="clear" w:color="auto" w:fill="auto"/>
            <w:noWrap/>
            <w:vAlign w:val="bottom"/>
            <w:hideMark/>
          </w:tcPr>
          <w:p w14:paraId="6FF36D1F" w14:textId="77777777" w:rsidR="00B73037" w:rsidRPr="00673C1F" w:rsidRDefault="00B73037" w:rsidP="00B73037">
            <w:pPr>
              <w:spacing w:before="0" w:after="0" w:line="240" w:lineRule="auto"/>
              <w:rPr>
                <w:rFonts w:ascii="Times New Roman" w:hAnsi="Times New Roman"/>
                <w:sz w:val="20"/>
              </w:rPr>
            </w:pPr>
          </w:p>
        </w:tc>
        <w:tc>
          <w:tcPr>
            <w:tcW w:w="578" w:type="pct"/>
            <w:tcBorders>
              <w:top w:val="nil"/>
              <w:left w:val="nil"/>
              <w:bottom w:val="nil"/>
              <w:right w:val="nil"/>
            </w:tcBorders>
            <w:shd w:val="clear" w:color="auto" w:fill="auto"/>
            <w:noWrap/>
            <w:vAlign w:val="bottom"/>
            <w:hideMark/>
          </w:tcPr>
          <w:p w14:paraId="68AE4129" w14:textId="77777777" w:rsidR="00B73037" w:rsidRPr="00673C1F" w:rsidRDefault="00B73037" w:rsidP="00B73037">
            <w:pPr>
              <w:spacing w:before="0" w:after="0" w:line="240" w:lineRule="auto"/>
              <w:rPr>
                <w:rFonts w:ascii="Times New Roman" w:hAnsi="Times New Roman"/>
                <w:sz w:val="20"/>
              </w:rPr>
            </w:pPr>
          </w:p>
        </w:tc>
      </w:tr>
      <w:tr w:rsidR="00B73037" w:rsidRPr="00BD68BD" w14:paraId="15F4ADC0" w14:textId="77777777" w:rsidTr="00C1546F">
        <w:trPr>
          <w:trHeight w:hRule="exact" w:val="225"/>
        </w:trPr>
        <w:tc>
          <w:tcPr>
            <w:tcW w:w="1924" w:type="pct"/>
            <w:tcBorders>
              <w:top w:val="nil"/>
              <w:left w:val="nil"/>
              <w:bottom w:val="nil"/>
              <w:right w:val="nil"/>
            </w:tcBorders>
            <w:shd w:val="clear" w:color="auto" w:fill="auto"/>
            <w:vAlign w:val="center"/>
            <w:hideMark/>
          </w:tcPr>
          <w:p w14:paraId="1A74373F" w14:textId="56CE1A6D" w:rsidR="00B73037" w:rsidRPr="00673C1F" w:rsidRDefault="00B73037" w:rsidP="00B73037">
            <w:pPr>
              <w:spacing w:before="0" w:after="0" w:line="240" w:lineRule="auto"/>
              <w:rPr>
                <w:rFonts w:ascii="Arial" w:hAnsi="Arial" w:cs="Arial"/>
                <w:b/>
                <w:sz w:val="16"/>
                <w:szCs w:val="16"/>
              </w:rPr>
            </w:pPr>
            <w:r w:rsidRPr="00673C1F">
              <w:rPr>
                <w:rFonts w:ascii="Arial" w:hAnsi="Arial" w:cs="Arial"/>
                <w:b/>
                <w:sz w:val="16"/>
                <w:szCs w:val="16"/>
              </w:rPr>
              <w:t>Changes from 2023</w:t>
            </w:r>
            <w:r w:rsidR="006D727E" w:rsidRPr="00673C1F">
              <w:rPr>
                <w:rFonts w:ascii="Arial" w:hAnsi="Arial" w:cs="Arial"/>
                <w:b/>
                <w:sz w:val="16"/>
                <w:szCs w:val="16"/>
              </w:rPr>
              <w:noBreakHyphen/>
            </w:r>
            <w:r w:rsidRPr="00673C1F">
              <w:rPr>
                <w:rFonts w:ascii="Arial" w:hAnsi="Arial" w:cs="Arial"/>
                <w:b/>
                <w:sz w:val="16"/>
                <w:szCs w:val="16"/>
              </w:rPr>
              <w:t>24 MYEFO</w:t>
            </w:r>
          </w:p>
        </w:tc>
        <w:tc>
          <w:tcPr>
            <w:tcW w:w="489" w:type="pct"/>
            <w:tcBorders>
              <w:top w:val="nil"/>
              <w:left w:val="nil"/>
              <w:bottom w:val="nil"/>
              <w:right w:val="nil"/>
            </w:tcBorders>
            <w:shd w:val="clear" w:color="auto" w:fill="auto"/>
            <w:noWrap/>
            <w:vAlign w:val="bottom"/>
            <w:hideMark/>
          </w:tcPr>
          <w:p w14:paraId="77781D1D" w14:textId="77777777" w:rsidR="00B73037" w:rsidRPr="00673C1F" w:rsidRDefault="00B73037" w:rsidP="00B73037">
            <w:pPr>
              <w:spacing w:before="0" w:after="0" w:line="240" w:lineRule="auto"/>
              <w:rPr>
                <w:rFonts w:ascii="Arial" w:hAnsi="Arial" w:cs="Arial"/>
                <w:b/>
                <w:sz w:val="16"/>
                <w:szCs w:val="16"/>
              </w:rPr>
            </w:pPr>
          </w:p>
        </w:tc>
        <w:tc>
          <w:tcPr>
            <w:tcW w:w="489" w:type="pct"/>
            <w:tcBorders>
              <w:top w:val="nil"/>
              <w:left w:val="nil"/>
              <w:bottom w:val="nil"/>
              <w:right w:val="nil"/>
            </w:tcBorders>
            <w:shd w:val="clear" w:color="000000" w:fill="E6F2FF"/>
            <w:noWrap/>
            <w:vAlign w:val="bottom"/>
            <w:hideMark/>
          </w:tcPr>
          <w:p w14:paraId="5601D5FE"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c>
          <w:tcPr>
            <w:tcW w:w="489" w:type="pct"/>
            <w:tcBorders>
              <w:top w:val="nil"/>
              <w:left w:val="nil"/>
              <w:bottom w:val="nil"/>
              <w:right w:val="nil"/>
            </w:tcBorders>
            <w:shd w:val="clear" w:color="auto" w:fill="auto"/>
            <w:noWrap/>
            <w:vAlign w:val="bottom"/>
            <w:hideMark/>
          </w:tcPr>
          <w:p w14:paraId="1F7B4DAA" w14:textId="77777777" w:rsidR="00B73037" w:rsidRPr="00673C1F" w:rsidRDefault="00B73037" w:rsidP="00B73037">
            <w:pPr>
              <w:spacing w:before="0" w:after="0" w:line="240" w:lineRule="auto"/>
              <w:rPr>
                <w:rFonts w:ascii="Arial" w:hAnsi="Arial" w:cs="Arial"/>
                <w:sz w:val="16"/>
                <w:szCs w:val="16"/>
              </w:rPr>
            </w:pPr>
          </w:p>
        </w:tc>
        <w:tc>
          <w:tcPr>
            <w:tcW w:w="489" w:type="pct"/>
            <w:tcBorders>
              <w:top w:val="nil"/>
              <w:left w:val="nil"/>
              <w:bottom w:val="nil"/>
              <w:right w:val="nil"/>
            </w:tcBorders>
            <w:shd w:val="clear" w:color="auto" w:fill="auto"/>
            <w:noWrap/>
            <w:vAlign w:val="bottom"/>
            <w:hideMark/>
          </w:tcPr>
          <w:p w14:paraId="585F24CF" w14:textId="77777777" w:rsidR="00B73037" w:rsidRPr="00673C1F" w:rsidRDefault="00B73037" w:rsidP="00B73037">
            <w:pPr>
              <w:spacing w:before="0" w:after="0" w:line="240" w:lineRule="auto"/>
              <w:rPr>
                <w:rFonts w:ascii="Times New Roman" w:hAnsi="Times New Roman"/>
                <w:sz w:val="20"/>
              </w:rPr>
            </w:pPr>
          </w:p>
        </w:tc>
        <w:tc>
          <w:tcPr>
            <w:tcW w:w="489" w:type="pct"/>
            <w:tcBorders>
              <w:top w:val="nil"/>
              <w:left w:val="nil"/>
              <w:bottom w:val="nil"/>
              <w:right w:val="nil"/>
            </w:tcBorders>
            <w:shd w:val="clear" w:color="auto" w:fill="auto"/>
            <w:noWrap/>
            <w:vAlign w:val="bottom"/>
            <w:hideMark/>
          </w:tcPr>
          <w:p w14:paraId="5513FFED" w14:textId="77777777" w:rsidR="00B73037" w:rsidRPr="00673C1F" w:rsidRDefault="00B73037" w:rsidP="00B73037">
            <w:pPr>
              <w:spacing w:before="0" w:after="0" w:line="240" w:lineRule="auto"/>
              <w:rPr>
                <w:rFonts w:ascii="Times New Roman" w:hAnsi="Times New Roman"/>
                <w:sz w:val="20"/>
              </w:rPr>
            </w:pPr>
          </w:p>
        </w:tc>
        <w:tc>
          <w:tcPr>
            <w:tcW w:w="56" w:type="pct"/>
            <w:tcBorders>
              <w:top w:val="nil"/>
              <w:left w:val="nil"/>
              <w:bottom w:val="nil"/>
              <w:right w:val="nil"/>
            </w:tcBorders>
            <w:shd w:val="clear" w:color="auto" w:fill="auto"/>
            <w:noWrap/>
            <w:vAlign w:val="bottom"/>
            <w:hideMark/>
          </w:tcPr>
          <w:p w14:paraId="7B4E020F" w14:textId="77777777" w:rsidR="00B73037" w:rsidRPr="00673C1F" w:rsidRDefault="00B73037" w:rsidP="00B73037">
            <w:pPr>
              <w:spacing w:before="0" w:after="0" w:line="240" w:lineRule="auto"/>
              <w:rPr>
                <w:rFonts w:ascii="Times New Roman" w:hAnsi="Times New Roman"/>
                <w:sz w:val="20"/>
              </w:rPr>
            </w:pPr>
          </w:p>
        </w:tc>
        <w:tc>
          <w:tcPr>
            <w:tcW w:w="578" w:type="pct"/>
            <w:tcBorders>
              <w:top w:val="nil"/>
              <w:left w:val="nil"/>
              <w:bottom w:val="nil"/>
              <w:right w:val="nil"/>
            </w:tcBorders>
            <w:shd w:val="clear" w:color="auto" w:fill="auto"/>
            <w:noWrap/>
            <w:vAlign w:val="bottom"/>
            <w:hideMark/>
          </w:tcPr>
          <w:p w14:paraId="7AB1E6EB" w14:textId="77777777" w:rsidR="00B73037" w:rsidRPr="00673C1F" w:rsidRDefault="00B73037" w:rsidP="00B73037">
            <w:pPr>
              <w:spacing w:before="0" w:after="0" w:line="240" w:lineRule="auto"/>
              <w:rPr>
                <w:rFonts w:ascii="Times New Roman" w:hAnsi="Times New Roman"/>
                <w:sz w:val="20"/>
              </w:rPr>
            </w:pPr>
          </w:p>
        </w:tc>
      </w:tr>
      <w:tr w:rsidR="00B73037" w:rsidRPr="00BD68BD" w14:paraId="2FD7FC12" w14:textId="77777777" w:rsidTr="00C1546F">
        <w:trPr>
          <w:trHeight w:hRule="exact" w:val="225"/>
        </w:trPr>
        <w:tc>
          <w:tcPr>
            <w:tcW w:w="1924" w:type="pct"/>
            <w:tcBorders>
              <w:top w:val="nil"/>
              <w:left w:val="nil"/>
              <w:bottom w:val="nil"/>
              <w:right w:val="nil"/>
            </w:tcBorders>
            <w:shd w:val="clear" w:color="auto" w:fill="auto"/>
            <w:vAlign w:val="center"/>
            <w:hideMark/>
          </w:tcPr>
          <w:p w14:paraId="66BA5346" w14:textId="008AF94E" w:rsidR="00B73037" w:rsidRPr="00673C1F" w:rsidRDefault="00B73037" w:rsidP="00C1546F">
            <w:pPr>
              <w:spacing w:before="0" w:after="0" w:line="240" w:lineRule="auto"/>
              <w:ind w:left="170"/>
              <w:rPr>
                <w:rFonts w:ascii="Arial" w:hAnsi="Arial" w:cs="Arial"/>
                <w:b/>
                <w:sz w:val="16"/>
                <w:szCs w:val="16"/>
              </w:rPr>
            </w:pPr>
            <w:r w:rsidRPr="00673C1F">
              <w:rPr>
                <w:rFonts w:ascii="Arial" w:hAnsi="Arial" w:cs="Arial"/>
                <w:b/>
                <w:sz w:val="16"/>
                <w:szCs w:val="16"/>
              </w:rPr>
              <w:t>to 2024</w:t>
            </w:r>
            <w:r w:rsidR="006D727E" w:rsidRPr="00673C1F">
              <w:rPr>
                <w:rFonts w:ascii="Arial" w:hAnsi="Arial" w:cs="Arial"/>
                <w:b/>
                <w:sz w:val="16"/>
                <w:szCs w:val="16"/>
              </w:rPr>
              <w:noBreakHyphen/>
            </w:r>
            <w:r w:rsidRPr="00673C1F">
              <w:rPr>
                <w:rFonts w:ascii="Arial" w:hAnsi="Arial" w:cs="Arial"/>
                <w:b/>
                <w:sz w:val="16"/>
                <w:szCs w:val="16"/>
              </w:rPr>
              <w:t>25 Budget </w:t>
            </w:r>
          </w:p>
        </w:tc>
        <w:tc>
          <w:tcPr>
            <w:tcW w:w="489" w:type="pct"/>
            <w:tcBorders>
              <w:top w:val="nil"/>
              <w:left w:val="nil"/>
              <w:bottom w:val="nil"/>
              <w:right w:val="nil"/>
            </w:tcBorders>
            <w:shd w:val="clear" w:color="auto" w:fill="auto"/>
            <w:noWrap/>
            <w:vAlign w:val="bottom"/>
            <w:hideMark/>
          </w:tcPr>
          <w:p w14:paraId="15198AEF" w14:textId="77777777" w:rsidR="00B73037" w:rsidRPr="00673C1F" w:rsidRDefault="00B73037" w:rsidP="00B73037">
            <w:pPr>
              <w:spacing w:before="0" w:after="0" w:line="240" w:lineRule="auto"/>
              <w:ind w:firstLineChars="100" w:firstLine="161"/>
              <w:rPr>
                <w:rFonts w:ascii="Arial" w:hAnsi="Arial" w:cs="Arial"/>
                <w:b/>
                <w:sz w:val="16"/>
                <w:szCs w:val="16"/>
              </w:rPr>
            </w:pPr>
          </w:p>
        </w:tc>
        <w:tc>
          <w:tcPr>
            <w:tcW w:w="489" w:type="pct"/>
            <w:tcBorders>
              <w:top w:val="nil"/>
              <w:left w:val="nil"/>
              <w:bottom w:val="nil"/>
              <w:right w:val="nil"/>
            </w:tcBorders>
            <w:shd w:val="clear" w:color="000000" w:fill="E6F2FF"/>
            <w:noWrap/>
            <w:vAlign w:val="bottom"/>
            <w:hideMark/>
          </w:tcPr>
          <w:p w14:paraId="0FF3B8E3"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c>
          <w:tcPr>
            <w:tcW w:w="489" w:type="pct"/>
            <w:tcBorders>
              <w:top w:val="nil"/>
              <w:left w:val="nil"/>
              <w:bottom w:val="nil"/>
              <w:right w:val="nil"/>
            </w:tcBorders>
            <w:shd w:val="clear" w:color="auto" w:fill="auto"/>
            <w:noWrap/>
            <w:vAlign w:val="bottom"/>
            <w:hideMark/>
          </w:tcPr>
          <w:p w14:paraId="14088993" w14:textId="77777777" w:rsidR="00B73037" w:rsidRPr="00673C1F" w:rsidRDefault="00B73037" w:rsidP="00B73037">
            <w:pPr>
              <w:spacing w:before="0" w:after="0" w:line="240" w:lineRule="auto"/>
              <w:rPr>
                <w:rFonts w:ascii="Arial" w:hAnsi="Arial" w:cs="Arial"/>
                <w:sz w:val="16"/>
                <w:szCs w:val="16"/>
              </w:rPr>
            </w:pPr>
          </w:p>
        </w:tc>
        <w:tc>
          <w:tcPr>
            <w:tcW w:w="489" w:type="pct"/>
            <w:tcBorders>
              <w:top w:val="nil"/>
              <w:left w:val="nil"/>
              <w:bottom w:val="nil"/>
              <w:right w:val="nil"/>
            </w:tcBorders>
            <w:shd w:val="clear" w:color="auto" w:fill="auto"/>
            <w:noWrap/>
            <w:vAlign w:val="bottom"/>
            <w:hideMark/>
          </w:tcPr>
          <w:p w14:paraId="26928D38" w14:textId="77777777" w:rsidR="00B73037" w:rsidRPr="00673C1F" w:rsidRDefault="00B73037" w:rsidP="00B73037">
            <w:pPr>
              <w:spacing w:before="0" w:after="0" w:line="240" w:lineRule="auto"/>
              <w:rPr>
                <w:rFonts w:ascii="Times New Roman" w:hAnsi="Times New Roman"/>
                <w:sz w:val="20"/>
              </w:rPr>
            </w:pPr>
          </w:p>
        </w:tc>
        <w:tc>
          <w:tcPr>
            <w:tcW w:w="489" w:type="pct"/>
            <w:tcBorders>
              <w:top w:val="nil"/>
              <w:left w:val="nil"/>
              <w:bottom w:val="nil"/>
              <w:right w:val="nil"/>
            </w:tcBorders>
            <w:shd w:val="clear" w:color="auto" w:fill="auto"/>
            <w:noWrap/>
            <w:vAlign w:val="bottom"/>
            <w:hideMark/>
          </w:tcPr>
          <w:p w14:paraId="5F405563" w14:textId="77777777" w:rsidR="00B73037" w:rsidRPr="00673C1F" w:rsidRDefault="00B73037" w:rsidP="00B73037">
            <w:pPr>
              <w:spacing w:before="0" w:after="0" w:line="240" w:lineRule="auto"/>
              <w:rPr>
                <w:rFonts w:ascii="Times New Roman" w:hAnsi="Times New Roman"/>
                <w:sz w:val="20"/>
              </w:rPr>
            </w:pPr>
          </w:p>
        </w:tc>
        <w:tc>
          <w:tcPr>
            <w:tcW w:w="56" w:type="pct"/>
            <w:tcBorders>
              <w:top w:val="nil"/>
              <w:left w:val="nil"/>
              <w:bottom w:val="nil"/>
              <w:right w:val="nil"/>
            </w:tcBorders>
            <w:shd w:val="clear" w:color="auto" w:fill="auto"/>
            <w:noWrap/>
            <w:vAlign w:val="bottom"/>
            <w:hideMark/>
          </w:tcPr>
          <w:p w14:paraId="4218B212" w14:textId="77777777" w:rsidR="00B73037" w:rsidRPr="00673C1F" w:rsidRDefault="00B73037" w:rsidP="00B73037">
            <w:pPr>
              <w:spacing w:before="0" w:after="0" w:line="240" w:lineRule="auto"/>
              <w:rPr>
                <w:rFonts w:ascii="Times New Roman" w:hAnsi="Times New Roman"/>
                <w:sz w:val="20"/>
              </w:rPr>
            </w:pPr>
          </w:p>
        </w:tc>
        <w:tc>
          <w:tcPr>
            <w:tcW w:w="578" w:type="pct"/>
            <w:tcBorders>
              <w:top w:val="nil"/>
              <w:left w:val="nil"/>
              <w:bottom w:val="nil"/>
              <w:right w:val="nil"/>
            </w:tcBorders>
            <w:shd w:val="clear" w:color="auto" w:fill="auto"/>
            <w:noWrap/>
            <w:vAlign w:val="bottom"/>
            <w:hideMark/>
          </w:tcPr>
          <w:p w14:paraId="48744716" w14:textId="77777777" w:rsidR="00B73037" w:rsidRPr="00673C1F" w:rsidRDefault="00B73037" w:rsidP="00B73037">
            <w:pPr>
              <w:spacing w:before="0" w:after="0" w:line="240" w:lineRule="auto"/>
              <w:rPr>
                <w:rFonts w:ascii="Times New Roman" w:hAnsi="Times New Roman"/>
                <w:sz w:val="20"/>
              </w:rPr>
            </w:pPr>
          </w:p>
        </w:tc>
      </w:tr>
      <w:tr w:rsidR="00B73037" w:rsidRPr="00BD68BD" w14:paraId="18849E09" w14:textId="77777777" w:rsidTr="00C1546F">
        <w:trPr>
          <w:trHeight w:hRule="exact" w:val="225"/>
        </w:trPr>
        <w:tc>
          <w:tcPr>
            <w:tcW w:w="1924" w:type="pct"/>
            <w:tcBorders>
              <w:top w:val="nil"/>
              <w:left w:val="nil"/>
              <w:bottom w:val="nil"/>
              <w:right w:val="nil"/>
            </w:tcBorders>
            <w:shd w:val="clear" w:color="auto" w:fill="auto"/>
            <w:vAlign w:val="center"/>
            <w:hideMark/>
          </w:tcPr>
          <w:p w14:paraId="0BEE19A8"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Effect of policy decisions </w:t>
            </w:r>
          </w:p>
        </w:tc>
        <w:tc>
          <w:tcPr>
            <w:tcW w:w="489" w:type="pct"/>
            <w:tcBorders>
              <w:top w:val="nil"/>
              <w:left w:val="nil"/>
              <w:bottom w:val="nil"/>
              <w:right w:val="nil"/>
            </w:tcBorders>
            <w:shd w:val="clear" w:color="auto" w:fill="auto"/>
            <w:vAlign w:val="center"/>
            <w:hideMark/>
          </w:tcPr>
          <w:p w14:paraId="485AF0B6"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136</w:t>
            </w:r>
          </w:p>
        </w:tc>
        <w:tc>
          <w:tcPr>
            <w:tcW w:w="489" w:type="pct"/>
            <w:tcBorders>
              <w:top w:val="nil"/>
              <w:left w:val="nil"/>
              <w:bottom w:val="nil"/>
              <w:right w:val="nil"/>
            </w:tcBorders>
            <w:shd w:val="clear" w:color="000000" w:fill="E6F2FF"/>
            <w:vAlign w:val="center"/>
            <w:hideMark/>
          </w:tcPr>
          <w:p w14:paraId="63D1562C"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2,215</w:t>
            </w:r>
          </w:p>
        </w:tc>
        <w:tc>
          <w:tcPr>
            <w:tcW w:w="489" w:type="pct"/>
            <w:tcBorders>
              <w:top w:val="nil"/>
              <w:left w:val="nil"/>
              <w:bottom w:val="nil"/>
              <w:right w:val="nil"/>
            </w:tcBorders>
            <w:shd w:val="clear" w:color="auto" w:fill="auto"/>
            <w:vAlign w:val="center"/>
            <w:hideMark/>
          </w:tcPr>
          <w:p w14:paraId="70E3D0F0" w14:textId="5D5F2FBF" w:rsidR="00B73037" w:rsidRPr="00673C1F" w:rsidRDefault="006D727E" w:rsidP="00B73037">
            <w:pPr>
              <w:spacing w:before="0" w:after="0" w:line="240" w:lineRule="auto"/>
              <w:jc w:val="right"/>
              <w:rPr>
                <w:rFonts w:ascii="Arial" w:hAnsi="Arial" w:cs="Arial"/>
                <w:sz w:val="16"/>
                <w:szCs w:val="16"/>
              </w:rPr>
            </w:pPr>
            <w:r w:rsidRPr="00673C1F">
              <w:rPr>
                <w:rFonts w:ascii="Arial" w:hAnsi="Arial" w:cs="Arial"/>
                <w:sz w:val="16"/>
                <w:szCs w:val="16"/>
              </w:rPr>
              <w:noBreakHyphen/>
            </w:r>
            <w:r w:rsidR="00B73037" w:rsidRPr="00673C1F">
              <w:rPr>
                <w:rFonts w:ascii="Arial" w:hAnsi="Arial" w:cs="Arial"/>
                <w:sz w:val="16"/>
                <w:szCs w:val="16"/>
              </w:rPr>
              <w:t>1,000</w:t>
            </w:r>
          </w:p>
        </w:tc>
        <w:tc>
          <w:tcPr>
            <w:tcW w:w="489" w:type="pct"/>
            <w:tcBorders>
              <w:top w:val="nil"/>
              <w:left w:val="nil"/>
              <w:bottom w:val="nil"/>
              <w:right w:val="nil"/>
            </w:tcBorders>
            <w:shd w:val="clear" w:color="auto" w:fill="auto"/>
            <w:vAlign w:val="center"/>
            <w:hideMark/>
          </w:tcPr>
          <w:p w14:paraId="6ED38A29"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1,989</w:t>
            </w:r>
          </w:p>
        </w:tc>
        <w:tc>
          <w:tcPr>
            <w:tcW w:w="489" w:type="pct"/>
            <w:tcBorders>
              <w:top w:val="nil"/>
              <w:left w:val="nil"/>
              <w:bottom w:val="nil"/>
              <w:right w:val="nil"/>
            </w:tcBorders>
            <w:shd w:val="clear" w:color="auto" w:fill="auto"/>
            <w:vAlign w:val="center"/>
            <w:hideMark/>
          </w:tcPr>
          <w:p w14:paraId="44683437"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4,725</w:t>
            </w:r>
          </w:p>
        </w:tc>
        <w:tc>
          <w:tcPr>
            <w:tcW w:w="56" w:type="pct"/>
            <w:tcBorders>
              <w:top w:val="nil"/>
              <w:left w:val="nil"/>
              <w:bottom w:val="nil"/>
              <w:right w:val="nil"/>
            </w:tcBorders>
            <w:shd w:val="clear" w:color="auto" w:fill="auto"/>
            <w:noWrap/>
            <w:vAlign w:val="bottom"/>
            <w:hideMark/>
          </w:tcPr>
          <w:p w14:paraId="6CA7FC6B" w14:textId="77777777" w:rsidR="00B73037" w:rsidRPr="00673C1F" w:rsidRDefault="00B73037" w:rsidP="00B73037">
            <w:pPr>
              <w:spacing w:before="0" w:after="0" w:line="240" w:lineRule="auto"/>
              <w:jc w:val="right"/>
              <w:rPr>
                <w:rFonts w:ascii="Arial" w:hAnsi="Arial" w:cs="Arial"/>
                <w:sz w:val="16"/>
                <w:szCs w:val="16"/>
              </w:rPr>
            </w:pPr>
          </w:p>
        </w:tc>
        <w:tc>
          <w:tcPr>
            <w:tcW w:w="578" w:type="pct"/>
            <w:tcBorders>
              <w:top w:val="nil"/>
              <w:left w:val="nil"/>
              <w:bottom w:val="nil"/>
              <w:right w:val="nil"/>
            </w:tcBorders>
            <w:shd w:val="clear" w:color="auto" w:fill="auto"/>
            <w:vAlign w:val="center"/>
            <w:hideMark/>
          </w:tcPr>
          <w:p w14:paraId="038B77EE" w14:textId="67C2163A" w:rsidR="00B73037" w:rsidRPr="00673C1F" w:rsidRDefault="00C1546F" w:rsidP="00B73037">
            <w:pPr>
              <w:spacing w:before="0" w:after="0" w:line="240" w:lineRule="auto"/>
              <w:jc w:val="right"/>
              <w:rPr>
                <w:rFonts w:ascii="Arial" w:hAnsi="Arial" w:cs="Arial"/>
                <w:sz w:val="16"/>
                <w:szCs w:val="16"/>
              </w:rPr>
            </w:pPr>
            <w:r w:rsidRPr="00673C1F">
              <w:rPr>
                <w:rFonts w:ascii="Arial" w:hAnsi="Arial" w:cs="Arial"/>
                <w:sz w:val="16"/>
                <w:szCs w:val="16"/>
              </w:rPr>
              <w:t xml:space="preserve">8,064 </w:t>
            </w:r>
          </w:p>
        </w:tc>
      </w:tr>
      <w:tr w:rsidR="00B73037" w:rsidRPr="00BD68BD" w14:paraId="1E5DD232" w14:textId="77777777" w:rsidTr="00C1546F">
        <w:trPr>
          <w:trHeight w:hRule="exact" w:val="225"/>
        </w:trPr>
        <w:tc>
          <w:tcPr>
            <w:tcW w:w="1924" w:type="pct"/>
            <w:tcBorders>
              <w:top w:val="nil"/>
              <w:left w:val="nil"/>
              <w:bottom w:val="nil"/>
              <w:right w:val="nil"/>
            </w:tcBorders>
            <w:shd w:val="clear" w:color="auto" w:fill="auto"/>
            <w:vAlign w:val="center"/>
            <w:hideMark/>
          </w:tcPr>
          <w:p w14:paraId="32AF7811"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Effect of parameter and other variations </w:t>
            </w:r>
          </w:p>
        </w:tc>
        <w:tc>
          <w:tcPr>
            <w:tcW w:w="489" w:type="pct"/>
            <w:tcBorders>
              <w:top w:val="nil"/>
              <w:left w:val="nil"/>
              <w:bottom w:val="nil"/>
              <w:right w:val="nil"/>
            </w:tcBorders>
            <w:shd w:val="clear" w:color="auto" w:fill="auto"/>
            <w:vAlign w:val="center"/>
            <w:hideMark/>
          </w:tcPr>
          <w:p w14:paraId="109DF1E1"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6,906</w:t>
            </w:r>
          </w:p>
        </w:tc>
        <w:tc>
          <w:tcPr>
            <w:tcW w:w="489" w:type="pct"/>
            <w:tcBorders>
              <w:top w:val="nil"/>
              <w:left w:val="nil"/>
              <w:bottom w:val="nil"/>
              <w:right w:val="nil"/>
            </w:tcBorders>
            <w:shd w:val="clear" w:color="000000" w:fill="E6F2FF"/>
            <w:vAlign w:val="center"/>
            <w:hideMark/>
          </w:tcPr>
          <w:p w14:paraId="16550614"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5,509</w:t>
            </w:r>
          </w:p>
        </w:tc>
        <w:tc>
          <w:tcPr>
            <w:tcW w:w="489" w:type="pct"/>
            <w:tcBorders>
              <w:top w:val="nil"/>
              <w:left w:val="nil"/>
              <w:bottom w:val="nil"/>
              <w:right w:val="nil"/>
            </w:tcBorders>
            <w:shd w:val="clear" w:color="auto" w:fill="auto"/>
            <w:vAlign w:val="center"/>
            <w:hideMark/>
          </w:tcPr>
          <w:p w14:paraId="56D6EFBA"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9,015</w:t>
            </w:r>
          </w:p>
        </w:tc>
        <w:tc>
          <w:tcPr>
            <w:tcW w:w="489" w:type="pct"/>
            <w:tcBorders>
              <w:top w:val="nil"/>
              <w:left w:val="nil"/>
              <w:bottom w:val="nil"/>
              <w:right w:val="nil"/>
            </w:tcBorders>
            <w:shd w:val="clear" w:color="auto" w:fill="auto"/>
            <w:vAlign w:val="center"/>
            <w:hideMark/>
          </w:tcPr>
          <w:p w14:paraId="0EB790D5"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2,644</w:t>
            </w:r>
          </w:p>
        </w:tc>
        <w:tc>
          <w:tcPr>
            <w:tcW w:w="489" w:type="pct"/>
            <w:tcBorders>
              <w:top w:val="nil"/>
              <w:left w:val="nil"/>
              <w:bottom w:val="nil"/>
              <w:right w:val="nil"/>
            </w:tcBorders>
            <w:shd w:val="clear" w:color="auto" w:fill="auto"/>
            <w:vAlign w:val="center"/>
            <w:hideMark/>
          </w:tcPr>
          <w:p w14:paraId="333C0230" w14:textId="49574A0D" w:rsidR="00B73037" w:rsidRPr="00673C1F" w:rsidRDefault="006D727E" w:rsidP="00B73037">
            <w:pPr>
              <w:spacing w:before="0" w:after="0" w:line="240" w:lineRule="auto"/>
              <w:jc w:val="right"/>
              <w:rPr>
                <w:rFonts w:ascii="Arial" w:hAnsi="Arial" w:cs="Arial"/>
                <w:sz w:val="16"/>
                <w:szCs w:val="16"/>
              </w:rPr>
            </w:pPr>
            <w:r w:rsidRPr="00673C1F">
              <w:rPr>
                <w:rFonts w:ascii="Arial" w:hAnsi="Arial" w:cs="Arial"/>
                <w:sz w:val="16"/>
                <w:szCs w:val="16"/>
              </w:rPr>
              <w:noBreakHyphen/>
            </w:r>
            <w:r w:rsidR="00B73037" w:rsidRPr="00673C1F">
              <w:rPr>
                <w:rFonts w:ascii="Arial" w:hAnsi="Arial" w:cs="Arial"/>
                <w:sz w:val="16"/>
                <w:szCs w:val="16"/>
              </w:rPr>
              <w:t>298</w:t>
            </w:r>
          </w:p>
        </w:tc>
        <w:tc>
          <w:tcPr>
            <w:tcW w:w="56" w:type="pct"/>
            <w:tcBorders>
              <w:top w:val="nil"/>
              <w:left w:val="nil"/>
              <w:bottom w:val="nil"/>
              <w:right w:val="nil"/>
            </w:tcBorders>
            <w:shd w:val="clear" w:color="auto" w:fill="auto"/>
            <w:noWrap/>
            <w:vAlign w:val="bottom"/>
            <w:hideMark/>
          </w:tcPr>
          <w:p w14:paraId="202CB7DE" w14:textId="77777777" w:rsidR="00B73037" w:rsidRPr="00673C1F" w:rsidRDefault="00B73037" w:rsidP="00B73037">
            <w:pPr>
              <w:spacing w:before="0" w:after="0" w:line="240" w:lineRule="auto"/>
              <w:jc w:val="right"/>
              <w:rPr>
                <w:rFonts w:ascii="Arial" w:hAnsi="Arial" w:cs="Arial"/>
                <w:sz w:val="16"/>
                <w:szCs w:val="16"/>
              </w:rPr>
            </w:pPr>
          </w:p>
        </w:tc>
        <w:tc>
          <w:tcPr>
            <w:tcW w:w="578" w:type="pct"/>
            <w:tcBorders>
              <w:top w:val="nil"/>
              <w:left w:val="nil"/>
              <w:bottom w:val="nil"/>
              <w:right w:val="nil"/>
            </w:tcBorders>
            <w:shd w:val="clear" w:color="auto" w:fill="auto"/>
            <w:vAlign w:val="center"/>
            <w:hideMark/>
          </w:tcPr>
          <w:p w14:paraId="6E967D9D" w14:textId="51E37003" w:rsidR="00B73037" w:rsidRPr="00673C1F" w:rsidRDefault="00C1546F" w:rsidP="00B73037">
            <w:pPr>
              <w:spacing w:before="0" w:after="0" w:line="240" w:lineRule="auto"/>
              <w:jc w:val="right"/>
              <w:rPr>
                <w:rFonts w:ascii="Arial" w:hAnsi="Arial" w:cs="Arial"/>
                <w:sz w:val="16"/>
                <w:szCs w:val="16"/>
              </w:rPr>
            </w:pPr>
            <w:r w:rsidRPr="00673C1F">
              <w:rPr>
                <w:rFonts w:ascii="Arial" w:hAnsi="Arial" w:cs="Arial"/>
                <w:sz w:val="16"/>
                <w:szCs w:val="16"/>
              </w:rPr>
              <w:t xml:space="preserve">23,776 </w:t>
            </w:r>
          </w:p>
        </w:tc>
      </w:tr>
      <w:tr w:rsidR="00B73037" w:rsidRPr="00BD68BD" w14:paraId="636E5B6A" w14:textId="77777777" w:rsidTr="00C1546F">
        <w:trPr>
          <w:trHeight w:hRule="exact" w:val="225"/>
        </w:trPr>
        <w:tc>
          <w:tcPr>
            <w:tcW w:w="1924" w:type="pct"/>
            <w:tcBorders>
              <w:top w:val="nil"/>
              <w:left w:val="nil"/>
              <w:bottom w:val="nil"/>
              <w:right w:val="nil"/>
            </w:tcBorders>
            <w:shd w:val="clear" w:color="auto" w:fill="auto"/>
            <w:vAlign w:val="center"/>
            <w:hideMark/>
          </w:tcPr>
          <w:p w14:paraId="105579D8" w14:textId="77777777" w:rsidR="00B73037" w:rsidRPr="00673C1F" w:rsidRDefault="00B73037" w:rsidP="00B73037">
            <w:pPr>
              <w:spacing w:before="0" w:after="0" w:line="240" w:lineRule="auto"/>
              <w:rPr>
                <w:rFonts w:ascii="Arial" w:hAnsi="Arial" w:cs="Arial"/>
                <w:b/>
                <w:sz w:val="16"/>
                <w:szCs w:val="16"/>
              </w:rPr>
            </w:pPr>
            <w:r w:rsidRPr="00673C1F">
              <w:rPr>
                <w:rFonts w:ascii="Arial" w:hAnsi="Arial" w:cs="Arial"/>
                <w:b/>
                <w:sz w:val="16"/>
                <w:szCs w:val="16"/>
              </w:rPr>
              <w:t>Total variations </w:t>
            </w:r>
          </w:p>
        </w:tc>
        <w:tc>
          <w:tcPr>
            <w:tcW w:w="489" w:type="pct"/>
            <w:tcBorders>
              <w:top w:val="single" w:sz="4" w:space="0" w:color="293F5B"/>
              <w:left w:val="nil"/>
              <w:bottom w:val="single" w:sz="4" w:space="0" w:color="293F5B"/>
              <w:right w:val="nil"/>
            </w:tcBorders>
            <w:shd w:val="clear" w:color="auto" w:fill="auto"/>
            <w:vAlign w:val="center"/>
            <w:hideMark/>
          </w:tcPr>
          <w:p w14:paraId="3A30175B" w14:textId="2E451FFD" w:rsidR="00B73037" w:rsidRPr="00673C1F" w:rsidRDefault="00C1546F" w:rsidP="00B73037">
            <w:pPr>
              <w:spacing w:before="0" w:after="0" w:line="240" w:lineRule="auto"/>
              <w:jc w:val="right"/>
              <w:rPr>
                <w:rFonts w:ascii="Arial" w:hAnsi="Arial" w:cs="Arial"/>
                <w:b/>
                <w:sz w:val="16"/>
                <w:szCs w:val="16"/>
              </w:rPr>
            </w:pPr>
            <w:r w:rsidRPr="00673C1F">
              <w:rPr>
                <w:rFonts w:ascii="Arial" w:hAnsi="Arial" w:cs="Arial"/>
                <w:b/>
                <w:sz w:val="16"/>
                <w:szCs w:val="16"/>
              </w:rPr>
              <w:t xml:space="preserve">7,042 </w:t>
            </w:r>
          </w:p>
        </w:tc>
        <w:tc>
          <w:tcPr>
            <w:tcW w:w="489" w:type="pct"/>
            <w:tcBorders>
              <w:top w:val="single" w:sz="4" w:space="0" w:color="293F5B"/>
              <w:left w:val="nil"/>
              <w:bottom w:val="single" w:sz="4" w:space="0" w:color="293F5B"/>
              <w:right w:val="nil"/>
            </w:tcBorders>
            <w:shd w:val="clear" w:color="000000" w:fill="E6F2FF"/>
            <w:vAlign w:val="center"/>
            <w:hideMark/>
          </w:tcPr>
          <w:p w14:paraId="61FCC743" w14:textId="7E39D905" w:rsidR="00B73037" w:rsidRPr="00673C1F" w:rsidRDefault="00C1546F" w:rsidP="00B73037">
            <w:pPr>
              <w:spacing w:before="0" w:after="0" w:line="240" w:lineRule="auto"/>
              <w:jc w:val="right"/>
              <w:rPr>
                <w:rFonts w:ascii="Arial" w:hAnsi="Arial" w:cs="Arial"/>
                <w:b/>
                <w:sz w:val="16"/>
                <w:szCs w:val="16"/>
              </w:rPr>
            </w:pPr>
            <w:r w:rsidRPr="00673C1F">
              <w:rPr>
                <w:rFonts w:ascii="Arial" w:hAnsi="Arial" w:cs="Arial"/>
                <w:b/>
                <w:sz w:val="16"/>
                <w:szCs w:val="16"/>
              </w:rPr>
              <w:t xml:space="preserve">7,725 </w:t>
            </w:r>
          </w:p>
        </w:tc>
        <w:tc>
          <w:tcPr>
            <w:tcW w:w="489" w:type="pct"/>
            <w:tcBorders>
              <w:top w:val="single" w:sz="4" w:space="0" w:color="293F5B"/>
              <w:left w:val="nil"/>
              <w:bottom w:val="single" w:sz="4" w:space="0" w:color="293F5B"/>
              <w:right w:val="nil"/>
            </w:tcBorders>
            <w:shd w:val="clear" w:color="auto" w:fill="auto"/>
            <w:vAlign w:val="center"/>
            <w:hideMark/>
          </w:tcPr>
          <w:p w14:paraId="397540F0" w14:textId="304F5C99" w:rsidR="00B73037" w:rsidRPr="00673C1F" w:rsidRDefault="00C1546F" w:rsidP="00B73037">
            <w:pPr>
              <w:spacing w:before="0" w:after="0" w:line="240" w:lineRule="auto"/>
              <w:jc w:val="right"/>
              <w:rPr>
                <w:rFonts w:ascii="Arial" w:hAnsi="Arial" w:cs="Arial"/>
                <w:b/>
                <w:sz w:val="16"/>
                <w:szCs w:val="16"/>
              </w:rPr>
            </w:pPr>
            <w:r w:rsidRPr="00673C1F">
              <w:rPr>
                <w:rFonts w:ascii="Arial" w:hAnsi="Arial" w:cs="Arial"/>
                <w:b/>
                <w:sz w:val="16"/>
                <w:szCs w:val="16"/>
              </w:rPr>
              <w:t xml:space="preserve">8,015 </w:t>
            </w:r>
          </w:p>
        </w:tc>
        <w:tc>
          <w:tcPr>
            <w:tcW w:w="489" w:type="pct"/>
            <w:tcBorders>
              <w:top w:val="single" w:sz="4" w:space="0" w:color="293F5B"/>
              <w:left w:val="nil"/>
              <w:bottom w:val="single" w:sz="4" w:space="0" w:color="293F5B"/>
              <w:right w:val="nil"/>
            </w:tcBorders>
            <w:shd w:val="clear" w:color="auto" w:fill="auto"/>
            <w:vAlign w:val="center"/>
            <w:hideMark/>
          </w:tcPr>
          <w:p w14:paraId="62490ABB" w14:textId="6DB6C0DD" w:rsidR="00B73037" w:rsidRPr="00673C1F" w:rsidRDefault="00C1546F" w:rsidP="00B73037">
            <w:pPr>
              <w:spacing w:before="0" w:after="0" w:line="240" w:lineRule="auto"/>
              <w:jc w:val="right"/>
              <w:rPr>
                <w:rFonts w:ascii="Arial" w:hAnsi="Arial" w:cs="Arial"/>
                <w:b/>
                <w:sz w:val="16"/>
                <w:szCs w:val="16"/>
              </w:rPr>
            </w:pPr>
            <w:r w:rsidRPr="00673C1F">
              <w:rPr>
                <w:rFonts w:ascii="Arial" w:hAnsi="Arial" w:cs="Arial"/>
                <w:b/>
                <w:sz w:val="16"/>
                <w:szCs w:val="16"/>
              </w:rPr>
              <w:t xml:space="preserve">4,633 </w:t>
            </w:r>
          </w:p>
        </w:tc>
        <w:tc>
          <w:tcPr>
            <w:tcW w:w="489" w:type="pct"/>
            <w:tcBorders>
              <w:top w:val="single" w:sz="4" w:space="0" w:color="293F5B"/>
              <w:left w:val="nil"/>
              <w:bottom w:val="single" w:sz="4" w:space="0" w:color="293F5B"/>
              <w:right w:val="nil"/>
            </w:tcBorders>
            <w:shd w:val="clear" w:color="auto" w:fill="auto"/>
            <w:vAlign w:val="center"/>
            <w:hideMark/>
          </w:tcPr>
          <w:p w14:paraId="272D9614" w14:textId="21F90586" w:rsidR="00B73037" w:rsidRPr="00673C1F" w:rsidRDefault="00C1546F" w:rsidP="00B73037">
            <w:pPr>
              <w:spacing w:before="0" w:after="0" w:line="240" w:lineRule="auto"/>
              <w:jc w:val="right"/>
              <w:rPr>
                <w:rFonts w:ascii="Arial" w:hAnsi="Arial" w:cs="Arial"/>
                <w:b/>
                <w:sz w:val="16"/>
                <w:szCs w:val="16"/>
              </w:rPr>
            </w:pPr>
            <w:r w:rsidRPr="00673C1F">
              <w:rPr>
                <w:rFonts w:ascii="Arial" w:hAnsi="Arial" w:cs="Arial"/>
                <w:b/>
                <w:sz w:val="16"/>
                <w:szCs w:val="16"/>
              </w:rPr>
              <w:t xml:space="preserve">4,427 </w:t>
            </w:r>
          </w:p>
        </w:tc>
        <w:tc>
          <w:tcPr>
            <w:tcW w:w="56" w:type="pct"/>
            <w:tcBorders>
              <w:top w:val="nil"/>
              <w:left w:val="nil"/>
              <w:bottom w:val="nil"/>
              <w:right w:val="nil"/>
            </w:tcBorders>
            <w:shd w:val="clear" w:color="auto" w:fill="auto"/>
            <w:noWrap/>
            <w:vAlign w:val="bottom"/>
            <w:hideMark/>
          </w:tcPr>
          <w:p w14:paraId="1AE3578F" w14:textId="77777777" w:rsidR="00B73037" w:rsidRPr="00673C1F" w:rsidRDefault="00B73037" w:rsidP="00B73037">
            <w:pPr>
              <w:spacing w:before="0" w:after="0" w:line="240" w:lineRule="auto"/>
              <w:jc w:val="right"/>
              <w:rPr>
                <w:rFonts w:ascii="Arial" w:hAnsi="Arial" w:cs="Arial"/>
                <w:b/>
                <w:sz w:val="16"/>
                <w:szCs w:val="16"/>
              </w:rPr>
            </w:pPr>
          </w:p>
        </w:tc>
        <w:tc>
          <w:tcPr>
            <w:tcW w:w="578" w:type="pct"/>
            <w:tcBorders>
              <w:top w:val="single" w:sz="4" w:space="0" w:color="293F5B"/>
              <w:left w:val="nil"/>
              <w:bottom w:val="single" w:sz="4" w:space="0" w:color="293F5B"/>
              <w:right w:val="nil"/>
            </w:tcBorders>
            <w:shd w:val="clear" w:color="auto" w:fill="auto"/>
            <w:vAlign w:val="center"/>
            <w:hideMark/>
          </w:tcPr>
          <w:p w14:paraId="1EA2B7B5" w14:textId="16512924" w:rsidR="00B73037" w:rsidRPr="00673C1F" w:rsidRDefault="00C1546F" w:rsidP="00B73037">
            <w:pPr>
              <w:spacing w:before="0" w:after="0" w:line="240" w:lineRule="auto"/>
              <w:jc w:val="right"/>
              <w:rPr>
                <w:rFonts w:ascii="Arial" w:hAnsi="Arial" w:cs="Arial"/>
                <w:b/>
                <w:sz w:val="16"/>
                <w:szCs w:val="16"/>
              </w:rPr>
            </w:pPr>
            <w:r w:rsidRPr="00673C1F">
              <w:rPr>
                <w:rFonts w:ascii="Arial" w:hAnsi="Arial" w:cs="Arial"/>
                <w:b/>
                <w:sz w:val="16"/>
                <w:szCs w:val="16"/>
              </w:rPr>
              <w:t xml:space="preserve">31,840 </w:t>
            </w:r>
          </w:p>
        </w:tc>
      </w:tr>
      <w:tr w:rsidR="00B73037" w:rsidRPr="00BD68BD" w14:paraId="12F3FA87" w14:textId="77777777" w:rsidTr="00C1546F">
        <w:trPr>
          <w:trHeight w:hRule="exact" w:val="60"/>
        </w:trPr>
        <w:tc>
          <w:tcPr>
            <w:tcW w:w="1924" w:type="pct"/>
            <w:tcBorders>
              <w:top w:val="nil"/>
              <w:left w:val="nil"/>
              <w:bottom w:val="nil"/>
              <w:right w:val="nil"/>
            </w:tcBorders>
            <w:shd w:val="clear" w:color="auto" w:fill="auto"/>
            <w:vAlign w:val="center"/>
            <w:hideMark/>
          </w:tcPr>
          <w:p w14:paraId="1BB5E859" w14:textId="77777777" w:rsidR="00B73037" w:rsidRPr="00673C1F" w:rsidRDefault="00B73037" w:rsidP="00B73037">
            <w:pPr>
              <w:spacing w:before="0" w:after="0" w:line="240" w:lineRule="auto"/>
              <w:jc w:val="right"/>
              <w:rPr>
                <w:rFonts w:ascii="Arial" w:hAnsi="Arial" w:cs="Arial"/>
                <w:b/>
                <w:sz w:val="16"/>
                <w:szCs w:val="16"/>
              </w:rPr>
            </w:pPr>
          </w:p>
        </w:tc>
        <w:tc>
          <w:tcPr>
            <w:tcW w:w="489" w:type="pct"/>
            <w:tcBorders>
              <w:top w:val="nil"/>
              <w:left w:val="nil"/>
              <w:bottom w:val="nil"/>
              <w:right w:val="nil"/>
            </w:tcBorders>
            <w:shd w:val="clear" w:color="auto" w:fill="auto"/>
            <w:noWrap/>
            <w:vAlign w:val="bottom"/>
            <w:hideMark/>
          </w:tcPr>
          <w:p w14:paraId="2C9F54F5" w14:textId="77777777" w:rsidR="00B73037" w:rsidRPr="00673C1F" w:rsidRDefault="00B73037" w:rsidP="00B73037">
            <w:pPr>
              <w:spacing w:before="0" w:after="0" w:line="240" w:lineRule="auto"/>
              <w:rPr>
                <w:rFonts w:ascii="Times New Roman" w:hAnsi="Times New Roman"/>
                <w:sz w:val="20"/>
              </w:rPr>
            </w:pPr>
          </w:p>
        </w:tc>
        <w:tc>
          <w:tcPr>
            <w:tcW w:w="489" w:type="pct"/>
            <w:tcBorders>
              <w:top w:val="nil"/>
              <w:left w:val="nil"/>
              <w:bottom w:val="nil"/>
              <w:right w:val="nil"/>
            </w:tcBorders>
            <w:shd w:val="clear" w:color="000000" w:fill="E6F2FF"/>
            <w:noWrap/>
            <w:vAlign w:val="bottom"/>
            <w:hideMark/>
          </w:tcPr>
          <w:p w14:paraId="778AFE70"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c>
          <w:tcPr>
            <w:tcW w:w="489" w:type="pct"/>
            <w:tcBorders>
              <w:top w:val="nil"/>
              <w:left w:val="nil"/>
              <w:bottom w:val="nil"/>
              <w:right w:val="nil"/>
            </w:tcBorders>
            <w:shd w:val="clear" w:color="auto" w:fill="auto"/>
            <w:noWrap/>
            <w:vAlign w:val="bottom"/>
            <w:hideMark/>
          </w:tcPr>
          <w:p w14:paraId="2A4FFAD0" w14:textId="77777777" w:rsidR="00B73037" w:rsidRPr="00673C1F" w:rsidRDefault="00B73037" w:rsidP="00B73037">
            <w:pPr>
              <w:spacing w:before="0" w:after="0" w:line="240" w:lineRule="auto"/>
              <w:rPr>
                <w:rFonts w:ascii="Arial" w:hAnsi="Arial" w:cs="Arial"/>
                <w:sz w:val="16"/>
                <w:szCs w:val="16"/>
              </w:rPr>
            </w:pPr>
          </w:p>
        </w:tc>
        <w:tc>
          <w:tcPr>
            <w:tcW w:w="489" w:type="pct"/>
            <w:tcBorders>
              <w:top w:val="nil"/>
              <w:left w:val="nil"/>
              <w:bottom w:val="nil"/>
              <w:right w:val="nil"/>
            </w:tcBorders>
            <w:shd w:val="clear" w:color="auto" w:fill="auto"/>
            <w:noWrap/>
            <w:vAlign w:val="bottom"/>
            <w:hideMark/>
          </w:tcPr>
          <w:p w14:paraId="5955B53C" w14:textId="77777777" w:rsidR="00B73037" w:rsidRPr="00673C1F" w:rsidRDefault="00B73037" w:rsidP="00B73037">
            <w:pPr>
              <w:spacing w:before="0" w:after="0" w:line="240" w:lineRule="auto"/>
              <w:rPr>
                <w:rFonts w:ascii="Times New Roman" w:hAnsi="Times New Roman"/>
                <w:sz w:val="20"/>
              </w:rPr>
            </w:pPr>
          </w:p>
        </w:tc>
        <w:tc>
          <w:tcPr>
            <w:tcW w:w="489" w:type="pct"/>
            <w:tcBorders>
              <w:top w:val="nil"/>
              <w:left w:val="nil"/>
              <w:bottom w:val="nil"/>
              <w:right w:val="nil"/>
            </w:tcBorders>
            <w:shd w:val="clear" w:color="auto" w:fill="auto"/>
            <w:noWrap/>
            <w:vAlign w:val="bottom"/>
            <w:hideMark/>
          </w:tcPr>
          <w:p w14:paraId="48169710" w14:textId="77777777" w:rsidR="00B73037" w:rsidRPr="00673C1F" w:rsidRDefault="00B73037" w:rsidP="00B73037">
            <w:pPr>
              <w:spacing w:before="0" w:after="0" w:line="240" w:lineRule="auto"/>
              <w:rPr>
                <w:rFonts w:ascii="Times New Roman" w:hAnsi="Times New Roman"/>
                <w:sz w:val="20"/>
              </w:rPr>
            </w:pPr>
          </w:p>
        </w:tc>
        <w:tc>
          <w:tcPr>
            <w:tcW w:w="56" w:type="pct"/>
            <w:tcBorders>
              <w:top w:val="nil"/>
              <w:left w:val="nil"/>
              <w:bottom w:val="nil"/>
              <w:right w:val="nil"/>
            </w:tcBorders>
            <w:shd w:val="clear" w:color="auto" w:fill="auto"/>
            <w:noWrap/>
            <w:vAlign w:val="bottom"/>
            <w:hideMark/>
          </w:tcPr>
          <w:p w14:paraId="25AE199B" w14:textId="77777777" w:rsidR="00B73037" w:rsidRPr="00673C1F" w:rsidRDefault="00B73037" w:rsidP="00B73037">
            <w:pPr>
              <w:spacing w:before="0" w:after="0" w:line="240" w:lineRule="auto"/>
              <w:rPr>
                <w:rFonts w:ascii="Times New Roman" w:hAnsi="Times New Roman"/>
                <w:sz w:val="20"/>
              </w:rPr>
            </w:pPr>
          </w:p>
        </w:tc>
        <w:tc>
          <w:tcPr>
            <w:tcW w:w="578" w:type="pct"/>
            <w:tcBorders>
              <w:top w:val="nil"/>
              <w:left w:val="nil"/>
              <w:bottom w:val="nil"/>
              <w:right w:val="nil"/>
            </w:tcBorders>
            <w:shd w:val="clear" w:color="auto" w:fill="auto"/>
            <w:noWrap/>
            <w:vAlign w:val="bottom"/>
            <w:hideMark/>
          </w:tcPr>
          <w:p w14:paraId="23190C27" w14:textId="77777777" w:rsidR="00B73037" w:rsidRPr="00673C1F" w:rsidRDefault="00B73037" w:rsidP="00B73037">
            <w:pPr>
              <w:spacing w:before="0" w:after="0" w:line="240" w:lineRule="auto"/>
              <w:rPr>
                <w:rFonts w:ascii="Times New Roman" w:hAnsi="Times New Roman"/>
                <w:sz w:val="20"/>
              </w:rPr>
            </w:pPr>
          </w:p>
        </w:tc>
      </w:tr>
      <w:tr w:rsidR="00B73037" w:rsidRPr="00BD68BD" w14:paraId="192D2E4D" w14:textId="77777777" w:rsidTr="00C1546F">
        <w:trPr>
          <w:trHeight w:hRule="exact" w:val="225"/>
        </w:trPr>
        <w:tc>
          <w:tcPr>
            <w:tcW w:w="1924" w:type="pct"/>
            <w:tcBorders>
              <w:top w:val="nil"/>
              <w:left w:val="nil"/>
              <w:bottom w:val="single" w:sz="4" w:space="0" w:color="293F5B"/>
              <w:right w:val="nil"/>
            </w:tcBorders>
            <w:shd w:val="clear" w:color="auto" w:fill="auto"/>
            <w:vAlign w:val="center"/>
            <w:hideMark/>
          </w:tcPr>
          <w:p w14:paraId="34DED606" w14:textId="5DD0692D" w:rsidR="00B73037" w:rsidRPr="00673C1F" w:rsidRDefault="00B73037" w:rsidP="00B73037">
            <w:pPr>
              <w:spacing w:before="0" w:after="0" w:line="240" w:lineRule="auto"/>
              <w:rPr>
                <w:rFonts w:ascii="Arial" w:hAnsi="Arial" w:cs="Arial"/>
                <w:b/>
                <w:sz w:val="16"/>
                <w:szCs w:val="16"/>
              </w:rPr>
            </w:pPr>
            <w:r w:rsidRPr="00673C1F">
              <w:rPr>
                <w:rFonts w:ascii="Arial" w:hAnsi="Arial" w:cs="Arial"/>
                <w:b/>
                <w:sz w:val="16"/>
                <w:szCs w:val="16"/>
              </w:rPr>
              <w:t>Receipts at 2024</w:t>
            </w:r>
            <w:r w:rsidR="006D727E" w:rsidRPr="00673C1F">
              <w:rPr>
                <w:rFonts w:ascii="Arial" w:hAnsi="Arial" w:cs="Arial"/>
                <w:b/>
                <w:sz w:val="16"/>
                <w:szCs w:val="16"/>
              </w:rPr>
              <w:noBreakHyphen/>
            </w:r>
            <w:r w:rsidRPr="00673C1F">
              <w:rPr>
                <w:rFonts w:ascii="Arial" w:hAnsi="Arial" w:cs="Arial"/>
                <w:b/>
                <w:sz w:val="16"/>
                <w:szCs w:val="16"/>
              </w:rPr>
              <w:t>25 Budget</w:t>
            </w:r>
          </w:p>
        </w:tc>
        <w:tc>
          <w:tcPr>
            <w:tcW w:w="489" w:type="pct"/>
            <w:tcBorders>
              <w:top w:val="nil"/>
              <w:left w:val="nil"/>
              <w:bottom w:val="single" w:sz="4" w:space="0" w:color="293F5B"/>
              <w:right w:val="nil"/>
            </w:tcBorders>
            <w:shd w:val="clear" w:color="auto" w:fill="auto"/>
            <w:vAlign w:val="center"/>
            <w:hideMark/>
          </w:tcPr>
          <w:p w14:paraId="63C57ADF" w14:textId="2C287562" w:rsidR="00B73037" w:rsidRPr="00673C1F" w:rsidRDefault="00C1546F" w:rsidP="00B73037">
            <w:pPr>
              <w:spacing w:before="0" w:after="0" w:line="240" w:lineRule="auto"/>
              <w:jc w:val="right"/>
              <w:rPr>
                <w:rFonts w:ascii="Arial" w:hAnsi="Arial" w:cs="Arial"/>
                <w:b/>
                <w:sz w:val="16"/>
                <w:szCs w:val="16"/>
              </w:rPr>
            </w:pPr>
            <w:r w:rsidRPr="00673C1F">
              <w:rPr>
                <w:rFonts w:ascii="Arial" w:hAnsi="Arial" w:cs="Arial"/>
                <w:b/>
                <w:sz w:val="16"/>
                <w:szCs w:val="16"/>
              </w:rPr>
              <w:t xml:space="preserve">692,307 </w:t>
            </w:r>
          </w:p>
        </w:tc>
        <w:tc>
          <w:tcPr>
            <w:tcW w:w="489" w:type="pct"/>
            <w:tcBorders>
              <w:top w:val="nil"/>
              <w:left w:val="nil"/>
              <w:bottom w:val="single" w:sz="4" w:space="0" w:color="293F5B"/>
              <w:right w:val="nil"/>
            </w:tcBorders>
            <w:shd w:val="clear" w:color="000000" w:fill="E6F2FF"/>
            <w:vAlign w:val="center"/>
            <w:hideMark/>
          </w:tcPr>
          <w:p w14:paraId="2A079CEC" w14:textId="5DF2D5BB" w:rsidR="00B73037" w:rsidRPr="00673C1F" w:rsidRDefault="00C1546F" w:rsidP="00B73037">
            <w:pPr>
              <w:spacing w:before="0" w:after="0" w:line="240" w:lineRule="auto"/>
              <w:jc w:val="right"/>
              <w:rPr>
                <w:rFonts w:ascii="Arial" w:hAnsi="Arial" w:cs="Arial"/>
                <w:b/>
                <w:sz w:val="16"/>
                <w:szCs w:val="16"/>
              </w:rPr>
            </w:pPr>
            <w:r w:rsidRPr="00673C1F">
              <w:rPr>
                <w:rFonts w:ascii="Arial" w:hAnsi="Arial" w:cs="Arial"/>
                <w:b/>
                <w:sz w:val="16"/>
                <w:szCs w:val="16"/>
              </w:rPr>
              <w:t xml:space="preserve">698,446 </w:t>
            </w:r>
          </w:p>
        </w:tc>
        <w:tc>
          <w:tcPr>
            <w:tcW w:w="489" w:type="pct"/>
            <w:tcBorders>
              <w:top w:val="nil"/>
              <w:left w:val="nil"/>
              <w:bottom w:val="single" w:sz="4" w:space="0" w:color="293F5B"/>
              <w:right w:val="nil"/>
            </w:tcBorders>
            <w:shd w:val="clear" w:color="auto" w:fill="auto"/>
            <w:vAlign w:val="center"/>
            <w:hideMark/>
          </w:tcPr>
          <w:p w14:paraId="011BD065" w14:textId="0482AA01" w:rsidR="00B73037" w:rsidRPr="00673C1F" w:rsidRDefault="00C1546F" w:rsidP="00B73037">
            <w:pPr>
              <w:spacing w:before="0" w:after="0" w:line="240" w:lineRule="auto"/>
              <w:jc w:val="right"/>
              <w:rPr>
                <w:rFonts w:ascii="Arial" w:hAnsi="Arial" w:cs="Arial"/>
                <w:b/>
                <w:sz w:val="16"/>
                <w:szCs w:val="16"/>
              </w:rPr>
            </w:pPr>
            <w:r w:rsidRPr="00673C1F">
              <w:rPr>
                <w:rFonts w:ascii="Arial" w:hAnsi="Arial" w:cs="Arial"/>
                <w:b/>
                <w:sz w:val="16"/>
                <w:szCs w:val="16"/>
              </w:rPr>
              <w:t xml:space="preserve">719,353 </w:t>
            </w:r>
          </w:p>
        </w:tc>
        <w:tc>
          <w:tcPr>
            <w:tcW w:w="489" w:type="pct"/>
            <w:tcBorders>
              <w:top w:val="nil"/>
              <w:left w:val="nil"/>
              <w:bottom w:val="single" w:sz="4" w:space="0" w:color="293F5B"/>
              <w:right w:val="nil"/>
            </w:tcBorders>
            <w:shd w:val="clear" w:color="auto" w:fill="auto"/>
            <w:vAlign w:val="center"/>
            <w:hideMark/>
          </w:tcPr>
          <w:p w14:paraId="2316712F" w14:textId="2FE2305F" w:rsidR="00B73037" w:rsidRPr="00673C1F" w:rsidRDefault="00C1546F" w:rsidP="00B73037">
            <w:pPr>
              <w:spacing w:before="0" w:after="0" w:line="240" w:lineRule="auto"/>
              <w:jc w:val="right"/>
              <w:rPr>
                <w:rFonts w:ascii="Arial" w:hAnsi="Arial" w:cs="Arial"/>
                <w:b/>
                <w:sz w:val="16"/>
                <w:szCs w:val="16"/>
              </w:rPr>
            </w:pPr>
            <w:r w:rsidRPr="00673C1F">
              <w:rPr>
                <w:rFonts w:ascii="Arial" w:hAnsi="Arial" w:cs="Arial"/>
                <w:b/>
                <w:sz w:val="16"/>
                <w:szCs w:val="16"/>
              </w:rPr>
              <w:t xml:space="preserve">760,010 </w:t>
            </w:r>
          </w:p>
        </w:tc>
        <w:tc>
          <w:tcPr>
            <w:tcW w:w="489" w:type="pct"/>
            <w:tcBorders>
              <w:top w:val="nil"/>
              <w:left w:val="nil"/>
              <w:bottom w:val="single" w:sz="4" w:space="0" w:color="293F5B"/>
              <w:right w:val="nil"/>
            </w:tcBorders>
            <w:shd w:val="clear" w:color="auto" w:fill="auto"/>
            <w:vAlign w:val="center"/>
            <w:hideMark/>
          </w:tcPr>
          <w:p w14:paraId="2F00DE49" w14:textId="5F459BFA" w:rsidR="00B73037" w:rsidRPr="00673C1F" w:rsidRDefault="00C1546F" w:rsidP="00B73037">
            <w:pPr>
              <w:spacing w:before="0" w:after="0" w:line="240" w:lineRule="auto"/>
              <w:jc w:val="right"/>
              <w:rPr>
                <w:rFonts w:ascii="Arial" w:hAnsi="Arial" w:cs="Arial"/>
                <w:b/>
                <w:sz w:val="16"/>
                <w:szCs w:val="16"/>
              </w:rPr>
            </w:pPr>
            <w:r w:rsidRPr="00673C1F">
              <w:rPr>
                <w:rFonts w:ascii="Arial" w:hAnsi="Arial" w:cs="Arial"/>
                <w:b/>
                <w:sz w:val="16"/>
                <w:szCs w:val="16"/>
              </w:rPr>
              <w:t xml:space="preserve">801,811 </w:t>
            </w:r>
          </w:p>
        </w:tc>
        <w:tc>
          <w:tcPr>
            <w:tcW w:w="56" w:type="pct"/>
            <w:tcBorders>
              <w:top w:val="nil"/>
              <w:left w:val="nil"/>
              <w:bottom w:val="single" w:sz="4" w:space="0" w:color="293F5B"/>
              <w:right w:val="nil"/>
            </w:tcBorders>
            <w:shd w:val="clear" w:color="auto" w:fill="auto"/>
            <w:noWrap/>
            <w:vAlign w:val="bottom"/>
            <w:hideMark/>
          </w:tcPr>
          <w:p w14:paraId="4F5C5D10"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c>
          <w:tcPr>
            <w:tcW w:w="578" w:type="pct"/>
            <w:tcBorders>
              <w:top w:val="nil"/>
              <w:left w:val="nil"/>
              <w:bottom w:val="single" w:sz="4" w:space="0" w:color="293F5B"/>
              <w:right w:val="nil"/>
            </w:tcBorders>
            <w:shd w:val="clear" w:color="auto" w:fill="auto"/>
            <w:vAlign w:val="center"/>
            <w:hideMark/>
          </w:tcPr>
          <w:p w14:paraId="256B1C66" w14:textId="4E371BF7" w:rsidR="00B73037" w:rsidRPr="00673C1F" w:rsidRDefault="00C1546F" w:rsidP="00B73037">
            <w:pPr>
              <w:spacing w:before="0" w:after="0" w:line="240" w:lineRule="auto"/>
              <w:jc w:val="right"/>
              <w:rPr>
                <w:rFonts w:ascii="Arial" w:hAnsi="Arial" w:cs="Arial"/>
                <w:b/>
                <w:sz w:val="16"/>
                <w:szCs w:val="16"/>
              </w:rPr>
            </w:pPr>
            <w:r w:rsidRPr="00673C1F">
              <w:rPr>
                <w:rFonts w:ascii="Arial" w:hAnsi="Arial" w:cs="Arial"/>
                <w:b/>
                <w:sz w:val="16"/>
                <w:szCs w:val="16"/>
              </w:rPr>
              <w:t xml:space="preserve">3,671,927 </w:t>
            </w:r>
          </w:p>
        </w:tc>
      </w:tr>
    </w:tbl>
    <w:p w14:paraId="6F0D8051" w14:textId="7DC337EF" w:rsidR="00356E70" w:rsidRPr="00673C1F" w:rsidRDefault="00356E70" w:rsidP="00A53B64">
      <w:pPr>
        <w:pStyle w:val="ChartandTableFootnote"/>
        <w:rPr>
          <w:color w:val="auto"/>
        </w:rPr>
      </w:pPr>
      <w:r w:rsidRPr="00673C1F">
        <w:rPr>
          <w:color w:val="auto"/>
        </w:rPr>
        <w:t>* Data is not available.</w:t>
      </w:r>
    </w:p>
    <w:p w14:paraId="740086B4" w14:textId="54361DE5" w:rsidR="00356E70" w:rsidRPr="00673C1F" w:rsidRDefault="00356E70" w:rsidP="007F5D46">
      <w:pPr>
        <w:pStyle w:val="TableLine"/>
      </w:pPr>
    </w:p>
    <w:p w14:paraId="78F1913C" w14:textId="4FBF3439" w:rsidR="00356E70" w:rsidRPr="00673C1F" w:rsidRDefault="00356E70" w:rsidP="00967AF6">
      <w:r w:rsidRPr="00673C1F">
        <w:t xml:space="preserve">Since </w:t>
      </w:r>
      <w:r w:rsidR="00384EBD" w:rsidRPr="00673C1F">
        <w:t>MYEFO</w:t>
      </w:r>
      <w:r w:rsidRPr="00673C1F">
        <w:t>, parameter and other variations have increased total receipts by $</w:t>
      </w:r>
      <w:r w:rsidR="001B0231" w:rsidRPr="00673C1F">
        <w:t>5.5</w:t>
      </w:r>
      <w:r w:rsidR="00967AF6" w:rsidRPr="00673C1F">
        <w:t> </w:t>
      </w:r>
      <w:r w:rsidRPr="00673C1F">
        <w:t>billion in 202</w:t>
      </w:r>
      <w:r w:rsidR="008242AC" w:rsidRPr="00673C1F">
        <w:t>4</w:t>
      </w:r>
      <w:r w:rsidRPr="00673C1F">
        <w:t>–2</w:t>
      </w:r>
      <w:r w:rsidR="008242AC" w:rsidRPr="00673C1F">
        <w:t>5</w:t>
      </w:r>
      <w:r w:rsidRPr="00673C1F">
        <w:t xml:space="preserve"> and $</w:t>
      </w:r>
      <w:r w:rsidR="001B0231" w:rsidRPr="00673C1F">
        <w:t>23.8</w:t>
      </w:r>
      <w:r w:rsidR="00A53B64" w:rsidRPr="00673C1F">
        <w:t> </w:t>
      </w:r>
      <w:r w:rsidRPr="00673C1F">
        <w:t xml:space="preserve">billion over the </w:t>
      </w:r>
      <w:r w:rsidR="007A22C6" w:rsidRPr="00673C1F">
        <w:t>five years</w:t>
      </w:r>
      <w:r w:rsidR="00C97D26" w:rsidRPr="00673C1F">
        <w:t xml:space="preserve"> from 2023–24 to 2027–28</w:t>
      </w:r>
      <w:r w:rsidRPr="00673C1F">
        <w:t>. Policy decisions increase total receipts by $</w:t>
      </w:r>
      <w:r w:rsidR="000747A8" w:rsidRPr="00673C1F">
        <w:t>2.2</w:t>
      </w:r>
      <w:r w:rsidR="00A53B64" w:rsidRPr="00673C1F">
        <w:t> </w:t>
      </w:r>
      <w:r w:rsidRPr="00673C1F">
        <w:t>billion in 202</w:t>
      </w:r>
      <w:r w:rsidR="008242AC" w:rsidRPr="00673C1F">
        <w:t>4</w:t>
      </w:r>
      <w:r w:rsidRPr="00673C1F">
        <w:t>–2</w:t>
      </w:r>
      <w:r w:rsidR="008242AC" w:rsidRPr="00673C1F">
        <w:t>5</w:t>
      </w:r>
      <w:r w:rsidRPr="00673C1F">
        <w:t xml:space="preserve"> and $</w:t>
      </w:r>
      <w:r w:rsidR="00E57EA5" w:rsidRPr="00673C1F">
        <w:t>8.1</w:t>
      </w:r>
      <w:r w:rsidR="00967AF6" w:rsidRPr="00673C1F">
        <w:t> </w:t>
      </w:r>
      <w:r w:rsidRPr="00673C1F">
        <w:t xml:space="preserve">billion over the </w:t>
      </w:r>
      <w:r w:rsidR="007A22C6" w:rsidRPr="00673C1F">
        <w:t>five years</w:t>
      </w:r>
      <w:r w:rsidR="00C97D26" w:rsidRPr="00673C1F">
        <w:t xml:space="preserve"> from 2023–24 to 2027–28</w:t>
      </w:r>
      <w:r w:rsidRPr="00673C1F">
        <w:t xml:space="preserve"> compared with </w:t>
      </w:r>
      <w:r w:rsidR="00384EBD" w:rsidRPr="00673C1F">
        <w:t>MYEFO</w:t>
      </w:r>
      <w:r w:rsidRPr="00673C1F">
        <w:t>.</w:t>
      </w:r>
      <w:r w:rsidR="00FB2A91" w:rsidRPr="00673C1F">
        <w:t xml:space="preserve"> </w:t>
      </w:r>
      <w:r w:rsidRPr="00673C1F">
        <w:t xml:space="preserve">The upgrade to </w:t>
      </w:r>
      <w:r w:rsidRPr="00673C1F">
        <w:rPr>
          <w:spacing w:val="-2"/>
        </w:rPr>
        <w:t>the forecasts of total receipts overwhelmingly reflects upgrades to the forecasts of tax receipts.</w:t>
      </w:r>
      <w:bookmarkStart w:id="14" w:name="_Toc99201821"/>
      <w:bookmarkStart w:id="15" w:name="_Toc117324548"/>
      <w:bookmarkStart w:id="16" w:name="_Toc134182348"/>
    </w:p>
    <w:p w14:paraId="665DA9CC" w14:textId="77777777" w:rsidR="00356E70" w:rsidRPr="00673C1F" w:rsidRDefault="00356E70" w:rsidP="00755B05">
      <w:pPr>
        <w:pStyle w:val="Heading3"/>
      </w:pPr>
      <w:r w:rsidRPr="00673C1F">
        <w:t>Tax receipts estimates</w:t>
      </w:r>
      <w:bookmarkEnd w:id="13"/>
      <w:bookmarkEnd w:id="14"/>
      <w:bookmarkEnd w:id="15"/>
      <w:bookmarkEnd w:id="16"/>
    </w:p>
    <w:p w14:paraId="3247F2D1" w14:textId="1D7FB649" w:rsidR="00356E70" w:rsidRPr="00673C1F" w:rsidRDefault="00356E70" w:rsidP="00967AF6">
      <w:r w:rsidRPr="00673C1F">
        <w:t>Relative to</w:t>
      </w:r>
      <w:r w:rsidR="0075086B" w:rsidRPr="00673C1F">
        <w:t xml:space="preserve"> </w:t>
      </w:r>
      <w:r w:rsidR="00384EBD" w:rsidRPr="00673C1F">
        <w:t>MYEFO</w:t>
      </w:r>
      <w:r w:rsidRPr="00673C1F">
        <w:t>, forecasts of tax receipts have been revised up by $</w:t>
      </w:r>
      <w:r w:rsidR="00DB4C4F" w:rsidRPr="00673C1F">
        <w:t>9</w:t>
      </w:r>
      <w:r w:rsidR="00D129C3" w:rsidRPr="00673C1F">
        <w:t>.</w:t>
      </w:r>
      <w:r w:rsidR="00DB4C4F" w:rsidRPr="00673C1F">
        <w:t>0</w:t>
      </w:r>
      <w:r w:rsidRPr="00673C1F">
        <w:t> billion in 202</w:t>
      </w:r>
      <w:r w:rsidR="00D57380" w:rsidRPr="00673C1F">
        <w:t>4</w:t>
      </w:r>
      <w:r w:rsidRPr="00673C1F">
        <w:t>–2</w:t>
      </w:r>
      <w:r w:rsidR="00D57380" w:rsidRPr="00673C1F">
        <w:t>5</w:t>
      </w:r>
      <w:r w:rsidRPr="00673C1F">
        <w:t xml:space="preserve"> and by $</w:t>
      </w:r>
      <w:r w:rsidR="00E4545E" w:rsidRPr="00673C1F">
        <w:t>26</w:t>
      </w:r>
      <w:r w:rsidR="00D129C3" w:rsidRPr="00673C1F">
        <w:t>.</w:t>
      </w:r>
      <w:r w:rsidR="00E763A9" w:rsidRPr="00673C1F">
        <w:t>0</w:t>
      </w:r>
      <w:r w:rsidR="00ED2A1F" w:rsidRPr="00673C1F">
        <w:t> </w:t>
      </w:r>
      <w:r w:rsidRPr="00673C1F">
        <w:t xml:space="preserve">billion over the </w:t>
      </w:r>
      <w:r w:rsidR="007A22C6" w:rsidRPr="00673C1F">
        <w:t>five years</w:t>
      </w:r>
      <w:r w:rsidR="00C97D26" w:rsidRPr="00673C1F">
        <w:t xml:space="preserve"> from 2023–24 to 2027–28</w:t>
      </w:r>
      <w:r w:rsidRPr="00673C1F">
        <w:t xml:space="preserve">. </w:t>
      </w:r>
    </w:p>
    <w:p w14:paraId="0D3B117F" w14:textId="01680DBA" w:rsidR="00356E70" w:rsidRPr="00673C1F" w:rsidRDefault="00356E70" w:rsidP="00BE2C43">
      <w:r w:rsidRPr="00673C1F">
        <w:t>Table</w:t>
      </w:r>
      <w:r w:rsidR="007D0851" w:rsidRPr="00673C1F">
        <w:t> </w:t>
      </w:r>
      <w:r w:rsidRPr="00673C1F">
        <w:t xml:space="preserve">5.3 reconciles </w:t>
      </w:r>
      <w:r w:rsidR="00895361" w:rsidRPr="00673C1F">
        <w:t>the 2024–25 Budget</w:t>
      </w:r>
      <w:r w:rsidRPr="00673C1F">
        <w:t xml:space="preserve"> estimates of tax receipts with</w:t>
      </w:r>
      <w:r w:rsidR="00090D8C" w:rsidRPr="00673C1F">
        <w:t xml:space="preserve"> the 2023–24 Budget and</w:t>
      </w:r>
      <w:r w:rsidR="00384EBD" w:rsidRPr="00673C1F">
        <w:t xml:space="preserve"> MYEFO</w:t>
      </w:r>
      <w:r w:rsidRPr="00673C1F">
        <w:t xml:space="preserve">. </w:t>
      </w:r>
      <w:bookmarkStart w:id="17" w:name="_Toc481069565"/>
      <w:bookmarkStart w:id="18" w:name="_Toc512337933"/>
    </w:p>
    <w:p w14:paraId="202C0C99" w14:textId="3B25B155" w:rsidR="00F818A1" w:rsidRPr="00673C1F" w:rsidRDefault="00F818A1" w:rsidP="00BE2C43">
      <w:r w:rsidRPr="00673C1F">
        <w:br w:type="page"/>
      </w:r>
    </w:p>
    <w:p w14:paraId="4EA91189" w14:textId="5D6047D5" w:rsidR="00C12218" w:rsidRPr="00673C1F" w:rsidRDefault="00356E70" w:rsidP="00C12218">
      <w:pPr>
        <w:pStyle w:val="TableHeading"/>
      </w:pPr>
      <w:r w:rsidRPr="00673C1F">
        <w:lastRenderedPageBreak/>
        <w:t xml:space="preserve">Table 5.3: Reconciliation of Australian Government general government tax receipts estimates from the </w:t>
      </w:r>
      <w:r w:rsidR="00384EBD" w:rsidRPr="00673C1F">
        <w:t>2023</w:t>
      </w:r>
      <w:r w:rsidR="00275190" w:rsidRPr="00673C1F">
        <w:t>–</w:t>
      </w:r>
      <w:r w:rsidR="00384EBD" w:rsidRPr="00673C1F">
        <w:t>24 MYEF</w:t>
      </w:r>
      <w:r w:rsidR="00652F71" w:rsidRPr="00673C1F">
        <w:t>O</w:t>
      </w:r>
      <w:r w:rsidR="00055CAF" w:rsidRPr="00673C1F">
        <w:t xml:space="preserve"> and 2023–24 Budge</w:t>
      </w:r>
      <w:bookmarkStart w:id="19" w:name="_1776681562"/>
      <w:bookmarkEnd w:id="19"/>
      <w:r w:rsidR="00C12218" w:rsidRPr="00673C1F">
        <w:rPr>
          <w:rFonts w:eastAsiaTheme="minorHAnsi"/>
        </w:rPr>
        <w:t>t</w:t>
      </w:r>
    </w:p>
    <w:tbl>
      <w:tblPr>
        <w:tblW w:w="5000" w:type="pct"/>
        <w:tblCellMar>
          <w:left w:w="0" w:type="dxa"/>
          <w:right w:w="28" w:type="dxa"/>
        </w:tblCellMar>
        <w:tblLook w:val="04A0" w:firstRow="1" w:lastRow="0" w:firstColumn="1" w:lastColumn="0" w:noHBand="0" w:noVBand="1"/>
      </w:tblPr>
      <w:tblGrid>
        <w:gridCol w:w="3113"/>
        <w:gridCol w:w="746"/>
        <w:gridCol w:w="746"/>
        <w:gridCol w:w="746"/>
        <w:gridCol w:w="746"/>
        <w:gridCol w:w="748"/>
        <w:gridCol w:w="82"/>
        <w:gridCol w:w="783"/>
      </w:tblGrid>
      <w:tr w:rsidR="00CB0FFB" w:rsidRPr="00673C1F" w14:paraId="46A1695B" w14:textId="77777777" w:rsidTr="00C12218">
        <w:trPr>
          <w:trHeight w:hRule="exact" w:val="225"/>
        </w:trPr>
        <w:tc>
          <w:tcPr>
            <w:tcW w:w="2018" w:type="pct"/>
            <w:tcBorders>
              <w:top w:val="single" w:sz="4" w:space="0" w:color="293F5B"/>
              <w:left w:val="nil"/>
              <w:bottom w:val="nil"/>
              <w:right w:val="nil"/>
            </w:tcBorders>
            <w:shd w:val="clear" w:color="auto" w:fill="auto"/>
            <w:noWrap/>
            <w:vAlign w:val="center"/>
            <w:hideMark/>
          </w:tcPr>
          <w:p w14:paraId="43704DFA" w14:textId="70B79A58" w:rsidR="00C12218" w:rsidRPr="00673C1F" w:rsidRDefault="00C12218" w:rsidP="00C12218">
            <w:pPr>
              <w:spacing w:before="0" w:after="0" w:line="240" w:lineRule="auto"/>
              <w:jc w:val="both"/>
              <w:rPr>
                <w:rFonts w:ascii="Arial" w:hAnsi="Arial" w:cs="Arial"/>
                <w:sz w:val="16"/>
                <w:szCs w:val="16"/>
              </w:rPr>
            </w:pPr>
            <w:r w:rsidRPr="00673C1F">
              <w:rPr>
                <w:rFonts w:ascii="Arial" w:hAnsi="Arial" w:cs="Arial"/>
                <w:sz w:val="16"/>
                <w:szCs w:val="16"/>
              </w:rPr>
              <w:t> </w:t>
            </w:r>
          </w:p>
        </w:tc>
        <w:tc>
          <w:tcPr>
            <w:tcW w:w="2421" w:type="pct"/>
            <w:gridSpan w:val="5"/>
            <w:tcBorders>
              <w:top w:val="single" w:sz="4" w:space="0" w:color="293F5B"/>
              <w:left w:val="nil"/>
              <w:bottom w:val="nil"/>
              <w:right w:val="nil"/>
            </w:tcBorders>
            <w:shd w:val="clear" w:color="auto" w:fill="auto"/>
            <w:noWrap/>
            <w:vAlign w:val="center"/>
            <w:hideMark/>
          </w:tcPr>
          <w:p w14:paraId="466C45C3" w14:textId="77777777" w:rsidR="00C12218" w:rsidRPr="00673C1F" w:rsidRDefault="00C12218" w:rsidP="00C12218">
            <w:pPr>
              <w:spacing w:before="0" w:after="0" w:line="240" w:lineRule="auto"/>
              <w:jc w:val="center"/>
              <w:rPr>
                <w:rFonts w:ascii="Arial" w:hAnsi="Arial" w:cs="Arial"/>
                <w:sz w:val="16"/>
                <w:szCs w:val="16"/>
              </w:rPr>
            </w:pPr>
            <w:r w:rsidRPr="00673C1F">
              <w:rPr>
                <w:rFonts w:ascii="Arial" w:hAnsi="Arial" w:cs="Arial"/>
                <w:sz w:val="16"/>
                <w:szCs w:val="16"/>
              </w:rPr>
              <w:t>Estimates</w:t>
            </w:r>
          </w:p>
        </w:tc>
        <w:tc>
          <w:tcPr>
            <w:tcW w:w="53" w:type="pct"/>
            <w:tcBorders>
              <w:top w:val="single" w:sz="4" w:space="0" w:color="293F5B"/>
              <w:left w:val="nil"/>
              <w:bottom w:val="nil"/>
              <w:right w:val="nil"/>
            </w:tcBorders>
            <w:shd w:val="clear" w:color="auto" w:fill="auto"/>
            <w:noWrap/>
            <w:vAlign w:val="center"/>
            <w:hideMark/>
          </w:tcPr>
          <w:p w14:paraId="42BD30CB" w14:textId="77777777" w:rsidR="00C12218" w:rsidRPr="00673C1F" w:rsidRDefault="00C12218" w:rsidP="00C12218">
            <w:pPr>
              <w:spacing w:before="0" w:after="0" w:line="240" w:lineRule="auto"/>
              <w:rPr>
                <w:rFonts w:ascii="Arial" w:hAnsi="Arial" w:cs="Arial"/>
                <w:sz w:val="16"/>
                <w:szCs w:val="16"/>
              </w:rPr>
            </w:pPr>
            <w:r w:rsidRPr="00673C1F">
              <w:rPr>
                <w:rFonts w:ascii="Arial" w:hAnsi="Arial" w:cs="Arial"/>
                <w:sz w:val="16"/>
                <w:szCs w:val="16"/>
              </w:rPr>
              <w:t> </w:t>
            </w:r>
          </w:p>
        </w:tc>
        <w:tc>
          <w:tcPr>
            <w:tcW w:w="508" w:type="pct"/>
            <w:tcBorders>
              <w:top w:val="single" w:sz="4" w:space="0" w:color="293F5B"/>
              <w:left w:val="nil"/>
              <w:bottom w:val="nil"/>
              <w:right w:val="nil"/>
            </w:tcBorders>
            <w:shd w:val="clear" w:color="auto" w:fill="auto"/>
            <w:noWrap/>
            <w:vAlign w:val="center"/>
            <w:hideMark/>
          </w:tcPr>
          <w:p w14:paraId="6F05A540" w14:textId="77777777" w:rsidR="00C12218" w:rsidRPr="00673C1F" w:rsidRDefault="00C12218" w:rsidP="00C12218">
            <w:pPr>
              <w:spacing w:before="0" w:after="0" w:line="240" w:lineRule="auto"/>
              <w:rPr>
                <w:rFonts w:ascii="Arial" w:hAnsi="Arial" w:cs="Arial"/>
                <w:sz w:val="16"/>
                <w:szCs w:val="16"/>
              </w:rPr>
            </w:pPr>
            <w:r w:rsidRPr="00673C1F">
              <w:rPr>
                <w:rFonts w:ascii="Arial" w:hAnsi="Arial" w:cs="Arial"/>
                <w:sz w:val="16"/>
                <w:szCs w:val="16"/>
              </w:rPr>
              <w:t> </w:t>
            </w:r>
          </w:p>
        </w:tc>
      </w:tr>
      <w:tr w:rsidR="00CB0FFB" w:rsidRPr="00673C1F" w14:paraId="7AAE5C05" w14:textId="77777777" w:rsidTr="00C12218">
        <w:trPr>
          <w:trHeight w:hRule="exact" w:val="225"/>
        </w:trPr>
        <w:tc>
          <w:tcPr>
            <w:tcW w:w="2018" w:type="pct"/>
            <w:tcBorders>
              <w:top w:val="nil"/>
              <w:left w:val="nil"/>
              <w:bottom w:val="nil"/>
              <w:right w:val="nil"/>
            </w:tcBorders>
            <w:shd w:val="clear" w:color="auto" w:fill="auto"/>
            <w:noWrap/>
            <w:vAlign w:val="center"/>
            <w:hideMark/>
          </w:tcPr>
          <w:p w14:paraId="3953B17C" w14:textId="77777777" w:rsidR="00C12218" w:rsidRPr="00673C1F" w:rsidRDefault="00C12218" w:rsidP="00C12218">
            <w:pPr>
              <w:spacing w:before="0" w:after="0" w:line="240" w:lineRule="auto"/>
              <w:rPr>
                <w:rFonts w:ascii="Arial" w:hAnsi="Arial" w:cs="Arial"/>
                <w:sz w:val="16"/>
                <w:szCs w:val="16"/>
              </w:rPr>
            </w:pPr>
          </w:p>
        </w:tc>
        <w:tc>
          <w:tcPr>
            <w:tcW w:w="484" w:type="pct"/>
            <w:tcBorders>
              <w:top w:val="single" w:sz="4" w:space="0" w:color="293F5B"/>
              <w:left w:val="nil"/>
              <w:bottom w:val="nil"/>
              <w:right w:val="nil"/>
            </w:tcBorders>
            <w:shd w:val="clear" w:color="auto" w:fill="auto"/>
            <w:noWrap/>
            <w:vAlign w:val="center"/>
            <w:hideMark/>
          </w:tcPr>
          <w:p w14:paraId="5ACCAB53" w14:textId="4704848E" w:rsidR="00C12218" w:rsidRPr="00673C1F" w:rsidRDefault="00C12218" w:rsidP="00C12218">
            <w:pPr>
              <w:spacing w:before="0" w:after="0" w:line="240" w:lineRule="auto"/>
              <w:jc w:val="right"/>
              <w:rPr>
                <w:rFonts w:ascii="Arial" w:hAnsi="Arial" w:cs="Arial"/>
                <w:sz w:val="16"/>
                <w:szCs w:val="16"/>
              </w:rPr>
            </w:pPr>
            <w:r w:rsidRPr="00673C1F">
              <w:rPr>
                <w:rFonts w:ascii="Arial" w:hAnsi="Arial" w:cs="Arial"/>
                <w:sz w:val="16"/>
                <w:szCs w:val="16"/>
              </w:rPr>
              <w:t>2023</w:t>
            </w:r>
            <w:r w:rsidR="006D727E" w:rsidRPr="00673C1F">
              <w:rPr>
                <w:rFonts w:ascii="Arial" w:hAnsi="Arial" w:cs="Arial"/>
                <w:sz w:val="16"/>
                <w:szCs w:val="16"/>
              </w:rPr>
              <w:noBreakHyphen/>
            </w:r>
            <w:r w:rsidRPr="00673C1F">
              <w:rPr>
                <w:rFonts w:ascii="Arial" w:hAnsi="Arial" w:cs="Arial"/>
                <w:sz w:val="16"/>
                <w:szCs w:val="16"/>
              </w:rPr>
              <w:t>24</w:t>
            </w:r>
          </w:p>
        </w:tc>
        <w:tc>
          <w:tcPr>
            <w:tcW w:w="484" w:type="pct"/>
            <w:tcBorders>
              <w:top w:val="single" w:sz="4" w:space="0" w:color="293F5B"/>
              <w:left w:val="nil"/>
              <w:bottom w:val="nil"/>
              <w:right w:val="nil"/>
            </w:tcBorders>
            <w:shd w:val="clear" w:color="000000" w:fill="E6F2FF"/>
            <w:noWrap/>
            <w:vAlign w:val="center"/>
            <w:hideMark/>
          </w:tcPr>
          <w:p w14:paraId="78D581B7" w14:textId="198E7D9C" w:rsidR="00C12218" w:rsidRPr="00673C1F" w:rsidRDefault="00C12218" w:rsidP="00C12218">
            <w:pPr>
              <w:spacing w:before="0" w:after="0" w:line="240" w:lineRule="auto"/>
              <w:jc w:val="right"/>
              <w:rPr>
                <w:rFonts w:ascii="Arial" w:hAnsi="Arial" w:cs="Arial"/>
                <w:sz w:val="16"/>
                <w:szCs w:val="16"/>
              </w:rPr>
            </w:pPr>
            <w:r w:rsidRPr="00673C1F">
              <w:rPr>
                <w:rFonts w:ascii="Arial" w:hAnsi="Arial" w:cs="Arial"/>
                <w:sz w:val="16"/>
                <w:szCs w:val="16"/>
              </w:rPr>
              <w:t>2024</w:t>
            </w:r>
            <w:r w:rsidR="006D727E" w:rsidRPr="00673C1F">
              <w:rPr>
                <w:rFonts w:ascii="Arial" w:hAnsi="Arial" w:cs="Arial"/>
                <w:sz w:val="16"/>
                <w:szCs w:val="16"/>
              </w:rPr>
              <w:noBreakHyphen/>
            </w:r>
            <w:r w:rsidRPr="00673C1F">
              <w:rPr>
                <w:rFonts w:ascii="Arial" w:hAnsi="Arial" w:cs="Arial"/>
                <w:sz w:val="16"/>
                <w:szCs w:val="16"/>
              </w:rPr>
              <w:t>25</w:t>
            </w:r>
          </w:p>
        </w:tc>
        <w:tc>
          <w:tcPr>
            <w:tcW w:w="484" w:type="pct"/>
            <w:tcBorders>
              <w:top w:val="single" w:sz="4" w:space="0" w:color="293F5B"/>
              <w:left w:val="nil"/>
              <w:bottom w:val="nil"/>
              <w:right w:val="nil"/>
            </w:tcBorders>
            <w:shd w:val="clear" w:color="auto" w:fill="auto"/>
            <w:noWrap/>
            <w:vAlign w:val="center"/>
            <w:hideMark/>
          </w:tcPr>
          <w:p w14:paraId="31DE3F45" w14:textId="5C681D45" w:rsidR="00C12218" w:rsidRPr="00673C1F" w:rsidRDefault="00C12218" w:rsidP="00C12218">
            <w:pPr>
              <w:spacing w:before="0" w:after="0" w:line="240" w:lineRule="auto"/>
              <w:jc w:val="right"/>
              <w:rPr>
                <w:rFonts w:ascii="Arial" w:hAnsi="Arial" w:cs="Arial"/>
                <w:sz w:val="16"/>
                <w:szCs w:val="16"/>
              </w:rPr>
            </w:pPr>
            <w:r w:rsidRPr="00673C1F">
              <w:rPr>
                <w:rFonts w:ascii="Arial" w:hAnsi="Arial" w:cs="Arial"/>
                <w:sz w:val="16"/>
                <w:szCs w:val="16"/>
              </w:rPr>
              <w:t>2025</w:t>
            </w:r>
            <w:r w:rsidR="006D727E" w:rsidRPr="00673C1F">
              <w:rPr>
                <w:rFonts w:ascii="Arial" w:hAnsi="Arial" w:cs="Arial"/>
                <w:sz w:val="16"/>
                <w:szCs w:val="16"/>
              </w:rPr>
              <w:noBreakHyphen/>
            </w:r>
            <w:r w:rsidRPr="00673C1F">
              <w:rPr>
                <w:rFonts w:ascii="Arial" w:hAnsi="Arial" w:cs="Arial"/>
                <w:sz w:val="16"/>
                <w:szCs w:val="16"/>
              </w:rPr>
              <w:t>26</w:t>
            </w:r>
          </w:p>
        </w:tc>
        <w:tc>
          <w:tcPr>
            <w:tcW w:w="484" w:type="pct"/>
            <w:tcBorders>
              <w:top w:val="single" w:sz="4" w:space="0" w:color="293F5B"/>
              <w:left w:val="nil"/>
              <w:bottom w:val="nil"/>
              <w:right w:val="nil"/>
            </w:tcBorders>
            <w:shd w:val="clear" w:color="auto" w:fill="auto"/>
            <w:noWrap/>
            <w:vAlign w:val="center"/>
            <w:hideMark/>
          </w:tcPr>
          <w:p w14:paraId="362E0239" w14:textId="765EB759" w:rsidR="00C12218" w:rsidRPr="00673C1F" w:rsidRDefault="00C12218" w:rsidP="00C12218">
            <w:pPr>
              <w:spacing w:before="0" w:after="0" w:line="240" w:lineRule="auto"/>
              <w:jc w:val="right"/>
              <w:rPr>
                <w:rFonts w:ascii="Arial" w:hAnsi="Arial" w:cs="Arial"/>
                <w:sz w:val="16"/>
                <w:szCs w:val="16"/>
              </w:rPr>
            </w:pPr>
            <w:r w:rsidRPr="00673C1F">
              <w:rPr>
                <w:rFonts w:ascii="Arial" w:hAnsi="Arial" w:cs="Arial"/>
                <w:sz w:val="16"/>
                <w:szCs w:val="16"/>
              </w:rPr>
              <w:t>2026</w:t>
            </w:r>
            <w:r w:rsidR="006D727E" w:rsidRPr="00673C1F">
              <w:rPr>
                <w:rFonts w:ascii="Arial" w:hAnsi="Arial" w:cs="Arial"/>
                <w:sz w:val="16"/>
                <w:szCs w:val="16"/>
              </w:rPr>
              <w:noBreakHyphen/>
            </w:r>
            <w:r w:rsidRPr="00673C1F">
              <w:rPr>
                <w:rFonts w:ascii="Arial" w:hAnsi="Arial" w:cs="Arial"/>
                <w:sz w:val="16"/>
                <w:szCs w:val="16"/>
              </w:rPr>
              <w:t>27</w:t>
            </w:r>
          </w:p>
        </w:tc>
        <w:tc>
          <w:tcPr>
            <w:tcW w:w="484" w:type="pct"/>
            <w:tcBorders>
              <w:top w:val="single" w:sz="4" w:space="0" w:color="293F5B"/>
              <w:left w:val="nil"/>
              <w:bottom w:val="nil"/>
              <w:right w:val="nil"/>
            </w:tcBorders>
            <w:shd w:val="clear" w:color="auto" w:fill="auto"/>
            <w:noWrap/>
            <w:vAlign w:val="center"/>
            <w:hideMark/>
          </w:tcPr>
          <w:p w14:paraId="1E181B7A" w14:textId="43AA1E09" w:rsidR="00C12218" w:rsidRPr="00673C1F" w:rsidRDefault="00C12218" w:rsidP="00C12218">
            <w:pPr>
              <w:spacing w:before="0" w:after="0" w:line="240" w:lineRule="auto"/>
              <w:jc w:val="right"/>
              <w:rPr>
                <w:rFonts w:ascii="Arial" w:hAnsi="Arial" w:cs="Arial"/>
                <w:sz w:val="16"/>
                <w:szCs w:val="16"/>
              </w:rPr>
            </w:pPr>
            <w:r w:rsidRPr="00673C1F">
              <w:rPr>
                <w:rFonts w:ascii="Arial" w:hAnsi="Arial" w:cs="Arial"/>
                <w:sz w:val="16"/>
                <w:szCs w:val="16"/>
              </w:rPr>
              <w:t>2027</w:t>
            </w:r>
            <w:r w:rsidR="006D727E" w:rsidRPr="00673C1F">
              <w:rPr>
                <w:rFonts w:ascii="Arial" w:hAnsi="Arial" w:cs="Arial"/>
                <w:sz w:val="16"/>
                <w:szCs w:val="16"/>
              </w:rPr>
              <w:noBreakHyphen/>
            </w:r>
            <w:r w:rsidRPr="00673C1F">
              <w:rPr>
                <w:rFonts w:ascii="Arial" w:hAnsi="Arial" w:cs="Arial"/>
                <w:sz w:val="16"/>
                <w:szCs w:val="16"/>
              </w:rPr>
              <w:t>28</w:t>
            </w:r>
          </w:p>
        </w:tc>
        <w:tc>
          <w:tcPr>
            <w:tcW w:w="53" w:type="pct"/>
            <w:tcBorders>
              <w:top w:val="nil"/>
              <w:left w:val="nil"/>
              <w:bottom w:val="nil"/>
              <w:right w:val="nil"/>
            </w:tcBorders>
            <w:shd w:val="clear" w:color="auto" w:fill="auto"/>
            <w:noWrap/>
            <w:vAlign w:val="center"/>
            <w:hideMark/>
          </w:tcPr>
          <w:p w14:paraId="1DE2D7D6" w14:textId="77777777" w:rsidR="00C12218" w:rsidRPr="00673C1F" w:rsidRDefault="00C12218" w:rsidP="00C12218">
            <w:pPr>
              <w:spacing w:before="0" w:after="0" w:line="240" w:lineRule="auto"/>
              <w:jc w:val="right"/>
              <w:rPr>
                <w:rFonts w:ascii="Arial" w:hAnsi="Arial" w:cs="Arial"/>
                <w:sz w:val="16"/>
                <w:szCs w:val="16"/>
              </w:rPr>
            </w:pPr>
          </w:p>
        </w:tc>
        <w:tc>
          <w:tcPr>
            <w:tcW w:w="508" w:type="pct"/>
            <w:tcBorders>
              <w:top w:val="single" w:sz="4" w:space="0" w:color="293F5B"/>
              <w:left w:val="nil"/>
              <w:bottom w:val="nil"/>
              <w:right w:val="nil"/>
            </w:tcBorders>
            <w:shd w:val="clear" w:color="auto" w:fill="auto"/>
            <w:noWrap/>
            <w:vAlign w:val="center"/>
            <w:hideMark/>
          </w:tcPr>
          <w:p w14:paraId="227EEF48" w14:textId="77777777" w:rsidR="00C12218" w:rsidRPr="00673C1F" w:rsidRDefault="00C12218" w:rsidP="00C12218">
            <w:pPr>
              <w:spacing w:before="0" w:after="0" w:line="240" w:lineRule="auto"/>
              <w:jc w:val="right"/>
              <w:rPr>
                <w:rFonts w:ascii="Arial" w:hAnsi="Arial" w:cs="Arial"/>
                <w:sz w:val="16"/>
                <w:szCs w:val="16"/>
              </w:rPr>
            </w:pPr>
            <w:r w:rsidRPr="00673C1F">
              <w:rPr>
                <w:rFonts w:ascii="Arial" w:hAnsi="Arial" w:cs="Arial"/>
                <w:sz w:val="16"/>
                <w:szCs w:val="16"/>
              </w:rPr>
              <w:t>Total</w:t>
            </w:r>
          </w:p>
        </w:tc>
      </w:tr>
      <w:tr w:rsidR="00CB0FFB" w:rsidRPr="00673C1F" w14:paraId="7ED37D40" w14:textId="77777777" w:rsidTr="00C12218">
        <w:trPr>
          <w:trHeight w:hRule="exact" w:val="225"/>
        </w:trPr>
        <w:tc>
          <w:tcPr>
            <w:tcW w:w="2018" w:type="pct"/>
            <w:tcBorders>
              <w:top w:val="nil"/>
              <w:left w:val="nil"/>
              <w:bottom w:val="nil"/>
              <w:right w:val="nil"/>
            </w:tcBorders>
            <w:shd w:val="clear" w:color="auto" w:fill="auto"/>
            <w:noWrap/>
            <w:vAlign w:val="center"/>
            <w:hideMark/>
          </w:tcPr>
          <w:p w14:paraId="0E0D14DF" w14:textId="77777777" w:rsidR="00C12218" w:rsidRPr="00673C1F" w:rsidRDefault="00C12218" w:rsidP="00C12218">
            <w:pPr>
              <w:spacing w:before="0" w:after="0" w:line="240" w:lineRule="auto"/>
              <w:jc w:val="right"/>
              <w:rPr>
                <w:rFonts w:ascii="Arial" w:hAnsi="Arial" w:cs="Arial"/>
                <w:sz w:val="16"/>
                <w:szCs w:val="16"/>
              </w:rPr>
            </w:pPr>
          </w:p>
        </w:tc>
        <w:tc>
          <w:tcPr>
            <w:tcW w:w="484" w:type="pct"/>
            <w:tcBorders>
              <w:top w:val="nil"/>
              <w:left w:val="nil"/>
              <w:bottom w:val="single" w:sz="4" w:space="0" w:color="293F5B"/>
              <w:right w:val="nil"/>
            </w:tcBorders>
            <w:shd w:val="clear" w:color="auto" w:fill="auto"/>
            <w:noWrap/>
            <w:vAlign w:val="center"/>
            <w:hideMark/>
          </w:tcPr>
          <w:p w14:paraId="26E6559A" w14:textId="77777777" w:rsidR="00C12218" w:rsidRPr="00673C1F" w:rsidRDefault="00C12218" w:rsidP="00C12218">
            <w:pPr>
              <w:spacing w:before="0" w:after="0" w:line="240" w:lineRule="auto"/>
              <w:jc w:val="right"/>
              <w:rPr>
                <w:rFonts w:ascii="Arial" w:hAnsi="Arial" w:cs="Arial"/>
                <w:sz w:val="16"/>
                <w:szCs w:val="16"/>
              </w:rPr>
            </w:pPr>
            <w:r w:rsidRPr="00673C1F">
              <w:rPr>
                <w:rFonts w:ascii="Arial" w:hAnsi="Arial" w:cs="Arial"/>
                <w:sz w:val="16"/>
                <w:szCs w:val="16"/>
              </w:rPr>
              <w:t>$m</w:t>
            </w:r>
          </w:p>
        </w:tc>
        <w:tc>
          <w:tcPr>
            <w:tcW w:w="484" w:type="pct"/>
            <w:tcBorders>
              <w:top w:val="nil"/>
              <w:left w:val="nil"/>
              <w:bottom w:val="single" w:sz="4" w:space="0" w:color="293F5B"/>
              <w:right w:val="nil"/>
            </w:tcBorders>
            <w:shd w:val="clear" w:color="000000" w:fill="E6F2FF"/>
            <w:noWrap/>
            <w:vAlign w:val="center"/>
            <w:hideMark/>
          </w:tcPr>
          <w:p w14:paraId="6D6EBD53" w14:textId="77777777" w:rsidR="00C12218" w:rsidRPr="00673C1F" w:rsidRDefault="00C12218" w:rsidP="00C12218">
            <w:pPr>
              <w:spacing w:before="0" w:after="0" w:line="240" w:lineRule="auto"/>
              <w:jc w:val="right"/>
              <w:rPr>
                <w:rFonts w:ascii="Arial" w:hAnsi="Arial" w:cs="Arial"/>
                <w:sz w:val="16"/>
                <w:szCs w:val="16"/>
              </w:rPr>
            </w:pPr>
            <w:r w:rsidRPr="00673C1F">
              <w:rPr>
                <w:rFonts w:ascii="Arial" w:hAnsi="Arial" w:cs="Arial"/>
                <w:sz w:val="16"/>
                <w:szCs w:val="16"/>
              </w:rPr>
              <w:t>$m</w:t>
            </w:r>
          </w:p>
        </w:tc>
        <w:tc>
          <w:tcPr>
            <w:tcW w:w="484" w:type="pct"/>
            <w:tcBorders>
              <w:top w:val="nil"/>
              <w:left w:val="nil"/>
              <w:bottom w:val="single" w:sz="4" w:space="0" w:color="293F5B"/>
              <w:right w:val="nil"/>
            </w:tcBorders>
            <w:shd w:val="clear" w:color="auto" w:fill="auto"/>
            <w:noWrap/>
            <w:vAlign w:val="center"/>
            <w:hideMark/>
          </w:tcPr>
          <w:p w14:paraId="4C6204D3" w14:textId="77777777" w:rsidR="00C12218" w:rsidRPr="00673C1F" w:rsidRDefault="00C12218" w:rsidP="00C12218">
            <w:pPr>
              <w:spacing w:before="0" w:after="0" w:line="240" w:lineRule="auto"/>
              <w:jc w:val="right"/>
              <w:rPr>
                <w:rFonts w:ascii="Arial" w:hAnsi="Arial" w:cs="Arial"/>
                <w:sz w:val="16"/>
                <w:szCs w:val="16"/>
              </w:rPr>
            </w:pPr>
            <w:r w:rsidRPr="00673C1F">
              <w:rPr>
                <w:rFonts w:ascii="Arial" w:hAnsi="Arial" w:cs="Arial"/>
                <w:sz w:val="16"/>
                <w:szCs w:val="16"/>
              </w:rPr>
              <w:t>$m</w:t>
            </w:r>
          </w:p>
        </w:tc>
        <w:tc>
          <w:tcPr>
            <w:tcW w:w="484" w:type="pct"/>
            <w:tcBorders>
              <w:top w:val="nil"/>
              <w:left w:val="nil"/>
              <w:bottom w:val="single" w:sz="4" w:space="0" w:color="293F5B"/>
              <w:right w:val="nil"/>
            </w:tcBorders>
            <w:shd w:val="clear" w:color="auto" w:fill="auto"/>
            <w:noWrap/>
            <w:vAlign w:val="center"/>
            <w:hideMark/>
          </w:tcPr>
          <w:p w14:paraId="675FED3D" w14:textId="77777777" w:rsidR="00C12218" w:rsidRPr="00673C1F" w:rsidRDefault="00C12218" w:rsidP="00C12218">
            <w:pPr>
              <w:spacing w:before="0" w:after="0" w:line="240" w:lineRule="auto"/>
              <w:jc w:val="right"/>
              <w:rPr>
                <w:rFonts w:ascii="Arial" w:hAnsi="Arial" w:cs="Arial"/>
                <w:sz w:val="16"/>
                <w:szCs w:val="16"/>
              </w:rPr>
            </w:pPr>
            <w:r w:rsidRPr="00673C1F">
              <w:rPr>
                <w:rFonts w:ascii="Arial" w:hAnsi="Arial" w:cs="Arial"/>
                <w:sz w:val="16"/>
                <w:szCs w:val="16"/>
              </w:rPr>
              <w:t>$m</w:t>
            </w:r>
          </w:p>
        </w:tc>
        <w:tc>
          <w:tcPr>
            <w:tcW w:w="484" w:type="pct"/>
            <w:tcBorders>
              <w:top w:val="nil"/>
              <w:left w:val="nil"/>
              <w:bottom w:val="single" w:sz="4" w:space="0" w:color="293F5B"/>
              <w:right w:val="nil"/>
            </w:tcBorders>
            <w:shd w:val="clear" w:color="auto" w:fill="auto"/>
            <w:noWrap/>
            <w:vAlign w:val="center"/>
            <w:hideMark/>
          </w:tcPr>
          <w:p w14:paraId="661D2E26" w14:textId="77777777" w:rsidR="00C12218" w:rsidRPr="00673C1F" w:rsidRDefault="00C12218" w:rsidP="00C12218">
            <w:pPr>
              <w:spacing w:before="0" w:after="0" w:line="240" w:lineRule="auto"/>
              <w:jc w:val="right"/>
              <w:rPr>
                <w:rFonts w:ascii="Arial" w:hAnsi="Arial" w:cs="Arial"/>
                <w:sz w:val="16"/>
                <w:szCs w:val="16"/>
              </w:rPr>
            </w:pPr>
            <w:r w:rsidRPr="00673C1F">
              <w:rPr>
                <w:rFonts w:ascii="Arial" w:hAnsi="Arial" w:cs="Arial"/>
                <w:sz w:val="16"/>
                <w:szCs w:val="16"/>
              </w:rPr>
              <w:t>$m</w:t>
            </w:r>
          </w:p>
        </w:tc>
        <w:tc>
          <w:tcPr>
            <w:tcW w:w="53" w:type="pct"/>
            <w:tcBorders>
              <w:top w:val="nil"/>
              <w:left w:val="nil"/>
              <w:bottom w:val="nil"/>
              <w:right w:val="nil"/>
            </w:tcBorders>
            <w:shd w:val="clear" w:color="auto" w:fill="auto"/>
            <w:noWrap/>
            <w:vAlign w:val="center"/>
            <w:hideMark/>
          </w:tcPr>
          <w:p w14:paraId="088064B7" w14:textId="77777777" w:rsidR="00C12218" w:rsidRPr="00673C1F" w:rsidRDefault="00C12218" w:rsidP="00C12218">
            <w:pPr>
              <w:spacing w:before="0" w:after="0" w:line="240" w:lineRule="auto"/>
              <w:jc w:val="right"/>
              <w:rPr>
                <w:rFonts w:ascii="Arial" w:hAnsi="Arial" w:cs="Arial"/>
                <w:sz w:val="16"/>
                <w:szCs w:val="16"/>
              </w:rPr>
            </w:pPr>
          </w:p>
        </w:tc>
        <w:tc>
          <w:tcPr>
            <w:tcW w:w="508" w:type="pct"/>
            <w:tcBorders>
              <w:top w:val="nil"/>
              <w:left w:val="nil"/>
              <w:bottom w:val="single" w:sz="4" w:space="0" w:color="293F5B"/>
              <w:right w:val="nil"/>
            </w:tcBorders>
            <w:shd w:val="clear" w:color="auto" w:fill="auto"/>
            <w:noWrap/>
            <w:vAlign w:val="center"/>
            <w:hideMark/>
          </w:tcPr>
          <w:p w14:paraId="40A46C17" w14:textId="77777777" w:rsidR="00C12218" w:rsidRPr="00673C1F" w:rsidRDefault="00C12218" w:rsidP="00C12218">
            <w:pPr>
              <w:spacing w:before="0" w:after="0" w:line="240" w:lineRule="auto"/>
              <w:jc w:val="right"/>
              <w:rPr>
                <w:rFonts w:ascii="Arial" w:hAnsi="Arial" w:cs="Arial"/>
                <w:sz w:val="16"/>
                <w:szCs w:val="16"/>
              </w:rPr>
            </w:pPr>
            <w:r w:rsidRPr="00673C1F">
              <w:rPr>
                <w:rFonts w:ascii="Arial" w:hAnsi="Arial" w:cs="Arial"/>
                <w:sz w:val="16"/>
                <w:szCs w:val="16"/>
              </w:rPr>
              <w:t>$m</w:t>
            </w:r>
          </w:p>
        </w:tc>
      </w:tr>
      <w:tr w:rsidR="00CB0FFB" w:rsidRPr="00673C1F" w14:paraId="6290E7AE" w14:textId="77777777" w:rsidTr="00C12218">
        <w:trPr>
          <w:trHeight w:hRule="exact" w:val="225"/>
        </w:trPr>
        <w:tc>
          <w:tcPr>
            <w:tcW w:w="2018" w:type="pct"/>
            <w:tcBorders>
              <w:top w:val="nil"/>
              <w:left w:val="nil"/>
              <w:bottom w:val="nil"/>
              <w:right w:val="nil"/>
            </w:tcBorders>
            <w:shd w:val="clear" w:color="auto" w:fill="auto"/>
            <w:vAlign w:val="center"/>
            <w:hideMark/>
          </w:tcPr>
          <w:p w14:paraId="12790AB8" w14:textId="258BB875" w:rsidR="00C12218" w:rsidRPr="00673C1F" w:rsidRDefault="00C12218" w:rsidP="00C12218">
            <w:pPr>
              <w:spacing w:before="0" w:after="0" w:line="240" w:lineRule="auto"/>
              <w:rPr>
                <w:rFonts w:ascii="Arial" w:hAnsi="Arial" w:cs="Arial"/>
                <w:b/>
                <w:bCs/>
                <w:sz w:val="16"/>
                <w:szCs w:val="16"/>
              </w:rPr>
            </w:pPr>
            <w:r w:rsidRPr="00673C1F">
              <w:rPr>
                <w:rFonts w:ascii="Arial" w:hAnsi="Arial" w:cs="Arial"/>
                <w:b/>
                <w:bCs/>
                <w:sz w:val="16"/>
                <w:szCs w:val="16"/>
              </w:rPr>
              <w:t>Tax receipts at 2023</w:t>
            </w:r>
            <w:r w:rsidR="006D727E" w:rsidRPr="00673C1F">
              <w:rPr>
                <w:rFonts w:ascii="Arial" w:hAnsi="Arial" w:cs="Arial"/>
                <w:b/>
                <w:bCs/>
                <w:sz w:val="16"/>
                <w:szCs w:val="16"/>
              </w:rPr>
              <w:noBreakHyphen/>
            </w:r>
            <w:r w:rsidRPr="00673C1F">
              <w:rPr>
                <w:rFonts w:ascii="Arial" w:hAnsi="Arial" w:cs="Arial"/>
                <w:b/>
                <w:bCs/>
                <w:sz w:val="16"/>
                <w:szCs w:val="16"/>
              </w:rPr>
              <w:t>24 Budget</w:t>
            </w:r>
          </w:p>
        </w:tc>
        <w:tc>
          <w:tcPr>
            <w:tcW w:w="484" w:type="pct"/>
            <w:tcBorders>
              <w:top w:val="nil"/>
              <w:left w:val="nil"/>
              <w:bottom w:val="nil"/>
              <w:right w:val="nil"/>
            </w:tcBorders>
            <w:shd w:val="clear" w:color="auto" w:fill="auto"/>
            <w:noWrap/>
            <w:vAlign w:val="center"/>
            <w:hideMark/>
          </w:tcPr>
          <w:p w14:paraId="489D0218" w14:textId="77777777" w:rsidR="00C12218" w:rsidRPr="00673C1F" w:rsidRDefault="00C12218" w:rsidP="00C12218">
            <w:pPr>
              <w:spacing w:before="0" w:after="0" w:line="240" w:lineRule="auto"/>
              <w:jc w:val="right"/>
              <w:rPr>
                <w:rFonts w:ascii="Arial" w:hAnsi="Arial" w:cs="Arial"/>
                <w:b/>
                <w:bCs/>
                <w:sz w:val="16"/>
                <w:szCs w:val="16"/>
              </w:rPr>
            </w:pPr>
            <w:r w:rsidRPr="00673C1F">
              <w:rPr>
                <w:rFonts w:ascii="Arial" w:hAnsi="Arial" w:cs="Arial"/>
                <w:b/>
                <w:bCs/>
                <w:sz w:val="16"/>
                <w:szCs w:val="16"/>
              </w:rPr>
              <w:t>616,275</w:t>
            </w:r>
          </w:p>
        </w:tc>
        <w:tc>
          <w:tcPr>
            <w:tcW w:w="484" w:type="pct"/>
            <w:tcBorders>
              <w:top w:val="nil"/>
              <w:left w:val="nil"/>
              <w:bottom w:val="nil"/>
              <w:right w:val="nil"/>
            </w:tcBorders>
            <w:shd w:val="clear" w:color="000000" w:fill="E6F2FF"/>
            <w:noWrap/>
            <w:vAlign w:val="center"/>
            <w:hideMark/>
          </w:tcPr>
          <w:p w14:paraId="4A6636F9" w14:textId="77777777" w:rsidR="00C12218" w:rsidRPr="00673C1F" w:rsidRDefault="00C12218" w:rsidP="00C12218">
            <w:pPr>
              <w:spacing w:before="0" w:after="0" w:line="240" w:lineRule="auto"/>
              <w:jc w:val="right"/>
              <w:rPr>
                <w:rFonts w:ascii="Arial" w:hAnsi="Arial" w:cs="Arial"/>
                <w:b/>
                <w:bCs/>
                <w:sz w:val="16"/>
                <w:szCs w:val="16"/>
              </w:rPr>
            </w:pPr>
            <w:r w:rsidRPr="00673C1F">
              <w:rPr>
                <w:rFonts w:ascii="Arial" w:hAnsi="Arial" w:cs="Arial"/>
                <w:b/>
                <w:bCs/>
                <w:sz w:val="16"/>
                <w:szCs w:val="16"/>
              </w:rPr>
              <w:t>614,332</w:t>
            </w:r>
          </w:p>
        </w:tc>
        <w:tc>
          <w:tcPr>
            <w:tcW w:w="484" w:type="pct"/>
            <w:tcBorders>
              <w:top w:val="nil"/>
              <w:left w:val="nil"/>
              <w:bottom w:val="nil"/>
              <w:right w:val="nil"/>
            </w:tcBorders>
            <w:shd w:val="clear" w:color="auto" w:fill="auto"/>
            <w:noWrap/>
            <w:vAlign w:val="center"/>
            <w:hideMark/>
          </w:tcPr>
          <w:p w14:paraId="4E57C9A5" w14:textId="77777777" w:rsidR="00C12218" w:rsidRPr="00673C1F" w:rsidRDefault="00C12218" w:rsidP="00C12218">
            <w:pPr>
              <w:spacing w:before="0" w:after="0" w:line="240" w:lineRule="auto"/>
              <w:jc w:val="right"/>
              <w:rPr>
                <w:rFonts w:ascii="Arial" w:hAnsi="Arial" w:cs="Arial"/>
                <w:b/>
                <w:bCs/>
                <w:sz w:val="16"/>
                <w:szCs w:val="16"/>
              </w:rPr>
            </w:pPr>
            <w:r w:rsidRPr="00673C1F">
              <w:rPr>
                <w:rFonts w:ascii="Arial" w:hAnsi="Arial" w:cs="Arial"/>
                <w:b/>
                <w:bCs/>
                <w:sz w:val="16"/>
                <w:szCs w:val="16"/>
              </w:rPr>
              <w:t>647,846</w:t>
            </w:r>
          </w:p>
        </w:tc>
        <w:tc>
          <w:tcPr>
            <w:tcW w:w="484" w:type="pct"/>
            <w:tcBorders>
              <w:top w:val="nil"/>
              <w:left w:val="nil"/>
              <w:bottom w:val="nil"/>
              <w:right w:val="nil"/>
            </w:tcBorders>
            <w:shd w:val="clear" w:color="auto" w:fill="auto"/>
            <w:noWrap/>
            <w:vAlign w:val="center"/>
            <w:hideMark/>
          </w:tcPr>
          <w:p w14:paraId="18DF9AF5" w14:textId="77777777" w:rsidR="00C12218" w:rsidRPr="00673C1F" w:rsidRDefault="00C12218" w:rsidP="00C12218">
            <w:pPr>
              <w:spacing w:before="0" w:after="0" w:line="240" w:lineRule="auto"/>
              <w:jc w:val="right"/>
              <w:rPr>
                <w:rFonts w:ascii="Arial" w:hAnsi="Arial" w:cs="Arial"/>
                <w:b/>
                <w:bCs/>
                <w:sz w:val="16"/>
                <w:szCs w:val="16"/>
              </w:rPr>
            </w:pPr>
            <w:r w:rsidRPr="00673C1F">
              <w:rPr>
                <w:rFonts w:ascii="Arial" w:hAnsi="Arial" w:cs="Arial"/>
                <w:b/>
                <w:bCs/>
                <w:sz w:val="16"/>
                <w:szCs w:val="16"/>
              </w:rPr>
              <w:t>680,743</w:t>
            </w:r>
          </w:p>
        </w:tc>
        <w:tc>
          <w:tcPr>
            <w:tcW w:w="484" w:type="pct"/>
            <w:tcBorders>
              <w:top w:val="nil"/>
              <w:left w:val="nil"/>
              <w:bottom w:val="nil"/>
              <w:right w:val="nil"/>
            </w:tcBorders>
            <w:shd w:val="clear" w:color="auto" w:fill="auto"/>
            <w:noWrap/>
            <w:vAlign w:val="center"/>
            <w:hideMark/>
          </w:tcPr>
          <w:p w14:paraId="55485E94" w14:textId="77777777" w:rsidR="00C12218" w:rsidRPr="00673C1F" w:rsidRDefault="00C12218" w:rsidP="00C12218">
            <w:pPr>
              <w:spacing w:before="0" w:after="0" w:line="240" w:lineRule="auto"/>
              <w:jc w:val="right"/>
              <w:rPr>
                <w:rFonts w:ascii="Arial" w:hAnsi="Arial" w:cs="Arial"/>
                <w:b/>
                <w:bCs/>
                <w:sz w:val="16"/>
                <w:szCs w:val="16"/>
              </w:rPr>
            </w:pPr>
            <w:r w:rsidRPr="00673C1F">
              <w:rPr>
                <w:rFonts w:ascii="Arial" w:hAnsi="Arial" w:cs="Arial"/>
                <w:b/>
                <w:bCs/>
                <w:sz w:val="16"/>
                <w:szCs w:val="16"/>
              </w:rPr>
              <w:t>*</w:t>
            </w:r>
          </w:p>
        </w:tc>
        <w:tc>
          <w:tcPr>
            <w:tcW w:w="53" w:type="pct"/>
            <w:tcBorders>
              <w:top w:val="nil"/>
              <w:left w:val="nil"/>
              <w:bottom w:val="nil"/>
              <w:right w:val="nil"/>
            </w:tcBorders>
            <w:shd w:val="clear" w:color="auto" w:fill="auto"/>
            <w:noWrap/>
            <w:vAlign w:val="center"/>
            <w:hideMark/>
          </w:tcPr>
          <w:p w14:paraId="546128BC" w14:textId="77777777" w:rsidR="00C12218" w:rsidRPr="00673C1F" w:rsidRDefault="00C12218" w:rsidP="00C12218">
            <w:pPr>
              <w:spacing w:before="0" w:after="0" w:line="240" w:lineRule="auto"/>
              <w:jc w:val="right"/>
              <w:rPr>
                <w:rFonts w:ascii="Arial" w:hAnsi="Arial" w:cs="Arial"/>
                <w:b/>
                <w:bCs/>
                <w:sz w:val="16"/>
                <w:szCs w:val="16"/>
              </w:rPr>
            </w:pPr>
          </w:p>
        </w:tc>
        <w:tc>
          <w:tcPr>
            <w:tcW w:w="508" w:type="pct"/>
            <w:tcBorders>
              <w:top w:val="nil"/>
              <w:left w:val="nil"/>
              <w:bottom w:val="nil"/>
              <w:right w:val="nil"/>
            </w:tcBorders>
            <w:shd w:val="clear" w:color="auto" w:fill="auto"/>
            <w:noWrap/>
            <w:vAlign w:val="center"/>
            <w:hideMark/>
          </w:tcPr>
          <w:p w14:paraId="2E648D63" w14:textId="77777777" w:rsidR="00C12218" w:rsidRPr="00673C1F" w:rsidRDefault="00C12218" w:rsidP="00C12218">
            <w:pPr>
              <w:spacing w:before="0" w:after="0" w:line="240" w:lineRule="auto"/>
              <w:jc w:val="right"/>
              <w:rPr>
                <w:rFonts w:ascii="Arial" w:hAnsi="Arial" w:cs="Arial"/>
                <w:b/>
                <w:bCs/>
                <w:sz w:val="16"/>
                <w:szCs w:val="16"/>
              </w:rPr>
            </w:pPr>
            <w:r w:rsidRPr="00673C1F">
              <w:rPr>
                <w:rFonts w:ascii="Arial" w:hAnsi="Arial" w:cs="Arial"/>
                <w:b/>
                <w:bCs/>
                <w:sz w:val="16"/>
                <w:szCs w:val="16"/>
              </w:rPr>
              <w:t>*</w:t>
            </w:r>
          </w:p>
        </w:tc>
      </w:tr>
      <w:tr w:rsidR="00CB0FFB" w:rsidRPr="00673C1F" w14:paraId="77231958" w14:textId="77777777" w:rsidTr="00C12218">
        <w:trPr>
          <w:trHeight w:hRule="exact" w:val="60"/>
        </w:trPr>
        <w:tc>
          <w:tcPr>
            <w:tcW w:w="2018" w:type="pct"/>
            <w:tcBorders>
              <w:top w:val="nil"/>
              <w:left w:val="nil"/>
              <w:bottom w:val="nil"/>
              <w:right w:val="nil"/>
            </w:tcBorders>
            <w:shd w:val="clear" w:color="auto" w:fill="auto"/>
            <w:vAlign w:val="center"/>
            <w:hideMark/>
          </w:tcPr>
          <w:p w14:paraId="6C14DA72" w14:textId="77777777" w:rsidR="00C12218" w:rsidRPr="00673C1F" w:rsidRDefault="00C12218" w:rsidP="00C12218">
            <w:pPr>
              <w:spacing w:before="0" w:after="0" w:line="240" w:lineRule="auto"/>
              <w:jc w:val="right"/>
              <w:rPr>
                <w:rFonts w:ascii="Arial" w:hAnsi="Arial" w:cs="Arial"/>
                <w:b/>
                <w:bCs/>
                <w:sz w:val="16"/>
                <w:szCs w:val="16"/>
              </w:rPr>
            </w:pPr>
          </w:p>
        </w:tc>
        <w:tc>
          <w:tcPr>
            <w:tcW w:w="484" w:type="pct"/>
            <w:tcBorders>
              <w:top w:val="nil"/>
              <w:left w:val="nil"/>
              <w:bottom w:val="nil"/>
              <w:right w:val="nil"/>
            </w:tcBorders>
            <w:shd w:val="clear" w:color="auto" w:fill="auto"/>
            <w:noWrap/>
            <w:vAlign w:val="center"/>
            <w:hideMark/>
          </w:tcPr>
          <w:p w14:paraId="770D3841" w14:textId="77777777" w:rsidR="00C12218" w:rsidRPr="00673C1F" w:rsidRDefault="00C12218" w:rsidP="00C12218">
            <w:pPr>
              <w:spacing w:before="0" w:after="0" w:line="240" w:lineRule="auto"/>
              <w:jc w:val="right"/>
              <w:rPr>
                <w:rFonts w:ascii="Times New Roman" w:hAnsi="Times New Roman"/>
                <w:sz w:val="20"/>
              </w:rPr>
            </w:pPr>
          </w:p>
        </w:tc>
        <w:tc>
          <w:tcPr>
            <w:tcW w:w="484" w:type="pct"/>
            <w:tcBorders>
              <w:top w:val="nil"/>
              <w:left w:val="nil"/>
              <w:bottom w:val="nil"/>
              <w:right w:val="nil"/>
            </w:tcBorders>
            <w:shd w:val="clear" w:color="000000" w:fill="E6F2FF"/>
            <w:noWrap/>
            <w:vAlign w:val="center"/>
            <w:hideMark/>
          </w:tcPr>
          <w:p w14:paraId="513404BB" w14:textId="77777777" w:rsidR="00C12218" w:rsidRPr="00673C1F" w:rsidRDefault="00C12218" w:rsidP="00C12218">
            <w:pPr>
              <w:spacing w:before="0" w:after="0" w:line="240" w:lineRule="auto"/>
              <w:jc w:val="right"/>
              <w:rPr>
                <w:rFonts w:ascii="Arial" w:hAnsi="Arial" w:cs="Arial"/>
                <w:sz w:val="16"/>
                <w:szCs w:val="16"/>
              </w:rPr>
            </w:pPr>
            <w:r w:rsidRPr="00673C1F">
              <w:rPr>
                <w:rFonts w:ascii="Arial" w:hAnsi="Arial" w:cs="Arial"/>
                <w:sz w:val="16"/>
                <w:szCs w:val="16"/>
              </w:rPr>
              <w:t> </w:t>
            </w:r>
          </w:p>
        </w:tc>
        <w:tc>
          <w:tcPr>
            <w:tcW w:w="484" w:type="pct"/>
            <w:tcBorders>
              <w:top w:val="nil"/>
              <w:left w:val="nil"/>
              <w:bottom w:val="nil"/>
              <w:right w:val="nil"/>
            </w:tcBorders>
            <w:shd w:val="clear" w:color="auto" w:fill="auto"/>
            <w:noWrap/>
            <w:vAlign w:val="center"/>
            <w:hideMark/>
          </w:tcPr>
          <w:p w14:paraId="53A66228" w14:textId="77777777" w:rsidR="00C12218" w:rsidRPr="00673C1F" w:rsidRDefault="00C12218" w:rsidP="00C12218">
            <w:pPr>
              <w:spacing w:before="0"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center"/>
            <w:hideMark/>
          </w:tcPr>
          <w:p w14:paraId="31108BC6" w14:textId="77777777" w:rsidR="00C12218" w:rsidRPr="00673C1F" w:rsidRDefault="00C12218" w:rsidP="00C12218">
            <w:pPr>
              <w:spacing w:before="0" w:after="0" w:line="240" w:lineRule="auto"/>
              <w:rPr>
                <w:rFonts w:ascii="Times New Roman" w:hAnsi="Times New Roman"/>
                <w:sz w:val="20"/>
              </w:rPr>
            </w:pPr>
          </w:p>
        </w:tc>
        <w:tc>
          <w:tcPr>
            <w:tcW w:w="484" w:type="pct"/>
            <w:tcBorders>
              <w:top w:val="nil"/>
              <w:left w:val="nil"/>
              <w:bottom w:val="nil"/>
              <w:right w:val="nil"/>
            </w:tcBorders>
            <w:shd w:val="clear" w:color="auto" w:fill="auto"/>
            <w:noWrap/>
            <w:vAlign w:val="center"/>
            <w:hideMark/>
          </w:tcPr>
          <w:p w14:paraId="62CEEC57" w14:textId="77777777" w:rsidR="00C12218" w:rsidRPr="00673C1F" w:rsidRDefault="00C12218" w:rsidP="00C12218">
            <w:pPr>
              <w:spacing w:before="0" w:after="0" w:line="240" w:lineRule="auto"/>
              <w:rPr>
                <w:rFonts w:ascii="Times New Roman" w:hAnsi="Times New Roman"/>
                <w:sz w:val="20"/>
              </w:rPr>
            </w:pPr>
          </w:p>
        </w:tc>
        <w:tc>
          <w:tcPr>
            <w:tcW w:w="53" w:type="pct"/>
            <w:tcBorders>
              <w:top w:val="nil"/>
              <w:left w:val="nil"/>
              <w:bottom w:val="nil"/>
              <w:right w:val="nil"/>
            </w:tcBorders>
            <w:shd w:val="clear" w:color="auto" w:fill="auto"/>
            <w:noWrap/>
            <w:vAlign w:val="center"/>
            <w:hideMark/>
          </w:tcPr>
          <w:p w14:paraId="374DB566" w14:textId="77777777" w:rsidR="00C12218" w:rsidRPr="00673C1F" w:rsidRDefault="00C12218" w:rsidP="00C12218">
            <w:pPr>
              <w:spacing w:before="0" w:after="0" w:line="240" w:lineRule="auto"/>
              <w:rPr>
                <w:rFonts w:ascii="Times New Roman" w:hAnsi="Times New Roman"/>
                <w:sz w:val="20"/>
              </w:rPr>
            </w:pPr>
          </w:p>
        </w:tc>
        <w:tc>
          <w:tcPr>
            <w:tcW w:w="508" w:type="pct"/>
            <w:tcBorders>
              <w:top w:val="nil"/>
              <w:left w:val="nil"/>
              <w:bottom w:val="nil"/>
              <w:right w:val="nil"/>
            </w:tcBorders>
            <w:shd w:val="clear" w:color="auto" w:fill="auto"/>
            <w:noWrap/>
            <w:vAlign w:val="center"/>
            <w:hideMark/>
          </w:tcPr>
          <w:p w14:paraId="3B34E432" w14:textId="77777777" w:rsidR="00C12218" w:rsidRPr="00673C1F" w:rsidRDefault="00C12218" w:rsidP="00C12218">
            <w:pPr>
              <w:spacing w:before="0" w:after="0" w:line="240" w:lineRule="auto"/>
              <w:rPr>
                <w:rFonts w:ascii="Times New Roman" w:hAnsi="Times New Roman"/>
                <w:sz w:val="20"/>
              </w:rPr>
            </w:pPr>
          </w:p>
        </w:tc>
      </w:tr>
      <w:tr w:rsidR="00CB0FFB" w:rsidRPr="00673C1F" w14:paraId="447C33B6" w14:textId="77777777" w:rsidTr="00C12218">
        <w:trPr>
          <w:trHeight w:hRule="exact" w:val="225"/>
        </w:trPr>
        <w:tc>
          <w:tcPr>
            <w:tcW w:w="2018" w:type="pct"/>
            <w:tcBorders>
              <w:top w:val="nil"/>
              <w:left w:val="nil"/>
              <w:bottom w:val="nil"/>
              <w:right w:val="nil"/>
            </w:tcBorders>
            <w:shd w:val="clear" w:color="auto" w:fill="auto"/>
            <w:vAlign w:val="center"/>
            <w:hideMark/>
          </w:tcPr>
          <w:p w14:paraId="1890343D" w14:textId="5F5269A0" w:rsidR="00C12218" w:rsidRPr="00673C1F" w:rsidRDefault="00C12218" w:rsidP="00C12218">
            <w:pPr>
              <w:spacing w:before="0" w:after="0" w:line="240" w:lineRule="auto"/>
              <w:rPr>
                <w:rFonts w:ascii="Arial" w:hAnsi="Arial" w:cs="Arial"/>
                <w:b/>
                <w:bCs/>
                <w:sz w:val="16"/>
                <w:szCs w:val="16"/>
              </w:rPr>
            </w:pPr>
            <w:r w:rsidRPr="00673C1F">
              <w:rPr>
                <w:rFonts w:ascii="Arial" w:hAnsi="Arial" w:cs="Arial"/>
                <w:b/>
                <w:bCs/>
                <w:sz w:val="16"/>
                <w:szCs w:val="16"/>
              </w:rPr>
              <w:t>Changes from 2023</w:t>
            </w:r>
            <w:r w:rsidR="006D727E" w:rsidRPr="00673C1F">
              <w:rPr>
                <w:rFonts w:ascii="Arial" w:hAnsi="Arial" w:cs="Arial"/>
                <w:b/>
                <w:bCs/>
                <w:sz w:val="16"/>
                <w:szCs w:val="16"/>
              </w:rPr>
              <w:noBreakHyphen/>
            </w:r>
            <w:r w:rsidRPr="00673C1F">
              <w:rPr>
                <w:rFonts w:ascii="Arial" w:hAnsi="Arial" w:cs="Arial"/>
                <w:b/>
                <w:bCs/>
                <w:sz w:val="16"/>
                <w:szCs w:val="16"/>
              </w:rPr>
              <w:t>24 Budget</w:t>
            </w:r>
          </w:p>
        </w:tc>
        <w:tc>
          <w:tcPr>
            <w:tcW w:w="484" w:type="pct"/>
            <w:tcBorders>
              <w:top w:val="nil"/>
              <w:left w:val="nil"/>
              <w:bottom w:val="nil"/>
              <w:right w:val="nil"/>
            </w:tcBorders>
            <w:shd w:val="clear" w:color="auto" w:fill="auto"/>
            <w:noWrap/>
            <w:vAlign w:val="center"/>
            <w:hideMark/>
          </w:tcPr>
          <w:p w14:paraId="6F30D7F5" w14:textId="77777777" w:rsidR="00C12218" w:rsidRPr="00673C1F" w:rsidRDefault="00C12218" w:rsidP="00C12218">
            <w:pPr>
              <w:spacing w:before="0" w:after="0" w:line="240" w:lineRule="auto"/>
              <w:rPr>
                <w:rFonts w:ascii="Arial" w:hAnsi="Arial" w:cs="Arial"/>
                <w:b/>
                <w:bCs/>
                <w:sz w:val="16"/>
                <w:szCs w:val="16"/>
              </w:rPr>
            </w:pPr>
          </w:p>
        </w:tc>
        <w:tc>
          <w:tcPr>
            <w:tcW w:w="484" w:type="pct"/>
            <w:tcBorders>
              <w:top w:val="nil"/>
              <w:left w:val="nil"/>
              <w:bottom w:val="nil"/>
              <w:right w:val="nil"/>
            </w:tcBorders>
            <w:shd w:val="clear" w:color="000000" w:fill="E6F2FF"/>
            <w:noWrap/>
            <w:vAlign w:val="center"/>
            <w:hideMark/>
          </w:tcPr>
          <w:p w14:paraId="3FD9BD00" w14:textId="77777777" w:rsidR="00C12218" w:rsidRPr="00673C1F" w:rsidRDefault="00C12218" w:rsidP="00C12218">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484" w:type="pct"/>
            <w:tcBorders>
              <w:top w:val="nil"/>
              <w:left w:val="nil"/>
              <w:bottom w:val="nil"/>
              <w:right w:val="nil"/>
            </w:tcBorders>
            <w:shd w:val="clear" w:color="auto" w:fill="auto"/>
            <w:noWrap/>
            <w:vAlign w:val="center"/>
            <w:hideMark/>
          </w:tcPr>
          <w:p w14:paraId="1F349187" w14:textId="77777777" w:rsidR="00C12218" w:rsidRPr="00673C1F" w:rsidRDefault="00C12218" w:rsidP="00C12218">
            <w:pPr>
              <w:spacing w:before="0" w:after="0" w:line="240" w:lineRule="auto"/>
              <w:jc w:val="right"/>
              <w:rPr>
                <w:rFonts w:ascii="Arial" w:hAnsi="Arial" w:cs="Arial"/>
                <w:b/>
                <w:bCs/>
                <w:sz w:val="16"/>
                <w:szCs w:val="16"/>
              </w:rPr>
            </w:pPr>
          </w:p>
        </w:tc>
        <w:tc>
          <w:tcPr>
            <w:tcW w:w="484" w:type="pct"/>
            <w:tcBorders>
              <w:top w:val="nil"/>
              <w:left w:val="nil"/>
              <w:bottom w:val="nil"/>
              <w:right w:val="nil"/>
            </w:tcBorders>
            <w:shd w:val="clear" w:color="auto" w:fill="auto"/>
            <w:noWrap/>
            <w:vAlign w:val="center"/>
            <w:hideMark/>
          </w:tcPr>
          <w:p w14:paraId="3EBFAA6E" w14:textId="77777777" w:rsidR="00C12218" w:rsidRPr="00673C1F" w:rsidRDefault="00C12218" w:rsidP="00C12218">
            <w:pPr>
              <w:spacing w:before="0" w:after="0" w:line="240" w:lineRule="auto"/>
              <w:rPr>
                <w:rFonts w:ascii="Times New Roman" w:hAnsi="Times New Roman"/>
                <w:sz w:val="20"/>
              </w:rPr>
            </w:pPr>
          </w:p>
        </w:tc>
        <w:tc>
          <w:tcPr>
            <w:tcW w:w="484" w:type="pct"/>
            <w:tcBorders>
              <w:top w:val="nil"/>
              <w:left w:val="nil"/>
              <w:bottom w:val="nil"/>
              <w:right w:val="nil"/>
            </w:tcBorders>
            <w:shd w:val="clear" w:color="auto" w:fill="auto"/>
            <w:noWrap/>
            <w:vAlign w:val="center"/>
            <w:hideMark/>
          </w:tcPr>
          <w:p w14:paraId="59FA1540" w14:textId="77777777" w:rsidR="00C12218" w:rsidRPr="00673C1F" w:rsidRDefault="00C12218" w:rsidP="00C12218">
            <w:pPr>
              <w:spacing w:before="0" w:after="0" w:line="240" w:lineRule="auto"/>
              <w:rPr>
                <w:rFonts w:ascii="Times New Roman" w:hAnsi="Times New Roman"/>
                <w:sz w:val="20"/>
              </w:rPr>
            </w:pPr>
          </w:p>
        </w:tc>
        <w:tc>
          <w:tcPr>
            <w:tcW w:w="53" w:type="pct"/>
            <w:tcBorders>
              <w:top w:val="nil"/>
              <w:left w:val="nil"/>
              <w:bottom w:val="nil"/>
              <w:right w:val="nil"/>
            </w:tcBorders>
            <w:shd w:val="clear" w:color="auto" w:fill="auto"/>
            <w:noWrap/>
            <w:vAlign w:val="center"/>
            <w:hideMark/>
          </w:tcPr>
          <w:p w14:paraId="6A0E298A" w14:textId="77777777" w:rsidR="00C12218" w:rsidRPr="00673C1F" w:rsidRDefault="00C12218" w:rsidP="00C12218">
            <w:pPr>
              <w:spacing w:before="0" w:after="0" w:line="240" w:lineRule="auto"/>
              <w:rPr>
                <w:rFonts w:ascii="Times New Roman" w:hAnsi="Times New Roman"/>
                <w:sz w:val="20"/>
              </w:rPr>
            </w:pPr>
          </w:p>
        </w:tc>
        <w:tc>
          <w:tcPr>
            <w:tcW w:w="508" w:type="pct"/>
            <w:tcBorders>
              <w:top w:val="nil"/>
              <w:left w:val="nil"/>
              <w:bottom w:val="nil"/>
              <w:right w:val="nil"/>
            </w:tcBorders>
            <w:shd w:val="clear" w:color="auto" w:fill="auto"/>
            <w:noWrap/>
            <w:vAlign w:val="center"/>
            <w:hideMark/>
          </w:tcPr>
          <w:p w14:paraId="3C5C858D" w14:textId="77777777" w:rsidR="00C12218" w:rsidRPr="00673C1F" w:rsidRDefault="00C12218" w:rsidP="00C12218">
            <w:pPr>
              <w:spacing w:before="0" w:after="0" w:line="240" w:lineRule="auto"/>
              <w:rPr>
                <w:rFonts w:ascii="Times New Roman" w:hAnsi="Times New Roman"/>
                <w:sz w:val="20"/>
              </w:rPr>
            </w:pPr>
          </w:p>
        </w:tc>
      </w:tr>
      <w:tr w:rsidR="00CB0FFB" w:rsidRPr="00673C1F" w14:paraId="0F04A4E4" w14:textId="77777777" w:rsidTr="00C12218">
        <w:trPr>
          <w:trHeight w:hRule="exact" w:val="225"/>
        </w:trPr>
        <w:tc>
          <w:tcPr>
            <w:tcW w:w="2018" w:type="pct"/>
            <w:tcBorders>
              <w:top w:val="nil"/>
              <w:left w:val="nil"/>
              <w:bottom w:val="nil"/>
              <w:right w:val="nil"/>
            </w:tcBorders>
            <w:shd w:val="clear" w:color="auto" w:fill="auto"/>
            <w:vAlign w:val="center"/>
            <w:hideMark/>
          </w:tcPr>
          <w:p w14:paraId="6BD89D83" w14:textId="768DDCD8" w:rsidR="00C12218" w:rsidRPr="00673C1F" w:rsidRDefault="00C12218" w:rsidP="00C12218">
            <w:pPr>
              <w:spacing w:before="0" w:after="0" w:line="240" w:lineRule="auto"/>
              <w:ind w:left="170"/>
              <w:rPr>
                <w:rFonts w:ascii="Arial" w:hAnsi="Arial" w:cs="Arial"/>
                <w:b/>
                <w:bCs/>
                <w:sz w:val="16"/>
                <w:szCs w:val="16"/>
              </w:rPr>
            </w:pPr>
            <w:r w:rsidRPr="00673C1F">
              <w:rPr>
                <w:rFonts w:ascii="Arial" w:hAnsi="Arial" w:cs="Arial"/>
                <w:b/>
                <w:bCs/>
                <w:sz w:val="16"/>
                <w:szCs w:val="16"/>
              </w:rPr>
              <w:t>to 2023</w:t>
            </w:r>
            <w:r w:rsidR="006D727E" w:rsidRPr="00673C1F">
              <w:rPr>
                <w:rFonts w:ascii="Arial" w:hAnsi="Arial" w:cs="Arial"/>
                <w:b/>
                <w:bCs/>
                <w:sz w:val="16"/>
                <w:szCs w:val="16"/>
              </w:rPr>
              <w:noBreakHyphen/>
            </w:r>
            <w:r w:rsidRPr="00673C1F">
              <w:rPr>
                <w:rFonts w:ascii="Arial" w:hAnsi="Arial" w:cs="Arial"/>
                <w:b/>
                <w:bCs/>
                <w:sz w:val="16"/>
                <w:szCs w:val="16"/>
              </w:rPr>
              <w:t>24 MYEFO</w:t>
            </w:r>
          </w:p>
        </w:tc>
        <w:tc>
          <w:tcPr>
            <w:tcW w:w="484" w:type="pct"/>
            <w:tcBorders>
              <w:top w:val="nil"/>
              <w:left w:val="nil"/>
              <w:bottom w:val="nil"/>
              <w:right w:val="nil"/>
            </w:tcBorders>
            <w:shd w:val="clear" w:color="auto" w:fill="auto"/>
            <w:noWrap/>
            <w:vAlign w:val="center"/>
            <w:hideMark/>
          </w:tcPr>
          <w:p w14:paraId="701FA6F8" w14:textId="77777777" w:rsidR="00C12218" w:rsidRPr="00673C1F" w:rsidRDefault="00C12218" w:rsidP="00C12218">
            <w:pPr>
              <w:spacing w:before="0" w:after="0" w:line="240" w:lineRule="auto"/>
              <w:ind w:firstLineChars="100" w:firstLine="161"/>
              <w:rPr>
                <w:rFonts w:ascii="Arial" w:hAnsi="Arial" w:cs="Arial"/>
                <w:b/>
                <w:bCs/>
                <w:sz w:val="16"/>
                <w:szCs w:val="16"/>
              </w:rPr>
            </w:pPr>
          </w:p>
        </w:tc>
        <w:tc>
          <w:tcPr>
            <w:tcW w:w="484" w:type="pct"/>
            <w:tcBorders>
              <w:top w:val="nil"/>
              <w:left w:val="nil"/>
              <w:bottom w:val="nil"/>
              <w:right w:val="nil"/>
            </w:tcBorders>
            <w:shd w:val="clear" w:color="000000" w:fill="E6F2FF"/>
            <w:noWrap/>
            <w:vAlign w:val="center"/>
            <w:hideMark/>
          </w:tcPr>
          <w:p w14:paraId="09556604" w14:textId="77777777" w:rsidR="00C12218" w:rsidRPr="00673C1F" w:rsidRDefault="00C12218" w:rsidP="00C12218">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484" w:type="pct"/>
            <w:tcBorders>
              <w:top w:val="nil"/>
              <w:left w:val="nil"/>
              <w:bottom w:val="nil"/>
              <w:right w:val="nil"/>
            </w:tcBorders>
            <w:shd w:val="clear" w:color="auto" w:fill="auto"/>
            <w:noWrap/>
            <w:vAlign w:val="center"/>
            <w:hideMark/>
          </w:tcPr>
          <w:p w14:paraId="2C376CEA" w14:textId="77777777" w:rsidR="00C12218" w:rsidRPr="00673C1F" w:rsidRDefault="00C12218" w:rsidP="00C12218">
            <w:pPr>
              <w:spacing w:before="0" w:after="0" w:line="240" w:lineRule="auto"/>
              <w:jc w:val="right"/>
              <w:rPr>
                <w:rFonts w:ascii="Arial" w:hAnsi="Arial" w:cs="Arial"/>
                <w:b/>
                <w:bCs/>
                <w:sz w:val="16"/>
                <w:szCs w:val="16"/>
              </w:rPr>
            </w:pPr>
          </w:p>
        </w:tc>
        <w:tc>
          <w:tcPr>
            <w:tcW w:w="484" w:type="pct"/>
            <w:tcBorders>
              <w:top w:val="nil"/>
              <w:left w:val="nil"/>
              <w:bottom w:val="nil"/>
              <w:right w:val="nil"/>
            </w:tcBorders>
            <w:shd w:val="clear" w:color="auto" w:fill="auto"/>
            <w:noWrap/>
            <w:vAlign w:val="center"/>
            <w:hideMark/>
          </w:tcPr>
          <w:p w14:paraId="655A0F18" w14:textId="77777777" w:rsidR="00C12218" w:rsidRPr="00673C1F" w:rsidRDefault="00C12218" w:rsidP="00C12218">
            <w:pPr>
              <w:spacing w:before="0" w:after="0" w:line="240" w:lineRule="auto"/>
              <w:rPr>
                <w:rFonts w:ascii="Times New Roman" w:hAnsi="Times New Roman"/>
                <w:sz w:val="20"/>
              </w:rPr>
            </w:pPr>
          </w:p>
        </w:tc>
        <w:tc>
          <w:tcPr>
            <w:tcW w:w="484" w:type="pct"/>
            <w:tcBorders>
              <w:top w:val="nil"/>
              <w:left w:val="nil"/>
              <w:bottom w:val="nil"/>
              <w:right w:val="nil"/>
            </w:tcBorders>
            <w:shd w:val="clear" w:color="auto" w:fill="auto"/>
            <w:noWrap/>
            <w:vAlign w:val="center"/>
            <w:hideMark/>
          </w:tcPr>
          <w:p w14:paraId="4B01ED80" w14:textId="77777777" w:rsidR="00C12218" w:rsidRPr="00673C1F" w:rsidRDefault="00C12218" w:rsidP="00C12218">
            <w:pPr>
              <w:spacing w:before="0" w:after="0" w:line="240" w:lineRule="auto"/>
              <w:rPr>
                <w:rFonts w:ascii="Times New Roman" w:hAnsi="Times New Roman"/>
                <w:sz w:val="20"/>
              </w:rPr>
            </w:pPr>
          </w:p>
        </w:tc>
        <w:tc>
          <w:tcPr>
            <w:tcW w:w="53" w:type="pct"/>
            <w:tcBorders>
              <w:top w:val="nil"/>
              <w:left w:val="nil"/>
              <w:bottom w:val="nil"/>
              <w:right w:val="nil"/>
            </w:tcBorders>
            <w:shd w:val="clear" w:color="auto" w:fill="auto"/>
            <w:noWrap/>
            <w:vAlign w:val="center"/>
            <w:hideMark/>
          </w:tcPr>
          <w:p w14:paraId="240122EA" w14:textId="77777777" w:rsidR="00C12218" w:rsidRPr="00673C1F" w:rsidRDefault="00C12218" w:rsidP="00C12218">
            <w:pPr>
              <w:spacing w:before="0" w:after="0" w:line="240" w:lineRule="auto"/>
              <w:rPr>
                <w:rFonts w:ascii="Times New Roman" w:hAnsi="Times New Roman"/>
                <w:sz w:val="20"/>
              </w:rPr>
            </w:pPr>
          </w:p>
        </w:tc>
        <w:tc>
          <w:tcPr>
            <w:tcW w:w="508" w:type="pct"/>
            <w:tcBorders>
              <w:top w:val="nil"/>
              <w:left w:val="nil"/>
              <w:bottom w:val="nil"/>
              <w:right w:val="nil"/>
            </w:tcBorders>
            <w:shd w:val="clear" w:color="auto" w:fill="auto"/>
            <w:noWrap/>
            <w:vAlign w:val="center"/>
            <w:hideMark/>
          </w:tcPr>
          <w:p w14:paraId="5AA5358F" w14:textId="77777777" w:rsidR="00C12218" w:rsidRPr="00673C1F" w:rsidRDefault="00C12218" w:rsidP="00C12218">
            <w:pPr>
              <w:spacing w:before="0" w:after="0" w:line="240" w:lineRule="auto"/>
              <w:rPr>
                <w:rFonts w:ascii="Times New Roman" w:hAnsi="Times New Roman"/>
                <w:sz w:val="20"/>
              </w:rPr>
            </w:pPr>
          </w:p>
        </w:tc>
      </w:tr>
      <w:tr w:rsidR="00CB0FFB" w:rsidRPr="00673C1F" w14:paraId="2095DBF2" w14:textId="77777777" w:rsidTr="00C12218">
        <w:trPr>
          <w:trHeight w:hRule="exact" w:val="225"/>
        </w:trPr>
        <w:tc>
          <w:tcPr>
            <w:tcW w:w="2018" w:type="pct"/>
            <w:tcBorders>
              <w:top w:val="nil"/>
              <w:left w:val="nil"/>
              <w:bottom w:val="nil"/>
              <w:right w:val="nil"/>
            </w:tcBorders>
            <w:shd w:val="clear" w:color="auto" w:fill="auto"/>
            <w:vAlign w:val="center"/>
            <w:hideMark/>
          </w:tcPr>
          <w:p w14:paraId="40366E8F" w14:textId="77777777" w:rsidR="00C12218" w:rsidRPr="00673C1F" w:rsidRDefault="00C12218" w:rsidP="00C12218">
            <w:pPr>
              <w:spacing w:before="0" w:after="0" w:line="240" w:lineRule="auto"/>
              <w:rPr>
                <w:rFonts w:ascii="Arial" w:hAnsi="Arial" w:cs="Arial"/>
                <w:sz w:val="16"/>
                <w:szCs w:val="16"/>
              </w:rPr>
            </w:pPr>
            <w:r w:rsidRPr="00673C1F">
              <w:rPr>
                <w:rFonts w:ascii="Arial" w:hAnsi="Arial" w:cs="Arial"/>
                <w:sz w:val="16"/>
                <w:szCs w:val="16"/>
              </w:rPr>
              <w:t>Effect of policy decisions </w:t>
            </w:r>
          </w:p>
        </w:tc>
        <w:tc>
          <w:tcPr>
            <w:tcW w:w="484" w:type="pct"/>
            <w:tcBorders>
              <w:top w:val="nil"/>
              <w:left w:val="nil"/>
              <w:bottom w:val="nil"/>
              <w:right w:val="nil"/>
            </w:tcBorders>
            <w:shd w:val="clear" w:color="auto" w:fill="auto"/>
            <w:noWrap/>
            <w:vAlign w:val="center"/>
            <w:hideMark/>
          </w:tcPr>
          <w:p w14:paraId="033C327A" w14:textId="2CC7EA32" w:rsidR="00C12218" w:rsidRPr="00673C1F" w:rsidRDefault="006D727E" w:rsidP="00C12218">
            <w:pPr>
              <w:spacing w:before="0" w:after="0" w:line="240" w:lineRule="auto"/>
              <w:jc w:val="right"/>
              <w:rPr>
                <w:rFonts w:ascii="Arial" w:hAnsi="Arial" w:cs="Arial"/>
                <w:sz w:val="16"/>
                <w:szCs w:val="16"/>
              </w:rPr>
            </w:pPr>
            <w:r w:rsidRPr="00673C1F">
              <w:rPr>
                <w:rFonts w:ascii="Arial" w:hAnsi="Arial" w:cs="Arial"/>
                <w:sz w:val="16"/>
                <w:szCs w:val="16"/>
              </w:rPr>
              <w:noBreakHyphen/>
            </w:r>
            <w:r w:rsidR="00C12218" w:rsidRPr="00673C1F">
              <w:rPr>
                <w:rFonts w:ascii="Arial" w:hAnsi="Arial" w:cs="Arial"/>
                <w:sz w:val="16"/>
                <w:szCs w:val="16"/>
              </w:rPr>
              <w:t>7</w:t>
            </w:r>
          </w:p>
        </w:tc>
        <w:tc>
          <w:tcPr>
            <w:tcW w:w="484" w:type="pct"/>
            <w:tcBorders>
              <w:top w:val="nil"/>
              <w:left w:val="nil"/>
              <w:bottom w:val="nil"/>
              <w:right w:val="nil"/>
            </w:tcBorders>
            <w:shd w:val="clear" w:color="000000" w:fill="E6F2FF"/>
            <w:noWrap/>
            <w:vAlign w:val="center"/>
            <w:hideMark/>
          </w:tcPr>
          <w:p w14:paraId="37693395" w14:textId="4C5C53FE" w:rsidR="00C12218" w:rsidRPr="00673C1F" w:rsidRDefault="006D727E" w:rsidP="00C12218">
            <w:pPr>
              <w:spacing w:before="0" w:after="0" w:line="240" w:lineRule="auto"/>
              <w:jc w:val="right"/>
              <w:rPr>
                <w:rFonts w:ascii="Arial" w:hAnsi="Arial" w:cs="Arial"/>
                <w:sz w:val="16"/>
                <w:szCs w:val="16"/>
              </w:rPr>
            </w:pPr>
            <w:r w:rsidRPr="00673C1F">
              <w:rPr>
                <w:rFonts w:ascii="Arial" w:hAnsi="Arial" w:cs="Arial"/>
                <w:sz w:val="16"/>
                <w:szCs w:val="16"/>
              </w:rPr>
              <w:noBreakHyphen/>
            </w:r>
            <w:r w:rsidR="00C12218" w:rsidRPr="00673C1F">
              <w:rPr>
                <w:rFonts w:ascii="Arial" w:hAnsi="Arial" w:cs="Arial"/>
                <w:sz w:val="16"/>
                <w:szCs w:val="16"/>
              </w:rPr>
              <w:t>644</w:t>
            </w:r>
          </w:p>
        </w:tc>
        <w:tc>
          <w:tcPr>
            <w:tcW w:w="484" w:type="pct"/>
            <w:tcBorders>
              <w:top w:val="nil"/>
              <w:left w:val="nil"/>
              <w:bottom w:val="nil"/>
              <w:right w:val="nil"/>
            </w:tcBorders>
            <w:shd w:val="clear" w:color="auto" w:fill="auto"/>
            <w:noWrap/>
            <w:vAlign w:val="center"/>
            <w:hideMark/>
          </w:tcPr>
          <w:p w14:paraId="59ECBCFD" w14:textId="178EA602" w:rsidR="00C12218" w:rsidRPr="00673C1F" w:rsidRDefault="006D727E" w:rsidP="00C12218">
            <w:pPr>
              <w:spacing w:before="0" w:after="0" w:line="240" w:lineRule="auto"/>
              <w:jc w:val="right"/>
              <w:rPr>
                <w:rFonts w:ascii="Arial" w:hAnsi="Arial" w:cs="Arial"/>
                <w:sz w:val="16"/>
                <w:szCs w:val="16"/>
              </w:rPr>
            </w:pPr>
            <w:r w:rsidRPr="00673C1F">
              <w:rPr>
                <w:rFonts w:ascii="Arial" w:hAnsi="Arial" w:cs="Arial"/>
                <w:sz w:val="16"/>
                <w:szCs w:val="16"/>
              </w:rPr>
              <w:noBreakHyphen/>
            </w:r>
            <w:r w:rsidR="00C12218" w:rsidRPr="00673C1F">
              <w:rPr>
                <w:rFonts w:ascii="Arial" w:hAnsi="Arial" w:cs="Arial"/>
                <w:sz w:val="16"/>
                <w:szCs w:val="16"/>
              </w:rPr>
              <w:t>902</w:t>
            </w:r>
          </w:p>
        </w:tc>
        <w:tc>
          <w:tcPr>
            <w:tcW w:w="484" w:type="pct"/>
            <w:tcBorders>
              <w:top w:val="nil"/>
              <w:left w:val="nil"/>
              <w:bottom w:val="nil"/>
              <w:right w:val="nil"/>
            </w:tcBorders>
            <w:shd w:val="clear" w:color="auto" w:fill="auto"/>
            <w:noWrap/>
            <w:vAlign w:val="center"/>
            <w:hideMark/>
          </w:tcPr>
          <w:p w14:paraId="6A1B08EE" w14:textId="0A63E423" w:rsidR="00C12218" w:rsidRPr="00673C1F" w:rsidRDefault="006D727E" w:rsidP="00C12218">
            <w:pPr>
              <w:spacing w:before="0" w:after="0" w:line="240" w:lineRule="auto"/>
              <w:jc w:val="right"/>
              <w:rPr>
                <w:rFonts w:ascii="Arial" w:hAnsi="Arial" w:cs="Arial"/>
                <w:sz w:val="16"/>
                <w:szCs w:val="16"/>
              </w:rPr>
            </w:pPr>
            <w:r w:rsidRPr="00673C1F">
              <w:rPr>
                <w:rFonts w:ascii="Arial" w:hAnsi="Arial" w:cs="Arial"/>
                <w:sz w:val="16"/>
                <w:szCs w:val="16"/>
              </w:rPr>
              <w:noBreakHyphen/>
            </w:r>
            <w:r w:rsidR="00C12218" w:rsidRPr="00673C1F">
              <w:rPr>
                <w:rFonts w:ascii="Arial" w:hAnsi="Arial" w:cs="Arial"/>
                <w:sz w:val="16"/>
                <w:szCs w:val="16"/>
              </w:rPr>
              <w:t>665</w:t>
            </w:r>
          </w:p>
        </w:tc>
        <w:tc>
          <w:tcPr>
            <w:tcW w:w="484" w:type="pct"/>
            <w:tcBorders>
              <w:top w:val="nil"/>
              <w:left w:val="nil"/>
              <w:bottom w:val="nil"/>
              <w:right w:val="nil"/>
            </w:tcBorders>
            <w:shd w:val="clear" w:color="auto" w:fill="auto"/>
            <w:noWrap/>
            <w:vAlign w:val="center"/>
            <w:hideMark/>
          </w:tcPr>
          <w:p w14:paraId="2A327631" w14:textId="77777777" w:rsidR="00C12218" w:rsidRPr="00673C1F" w:rsidRDefault="00C12218" w:rsidP="00C12218">
            <w:pPr>
              <w:spacing w:before="0" w:after="0" w:line="240" w:lineRule="auto"/>
              <w:jc w:val="right"/>
              <w:rPr>
                <w:rFonts w:ascii="Arial" w:hAnsi="Arial" w:cs="Arial"/>
                <w:sz w:val="16"/>
                <w:szCs w:val="16"/>
              </w:rPr>
            </w:pPr>
            <w:r w:rsidRPr="00673C1F">
              <w:rPr>
                <w:rFonts w:ascii="Arial" w:hAnsi="Arial" w:cs="Arial"/>
                <w:sz w:val="16"/>
                <w:szCs w:val="16"/>
              </w:rPr>
              <w:t>*</w:t>
            </w:r>
          </w:p>
        </w:tc>
        <w:tc>
          <w:tcPr>
            <w:tcW w:w="53" w:type="pct"/>
            <w:tcBorders>
              <w:top w:val="nil"/>
              <w:left w:val="nil"/>
              <w:bottom w:val="nil"/>
              <w:right w:val="nil"/>
            </w:tcBorders>
            <w:shd w:val="clear" w:color="auto" w:fill="auto"/>
            <w:noWrap/>
            <w:vAlign w:val="center"/>
            <w:hideMark/>
          </w:tcPr>
          <w:p w14:paraId="6CED0692" w14:textId="77777777" w:rsidR="00C12218" w:rsidRPr="00673C1F" w:rsidRDefault="00C12218" w:rsidP="00C12218">
            <w:pPr>
              <w:spacing w:before="0" w:after="0" w:line="240" w:lineRule="auto"/>
              <w:jc w:val="right"/>
              <w:rPr>
                <w:rFonts w:ascii="Arial" w:hAnsi="Arial" w:cs="Arial"/>
                <w:sz w:val="16"/>
                <w:szCs w:val="16"/>
              </w:rPr>
            </w:pPr>
          </w:p>
        </w:tc>
        <w:tc>
          <w:tcPr>
            <w:tcW w:w="508" w:type="pct"/>
            <w:tcBorders>
              <w:top w:val="nil"/>
              <w:left w:val="nil"/>
              <w:bottom w:val="nil"/>
              <w:right w:val="nil"/>
            </w:tcBorders>
            <w:shd w:val="clear" w:color="auto" w:fill="auto"/>
            <w:noWrap/>
            <w:vAlign w:val="center"/>
            <w:hideMark/>
          </w:tcPr>
          <w:p w14:paraId="5C2207E6" w14:textId="77777777" w:rsidR="00C12218" w:rsidRPr="00673C1F" w:rsidRDefault="00C12218" w:rsidP="00C12218">
            <w:pPr>
              <w:spacing w:before="0" w:after="0" w:line="240" w:lineRule="auto"/>
              <w:jc w:val="right"/>
              <w:rPr>
                <w:rFonts w:ascii="Arial" w:hAnsi="Arial" w:cs="Arial"/>
                <w:sz w:val="16"/>
                <w:szCs w:val="16"/>
              </w:rPr>
            </w:pPr>
            <w:r w:rsidRPr="00673C1F">
              <w:rPr>
                <w:rFonts w:ascii="Arial" w:hAnsi="Arial" w:cs="Arial"/>
                <w:sz w:val="16"/>
                <w:szCs w:val="16"/>
              </w:rPr>
              <w:t>*</w:t>
            </w:r>
          </w:p>
        </w:tc>
      </w:tr>
      <w:tr w:rsidR="00CB0FFB" w:rsidRPr="00673C1F" w14:paraId="7C171F23" w14:textId="77777777" w:rsidTr="00C12218">
        <w:trPr>
          <w:trHeight w:hRule="exact" w:val="225"/>
        </w:trPr>
        <w:tc>
          <w:tcPr>
            <w:tcW w:w="2018" w:type="pct"/>
            <w:tcBorders>
              <w:top w:val="nil"/>
              <w:left w:val="nil"/>
              <w:bottom w:val="nil"/>
              <w:right w:val="nil"/>
            </w:tcBorders>
            <w:shd w:val="clear" w:color="auto" w:fill="auto"/>
            <w:vAlign w:val="center"/>
            <w:hideMark/>
          </w:tcPr>
          <w:p w14:paraId="3023A124" w14:textId="77777777" w:rsidR="00C12218" w:rsidRPr="00673C1F" w:rsidRDefault="00C12218" w:rsidP="00C12218">
            <w:pPr>
              <w:spacing w:before="0" w:after="0" w:line="240" w:lineRule="auto"/>
              <w:rPr>
                <w:rFonts w:ascii="Arial" w:hAnsi="Arial" w:cs="Arial"/>
                <w:sz w:val="16"/>
                <w:szCs w:val="16"/>
              </w:rPr>
            </w:pPr>
            <w:r w:rsidRPr="00673C1F">
              <w:rPr>
                <w:rFonts w:ascii="Arial" w:hAnsi="Arial" w:cs="Arial"/>
                <w:sz w:val="16"/>
                <w:szCs w:val="16"/>
              </w:rPr>
              <w:t>Effect of parameter and other variations </w:t>
            </w:r>
          </w:p>
        </w:tc>
        <w:tc>
          <w:tcPr>
            <w:tcW w:w="484" w:type="pct"/>
            <w:tcBorders>
              <w:top w:val="nil"/>
              <w:left w:val="nil"/>
              <w:bottom w:val="nil"/>
              <w:right w:val="nil"/>
            </w:tcBorders>
            <w:shd w:val="clear" w:color="auto" w:fill="auto"/>
            <w:noWrap/>
            <w:vAlign w:val="center"/>
            <w:hideMark/>
          </w:tcPr>
          <w:p w14:paraId="61E9ADD4" w14:textId="77777777" w:rsidR="00C12218" w:rsidRPr="00673C1F" w:rsidRDefault="00C12218" w:rsidP="00C12218">
            <w:pPr>
              <w:spacing w:before="0" w:after="0" w:line="240" w:lineRule="auto"/>
              <w:jc w:val="right"/>
              <w:rPr>
                <w:rFonts w:ascii="Arial" w:hAnsi="Arial" w:cs="Arial"/>
                <w:sz w:val="16"/>
                <w:szCs w:val="16"/>
              </w:rPr>
            </w:pPr>
            <w:r w:rsidRPr="00673C1F">
              <w:rPr>
                <w:rFonts w:ascii="Arial" w:hAnsi="Arial" w:cs="Arial"/>
                <w:sz w:val="16"/>
                <w:szCs w:val="16"/>
              </w:rPr>
              <w:t>16,398</w:t>
            </w:r>
          </w:p>
        </w:tc>
        <w:tc>
          <w:tcPr>
            <w:tcW w:w="484" w:type="pct"/>
            <w:tcBorders>
              <w:top w:val="nil"/>
              <w:left w:val="nil"/>
              <w:bottom w:val="nil"/>
              <w:right w:val="nil"/>
            </w:tcBorders>
            <w:shd w:val="clear" w:color="000000" w:fill="E6F2FF"/>
            <w:noWrap/>
            <w:vAlign w:val="center"/>
            <w:hideMark/>
          </w:tcPr>
          <w:p w14:paraId="5CBE905B" w14:textId="77777777" w:rsidR="00C12218" w:rsidRPr="00673C1F" w:rsidRDefault="00C12218" w:rsidP="00C12218">
            <w:pPr>
              <w:spacing w:before="0" w:after="0" w:line="240" w:lineRule="auto"/>
              <w:jc w:val="right"/>
              <w:rPr>
                <w:rFonts w:ascii="Arial" w:hAnsi="Arial" w:cs="Arial"/>
                <w:sz w:val="16"/>
                <w:szCs w:val="16"/>
              </w:rPr>
            </w:pPr>
            <w:r w:rsidRPr="00673C1F">
              <w:rPr>
                <w:rFonts w:ascii="Arial" w:hAnsi="Arial" w:cs="Arial"/>
                <w:sz w:val="16"/>
                <w:szCs w:val="16"/>
              </w:rPr>
              <w:t>19,854</w:t>
            </w:r>
          </w:p>
        </w:tc>
        <w:tc>
          <w:tcPr>
            <w:tcW w:w="484" w:type="pct"/>
            <w:tcBorders>
              <w:top w:val="nil"/>
              <w:left w:val="nil"/>
              <w:bottom w:val="nil"/>
              <w:right w:val="nil"/>
            </w:tcBorders>
            <w:shd w:val="clear" w:color="auto" w:fill="auto"/>
            <w:noWrap/>
            <w:vAlign w:val="center"/>
            <w:hideMark/>
          </w:tcPr>
          <w:p w14:paraId="15B4D3F2" w14:textId="77777777" w:rsidR="00C12218" w:rsidRPr="00673C1F" w:rsidRDefault="00C12218" w:rsidP="00C12218">
            <w:pPr>
              <w:spacing w:before="0" w:after="0" w:line="240" w:lineRule="auto"/>
              <w:jc w:val="right"/>
              <w:rPr>
                <w:rFonts w:ascii="Arial" w:hAnsi="Arial" w:cs="Arial"/>
                <w:sz w:val="16"/>
                <w:szCs w:val="16"/>
              </w:rPr>
            </w:pPr>
            <w:r w:rsidRPr="00673C1F">
              <w:rPr>
                <w:rFonts w:ascii="Arial" w:hAnsi="Arial" w:cs="Arial"/>
                <w:sz w:val="16"/>
                <w:szCs w:val="16"/>
              </w:rPr>
              <w:t>10,378</w:t>
            </w:r>
          </w:p>
        </w:tc>
        <w:tc>
          <w:tcPr>
            <w:tcW w:w="484" w:type="pct"/>
            <w:tcBorders>
              <w:top w:val="nil"/>
              <w:left w:val="nil"/>
              <w:bottom w:val="nil"/>
              <w:right w:val="nil"/>
            </w:tcBorders>
            <w:shd w:val="clear" w:color="auto" w:fill="auto"/>
            <w:noWrap/>
            <w:vAlign w:val="center"/>
            <w:hideMark/>
          </w:tcPr>
          <w:p w14:paraId="55339912" w14:textId="77777777" w:rsidR="00C12218" w:rsidRPr="00673C1F" w:rsidRDefault="00C12218" w:rsidP="00C12218">
            <w:pPr>
              <w:spacing w:before="0" w:after="0" w:line="240" w:lineRule="auto"/>
              <w:jc w:val="right"/>
              <w:rPr>
                <w:rFonts w:ascii="Arial" w:hAnsi="Arial" w:cs="Arial"/>
                <w:sz w:val="16"/>
                <w:szCs w:val="16"/>
              </w:rPr>
            </w:pPr>
            <w:r w:rsidRPr="00673C1F">
              <w:rPr>
                <w:rFonts w:ascii="Arial" w:hAnsi="Arial" w:cs="Arial"/>
                <w:sz w:val="16"/>
                <w:szCs w:val="16"/>
              </w:rPr>
              <w:t>19,971</w:t>
            </w:r>
          </w:p>
        </w:tc>
        <w:tc>
          <w:tcPr>
            <w:tcW w:w="484" w:type="pct"/>
            <w:tcBorders>
              <w:top w:val="nil"/>
              <w:left w:val="nil"/>
              <w:bottom w:val="nil"/>
              <w:right w:val="nil"/>
            </w:tcBorders>
            <w:shd w:val="clear" w:color="auto" w:fill="auto"/>
            <w:noWrap/>
            <w:vAlign w:val="center"/>
            <w:hideMark/>
          </w:tcPr>
          <w:p w14:paraId="37841D2F" w14:textId="77777777" w:rsidR="00C12218" w:rsidRPr="00673C1F" w:rsidRDefault="00C12218" w:rsidP="00C12218">
            <w:pPr>
              <w:spacing w:before="0" w:after="0" w:line="240" w:lineRule="auto"/>
              <w:jc w:val="right"/>
              <w:rPr>
                <w:rFonts w:ascii="Arial" w:hAnsi="Arial" w:cs="Arial"/>
                <w:sz w:val="16"/>
                <w:szCs w:val="16"/>
              </w:rPr>
            </w:pPr>
            <w:r w:rsidRPr="00673C1F">
              <w:rPr>
                <w:rFonts w:ascii="Arial" w:hAnsi="Arial" w:cs="Arial"/>
                <w:sz w:val="16"/>
                <w:szCs w:val="16"/>
              </w:rPr>
              <w:t>*</w:t>
            </w:r>
          </w:p>
        </w:tc>
        <w:tc>
          <w:tcPr>
            <w:tcW w:w="53" w:type="pct"/>
            <w:tcBorders>
              <w:top w:val="nil"/>
              <w:left w:val="nil"/>
              <w:bottom w:val="nil"/>
              <w:right w:val="nil"/>
            </w:tcBorders>
            <w:shd w:val="clear" w:color="auto" w:fill="auto"/>
            <w:noWrap/>
            <w:vAlign w:val="center"/>
            <w:hideMark/>
          </w:tcPr>
          <w:p w14:paraId="62605F27" w14:textId="77777777" w:rsidR="00C12218" w:rsidRPr="00673C1F" w:rsidRDefault="00C12218" w:rsidP="00C12218">
            <w:pPr>
              <w:spacing w:before="0" w:after="0" w:line="240" w:lineRule="auto"/>
              <w:jc w:val="right"/>
              <w:rPr>
                <w:rFonts w:ascii="Arial" w:hAnsi="Arial" w:cs="Arial"/>
                <w:sz w:val="16"/>
                <w:szCs w:val="16"/>
              </w:rPr>
            </w:pPr>
          </w:p>
        </w:tc>
        <w:tc>
          <w:tcPr>
            <w:tcW w:w="508" w:type="pct"/>
            <w:tcBorders>
              <w:top w:val="nil"/>
              <w:left w:val="nil"/>
              <w:bottom w:val="nil"/>
              <w:right w:val="nil"/>
            </w:tcBorders>
            <w:shd w:val="clear" w:color="auto" w:fill="auto"/>
            <w:noWrap/>
            <w:vAlign w:val="center"/>
            <w:hideMark/>
          </w:tcPr>
          <w:p w14:paraId="262F3529" w14:textId="77777777" w:rsidR="00C12218" w:rsidRPr="00673C1F" w:rsidRDefault="00C12218" w:rsidP="00C12218">
            <w:pPr>
              <w:spacing w:before="0" w:after="0" w:line="240" w:lineRule="auto"/>
              <w:jc w:val="right"/>
              <w:rPr>
                <w:rFonts w:ascii="Arial" w:hAnsi="Arial" w:cs="Arial"/>
                <w:sz w:val="16"/>
                <w:szCs w:val="16"/>
              </w:rPr>
            </w:pPr>
            <w:r w:rsidRPr="00673C1F">
              <w:rPr>
                <w:rFonts w:ascii="Arial" w:hAnsi="Arial" w:cs="Arial"/>
                <w:sz w:val="16"/>
                <w:szCs w:val="16"/>
              </w:rPr>
              <w:t>*</w:t>
            </w:r>
          </w:p>
        </w:tc>
      </w:tr>
      <w:tr w:rsidR="00CB0FFB" w:rsidRPr="00673C1F" w14:paraId="55FD0D68" w14:textId="77777777" w:rsidTr="00C12218">
        <w:trPr>
          <w:trHeight w:hRule="exact" w:val="225"/>
        </w:trPr>
        <w:tc>
          <w:tcPr>
            <w:tcW w:w="2018" w:type="pct"/>
            <w:tcBorders>
              <w:top w:val="nil"/>
              <w:left w:val="nil"/>
              <w:bottom w:val="nil"/>
              <w:right w:val="nil"/>
            </w:tcBorders>
            <w:shd w:val="clear" w:color="auto" w:fill="auto"/>
            <w:vAlign w:val="center"/>
            <w:hideMark/>
          </w:tcPr>
          <w:p w14:paraId="1E12793A" w14:textId="77777777" w:rsidR="00C12218" w:rsidRPr="00673C1F" w:rsidRDefault="00C12218" w:rsidP="00C12218">
            <w:pPr>
              <w:spacing w:before="0" w:after="0" w:line="240" w:lineRule="auto"/>
              <w:rPr>
                <w:rFonts w:ascii="Arial" w:hAnsi="Arial" w:cs="Arial"/>
                <w:b/>
                <w:bCs/>
                <w:sz w:val="16"/>
                <w:szCs w:val="16"/>
              </w:rPr>
            </w:pPr>
            <w:r w:rsidRPr="00673C1F">
              <w:rPr>
                <w:rFonts w:ascii="Arial" w:hAnsi="Arial" w:cs="Arial"/>
                <w:b/>
                <w:bCs/>
                <w:sz w:val="16"/>
                <w:szCs w:val="16"/>
              </w:rPr>
              <w:t>Total variations </w:t>
            </w:r>
          </w:p>
        </w:tc>
        <w:tc>
          <w:tcPr>
            <w:tcW w:w="484" w:type="pct"/>
            <w:tcBorders>
              <w:top w:val="single" w:sz="4" w:space="0" w:color="293F5B"/>
              <w:left w:val="nil"/>
              <w:bottom w:val="single" w:sz="4" w:space="0" w:color="293F5B"/>
              <w:right w:val="nil"/>
            </w:tcBorders>
            <w:shd w:val="clear" w:color="auto" w:fill="auto"/>
            <w:noWrap/>
            <w:vAlign w:val="center"/>
            <w:hideMark/>
          </w:tcPr>
          <w:p w14:paraId="45C1751F" w14:textId="77777777" w:rsidR="00C12218" w:rsidRPr="00673C1F" w:rsidRDefault="00C12218" w:rsidP="00C12218">
            <w:pPr>
              <w:spacing w:before="0" w:after="0" w:line="240" w:lineRule="auto"/>
              <w:jc w:val="right"/>
              <w:rPr>
                <w:rFonts w:ascii="Arial" w:hAnsi="Arial" w:cs="Arial"/>
                <w:b/>
                <w:bCs/>
                <w:sz w:val="16"/>
                <w:szCs w:val="16"/>
              </w:rPr>
            </w:pPr>
            <w:r w:rsidRPr="00673C1F">
              <w:rPr>
                <w:rFonts w:ascii="Arial" w:hAnsi="Arial" w:cs="Arial"/>
                <w:b/>
                <w:bCs/>
                <w:sz w:val="16"/>
                <w:szCs w:val="16"/>
              </w:rPr>
              <w:t>16,391</w:t>
            </w:r>
          </w:p>
        </w:tc>
        <w:tc>
          <w:tcPr>
            <w:tcW w:w="484" w:type="pct"/>
            <w:tcBorders>
              <w:top w:val="single" w:sz="4" w:space="0" w:color="293F5B"/>
              <w:left w:val="nil"/>
              <w:bottom w:val="single" w:sz="4" w:space="0" w:color="293F5B"/>
              <w:right w:val="nil"/>
            </w:tcBorders>
            <w:shd w:val="clear" w:color="000000" w:fill="E6F2FF"/>
            <w:noWrap/>
            <w:vAlign w:val="center"/>
            <w:hideMark/>
          </w:tcPr>
          <w:p w14:paraId="29B6F1F1" w14:textId="77777777" w:rsidR="00C12218" w:rsidRPr="00673C1F" w:rsidRDefault="00C12218" w:rsidP="00C12218">
            <w:pPr>
              <w:spacing w:before="0" w:after="0" w:line="240" w:lineRule="auto"/>
              <w:jc w:val="right"/>
              <w:rPr>
                <w:rFonts w:ascii="Arial" w:hAnsi="Arial" w:cs="Arial"/>
                <w:b/>
                <w:bCs/>
                <w:sz w:val="16"/>
                <w:szCs w:val="16"/>
              </w:rPr>
            </w:pPr>
            <w:r w:rsidRPr="00673C1F">
              <w:rPr>
                <w:rFonts w:ascii="Arial" w:hAnsi="Arial" w:cs="Arial"/>
                <w:b/>
                <w:bCs/>
                <w:sz w:val="16"/>
                <w:szCs w:val="16"/>
              </w:rPr>
              <w:t>19,210</w:t>
            </w:r>
          </w:p>
        </w:tc>
        <w:tc>
          <w:tcPr>
            <w:tcW w:w="484" w:type="pct"/>
            <w:tcBorders>
              <w:top w:val="single" w:sz="4" w:space="0" w:color="293F5B"/>
              <w:left w:val="nil"/>
              <w:bottom w:val="single" w:sz="4" w:space="0" w:color="293F5B"/>
              <w:right w:val="nil"/>
            </w:tcBorders>
            <w:shd w:val="clear" w:color="auto" w:fill="auto"/>
            <w:noWrap/>
            <w:vAlign w:val="center"/>
            <w:hideMark/>
          </w:tcPr>
          <w:p w14:paraId="6A6C6F8F" w14:textId="77777777" w:rsidR="00C12218" w:rsidRPr="00673C1F" w:rsidRDefault="00C12218" w:rsidP="00C12218">
            <w:pPr>
              <w:spacing w:before="0" w:after="0" w:line="240" w:lineRule="auto"/>
              <w:jc w:val="right"/>
              <w:rPr>
                <w:rFonts w:ascii="Arial" w:hAnsi="Arial" w:cs="Arial"/>
                <w:b/>
                <w:bCs/>
                <w:sz w:val="16"/>
                <w:szCs w:val="16"/>
              </w:rPr>
            </w:pPr>
            <w:r w:rsidRPr="00673C1F">
              <w:rPr>
                <w:rFonts w:ascii="Arial" w:hAnsi="Arial" w:cs="Arial"/>
                <w:b/>
                <w:bCs/>
                <w:sz w:val="16"/>
                <w:szCs w:val="16"/>
              </w:rPr>
              <w:t>9,476</w:t>
            </w:r>
          </w:p>
        </w:tc>
        <w:tc>
          <w:tcPr>
            <w:tcW w:w="484" w:type="pct"/>
            <w:tcBorders>
              <w:top w:val="single" w:sz="4" w:space="0" w:color="293F5B"/>
              <w:left w:val="nil"/>
              <w:bottom w:val="single" w:sz="4" w:space="0" w:color="293F5B"/>
              <w:right w:val="nil"/>
            </w:tcBorders>
            <w:shd w:val="clear" w:color="auto" w:fill="auto"/>
            <w:noWrap/>
            <w:vAlign w:val="center"/>
            <w:hideMark/>
          </w:tcPr>
          <w:p w14:paraId="5D00A5F3" w14:textId="77777777" w:rsidR="00C12218" w:rsidRPr="00673C1F" w:rsidRDefault="00C12218" w:rsidP="00C12218">
            <w:pPr>
              <w:spacing w:before="0" w:after="0" w:line="240" w:lineRule="auto"/>
              <w:jc w:val="right"/>
              <w:rPr>
                <w:rFonts w:ascii="Arial" w:hAnsi="Arial" w:cs="Arial"/>
                <w:b/>
                <w:bCs/>
                <w:sz w:val="16"/>
                <w:szCs w:val="16"/>
              </w:rPr>
            </w:pPr>
            <w:r w:rsidRPr="00673C1F">
              <w:rPr>
                <w:rFonts w:ascii="Arial" w:hAnsi="Arial" w:cs="Arial"/>
                <w:b/>
                <w:bCs/>
                <w:sz w:val="16"/>
                <w:szCs w:val="16"/>
              </w:rPr>
              <w:t>19,306</w:t>
            </w:r>
          </w:p>
        </w:tc>
        <w:tc>
          <w:tcPr>
            <w:tcW w:w="484" w:type="pct"/>
            <w:tcBorders>
              <w:top w:val="single" w:sz="4" w:space="0" w:color="293F5B"/>
              <w:left w:val="nil"/>
              <w:bottom w:val="single" w:sz="4" w:space="0" w:color="293F5B"/>
              <w:right w:val="nil"/>
            </w:tcBorders>
            <w:shd w:val="clear" w:color="auto" w:fill="auto"/>
            <w:noWrap/>
            <w:vAlign w:val="center"/>
            <w:hideMark/>
          </w:tcPr>
          <w:p w14:paraId="7CEB55C8" w14:textId="77777777" w:rsidR="00C12218" w:rsidRPr="00673C1F" w:rsidRDefault="00C12218" w:rsidP="00C12218">
            <w:pPr>
              <w:spacing w:before="0" w:after="0" w:line="240" w:lineRule="auto"/>
              <w:jc w:val="right"/>
              <w:rPr>
                <w:rFonts w:ascii="Arial" w:hAnsi="Arial" w:cs="Arial"/>
                <w:b/>
                <w:bCs/>
                <w:sz w:val="16"/>
                <w:szCs w:val="16"/>
              </w:rPr>
            </w:pPr>
            <w:r w:rsidRPr="00673C1F">
              <w:rPr>
                <w:rFonts w:ascii="Arial" w:hAnsi="Arial" w:cs="Arial"/>
                <w:b/>
                <w:bCs/>
                <w:sz w:val="16"/>
                <w:szCs w:val="16"/>
              </w:rPr>
              <w:t>*</w:t>
            </w:r>
          </w:p>
        </w:tc>
        <w:tc>
          <w:tcPr>
            <w:tcW w:w="53" w:type="pct"/>
            <w:tcBorders>
              <w:top w:val="nil"/>
              <w:left w:val="nil"/>
              <w:bottom w:val="nil"/>
              <w:right w:val="nil"/>
            </w:tcBorders>
            <w:shd w:val="clear" w:color="auto" w:fill="auto"/>
            <w:noWrap/>
            <w:vAlign w:val="center"/>
            <w:hideMark/>
          </w:tcPr>
          <w:p w14:paraId="6B46D92F" w14:textId="77777777" w:rsidR="00C12218" w:rsidRPr="00673C1F" w:rsidRDefault="00C12218" w:rsidP="00C12218">
            <w:pPr>
              <w:spacing w:before="0" w:after="0" w:line="240" w:lineRule="auto"/>
              <w:jc w:val="right"/>
              <w:rPr>
                <w:rFonts w:ascii="Arial" w:hAnsi="Arial" w:cs="Arial"/>
                <w:b/>
                <w:bCs/>
                <w:sz w:val="16"/>
                <w:szCs w:val="16"/>
              </w:rPr>
            </w:pPr>
          </w:p>
        </w:tc>
        <w:tc>
          <w:tcPr>
            <w:tcW w:w="508" w:type="pct"/>
            <w:tcBorders>
              <w:top w:val="single" w:sz="4" w:space="0" w:color="293F5B"/>
              <w:left w:val="nil"/>
              <w:bottom w:val="single" w:sz="4" w:space="0" w:color="293F5B"/>
              <w:right w:val="nil"/>
            </w:tcBorders>
            <w:shd w:val="clear" w:color="auto" w:fill="auto"/>
            <w:noWrap/>
            <w:vAlign w:val="center"/>
            <w:hideMark/>
          </w:tcPr>
          <w:p w14:paraId="1806BFE9" w14:textId="77777777" w:rsidR="00C12218" w:rsidRPr="00673C1F" w:rsidRDefault="00C12218" w:rsidP="00C12218">
            <w:pPr>
              <w:spacing w:before="0" w:after="0" w:line="240" w:lineRule="auto"/>
              <w:jc w:val="right"/>
              <w:rPr>
                <w:rFonts w:ascii="Arial" w:hAnsi="Arial" w:cs="Arial"/>
                <w:b/>
                <w:bCs/>
                <w:sz w:val="16"/>
                <w:szCs w:val="16"/>
              </w:rPr>
            </w:pPr>
            <w:r w:rsidRPr="00673C1F">
              <w:rPr>
                <w:rFonts w:ascii="Arial" w:hAnsi="Arial" w:cs="Arial"/>
                <w:b/>
                <w:bCs/>
                <w:sz w:val="16"/>
                <w:szCs w:val="16"/>
              </w:rPr>
              <w:t>*</w:t>
            </w:r>
          </w:p>
        </w:tc>
      </w:tr>
      <w:tr w:rsidR="00CB0FFB" w:rsidRPr="00673C1F" w14:paraId="2D4EE730" w14:textId="77777777" w:rsidTr="00C12218">
        <w:trPr>
          <w:trHeight w:hRule="exact" w:val="225"/>
        </w:trPr>
        <w:tc>
          <w:tcPr>
            <w:tcW w:w="2018" w:type="pct"/>
            <w:tcBorders>
              <w:top w:val="nil"/>
              <w:left w:val="nil"/>
              <w:bottom w:val="nil"/>
              <w:right w:val="nil"/>
            </w:tcBorders>
            <w:shd w:val="clear" w:color="auto" w:fill="auto"/>
            <w:vAlign w:val="center"/>
            <w:hideMark/>
          </w:tcPr>
          <w:p w14:paraId="67F83EB9" w14:textId="20B6DB69" w:rsidR="00C12218" w:rsidRPr="00673C1F" w:rsidRDefault="00C12218" w:rsidP="00C12218">
            <w:pPr>
              <w:spacing w:before="0" w:after="0" w:line="240" w:lineRule="auto"/>
              <w:rPr>
                <w:rFonts w:ascii="Arial" w:hAnsi="Arial" w:cs="Arial"/>
                <w:b/>
                <w:bCs/>
                <w:sz w:val="16"/>
                <w:szCs w:val="16"/>
              </w:rPr>
            </w:pPr>
            <w:r w:rsidRPr="00673C1F">
              <w:rPr>
                <w:rFonts w:ascii="Arial" w:hAnsi="Arial" w:cs="Arial"/>
                <w:b/>
                <w:bCs/>
                <w:sz w:val="16"/>
                <w:szCs w:val="16"/>
              </w:rPr>
              <w:t>Tax receipts at 2023</w:t>
            </w:r>
            <w:r w:rsidR="006D727E" w:rsidRPr="00673C1F">
              <w:rPr>
                <w:rFonts w:ascii="Arial" w:hAnsi="Arial" w:cs="Arial"/>
                <w:b/>
                <w:bCs/>
                <w:sz w:val="16"/>
                <w:szCs w:val="16"/>
              </w:rPr>
              <w:noBreakHyphen/>
            </w:r>
            <w:r w:rsidRPr="00673C1F">
              <w:rPr>
                <w:rFonts w:ascii="Arial" w:hAnsi="Arial" w:cs="Arial"/>
                <w:b/>
                <w:bCs/>
                <w:sz w:val="16"/>
                <w:szCs w:val="16"/>
              </w:rPr>
              <w:t>24 MYEFO</w:t>
            </w:r>
          </w:p>
        </w:tc>
        <w:tc>
          <w:tcPr>
            <w:tcW w:w="484" w:type="pct"/>
            <w:tcBorders>
              <w:top w:val="nil"/>
              <w:left w:val="nil"/>
              <w:bottom w:val="nil"/>
              <w:right w:val="nil"/>
            </w:tcBorders>
            <w:shd w:val="clear" w:color="auto" w:fill="auto"/>
            <w:noWrap/>
            <w:vAlign w:val="center"/>
            <w:hideMark/>
          </w:tcPr>
          <w:p w14:paraId="398B2748" w14:textId="77777777" w:rsidR="00C12218" w:rsidRPr="00673C1F" w:rsidRDefault="00C12218" w:rsidP="00C12218">
            <w:pPr>
              <w:spacing w:before="0" w:after="0" w:line="240" w:lineRule="auto"/>
              <w:jc w:val="right"/>
              <w:rPr>
                <w:rFonts w:ascii="Arial" w:hAnsi="Arial" w:cs="Arial"/>
                <w:b/>
                <w:bCs/>
                <w:sz w:val="16"/>
                <w:szCs w:val="16"/>
              </w:rPr>
            </w:pPr>
            <w:r w:rsidRPr="00673C1F">
              <w:rPr>
                <w:rFonts w:ascii="Arial" w:hAnsi="Arial" w:cs="Arial"/>
                <w:b/>
                <w:bCs/>
                <w:sz w:val="16"/>
                <w:szCs w:val="16"/>
              </w:rPr>
              <w:t>632,666</w:t>
            </w:r>
          </w:p>
        </w:tc>
        <w:tc>
          <w:tcPr>
            <w:tcW w:w="484" w:type="pct"/>
            <w:tcBorders>
              <w:top w:val="nil"/>
              <w:left w:val="nil"/>
              <w:bottom w:val="nil"/>
              <w:right w:val="nil"/>
            </w:tcBorders>
            <w:shd w:val="clear" w:color="000000" w:fill="E6F2FF"/>
            <w:noWrap/>
            <w:vAlign w:val="center"/>
            <w:hideMark/>
          </w:tcPr>
          <w:p w14:paraId="2A6EDA76" w14:textId="77777777" w:rsidR="00C12218" w:rsidRPr="00673C1F" w:rsidRDefault="00C12218" w:rsidP="00C12218">
            <w:pPr>
              <w:spacing w:before="0" w:after="0" w:line="240" w:lineRule="auto"/>
              <w:jc w:val="right"/>
              <w:rPr>
                <w:rFonts w:ascii="Arial" w:hAnsi="Arial" w:cs="Arial"/>
                <w:b/>
                <w:bCs/>
                <w:sz w:val="16"/>
                <w:szCs w:val="16"/>
              </w:rPr>
            </w:pPr>
            <w:r w:rsidRPr="00673C1F">
              <w:rPr>
                <w:rFonts w:ascii="Arial" w:hAnsi="Arial" w:cs="Arial"/>
                <w:b/>
                <w:bCs/>
                <w:sz w:val="16"/>
                <w:szCs w:val="16"/>
              </w:rPr>
              <w:t>633,543</w:t>
            </w:r>
          </w:p>
        </w:tc>
        <w:tc>
          <w:tcPr>
            <w:tcW w:w="484" w:type="pct"/>
            <w:tcBorders>
              <w:top w:val="nil"/>
              <w:left w:val="nil"/>
              <w:bottom w:val="nil"/>
              <w:right w:val="nil"/>
            </w:tcBorders>
            <w:shd w:val="clear" w:color="auto" w:fill="auto"/>
            <w:noWrap/>
            <w:vAlign w:val="center"/>
            <w:hideMark/>
          </w:tcPr>
          <w:p w14:paraId="79BFAA85" w14:textId="77777777" w:rsidR="00C12218" w:rsidRPr="00673C1F" w:rsidRDefault="00C12218" w:rsidP="00C12218">
            <w:pPr>
              <w:spacing w:before="0" w:after="0" w:line="240" w:lineRule="auto"/>
              <w:jc w:val="right"/>
              <w:rPr>
                <w:rFonts w:ascii="Arial" w:hAnsi="Arial" w:cs="Arial"/>
                <w:b/>
                <w:bCs/>
                <w:sz w:val="16"/>
                <w:szCs w:val="16"/>
              </w:rPr>
            </w:pPr>
            <w:r w:rsidRPr="00673C1F">
              <w:rPr>
                <w:rFonts w:ascii="Arial" w:hAnsi="Arial" w:cs="Arial"/>
                <w:b/>
                <w:bCs/>
                <w:sz w:val="16"/>
                <w:szCs w:val="16"/>
              </w:rPr>
              <w:t>657,323</w:t>
            </w:r>
          </w:p>
        </w:tc>
        <w:tc>
          <w:tcPr>
            <w:tcW w:w="484" w:type="pct"/>
            <w:tcBorders>
              <w:top w:val="nil"/>
              <w:left w:val="nil"/>
              <w:bottom w:val="nil"/>
              <w:right w:val="nil"/>
            </w:tcBorders>
            <w:shd w:val="clear" w:color="auto" w:fill="auto"/>
            <w:noWrap/>
            <w:vAlign w:val="center"/>
            <w:hideMark/>
          </w:tcPr>
          <w:p w14:paraId="48FD9F5C" w14:textId="77777777" w:rsidR="00C12218" w:rsidRPr="00673C1F" w:rsidRDefault="00C12218" w:rsidP="00C12218">
            <w:pPr>
              <w:spacing w:before="0" w:after="0" w:line="240" w:lineRule="auto"/>
              <w:jc w:val="right"/>
              <w:rPr>
                <w:rFonts w:ascii="Arial" w:hAnsi="Arial" w:cs="Arial"/>
                <w:b/>
                <w:bCs/>
                <w:sz w:val="16"/>
                <w:szCs w:val="16"/>
              </w:rPr>
            </w:pPr>
            <w:r w:rsidRPr="00673C1F">
              <w:rPr>
                <w:rFonts w:ascii="Arial" w:hAnsi="Arial" w:cs="Arial"/>
                <w:b/>
                <w:bCs/>
                <w:sz w:val="16"/>
                <w:szCs w:val="16"/>
              </w:rPr>
              <w:t>700,049</w:t>
            </w:r>
          </w:p>
        </w:tc>
        <w:tc>
          <w:tcPr>
            <w:tcW w:w="484" w:type="pct"/>
            <w:tcBorders>
              <w:top w:val="nil"/>
              <w:left w:val="nil"/>
              <w:bottom w:val="nil"/>
              <w:right w:val="nil"/>
            </w:tcBorders>
            <w:shd w:val="clear" w:color="auto" w:fill="auto"/>
            <w:noWrap/>
            <w:vAlign w:val="center"/>
            <w:hideMark/>
          </w:tcPr>
          <w:p w14:paraId="44D76DC1" w14:textId="77777777" w:rsidR="00C12218" w:rsidRPr="00673C1F" w:rsidRDefault="00C12218" w:rsidP="00C12218">
            <w:pPr>
              <w:spacing w:before="0" w:after="0" w:line="240" w:lineRule="auto"/>
              <w:jc w:val="right"/>
              <w:rPr>
                <w:rFonts w:ascii="Arial" w:hAnsi="Arial" w:cs="Arial"/>
                <w:b/>
                <w:bCs/>
                <w:sz w:val="16"/>
                <w:szCs w:val="16"/>
              </w:rPr>
            </w:pPr>
            <w:r w:rsidRPr="00673C1F">
              <w:rPr>
                <w:rFonts w:ascii="Arial" w:hAnsi="Arial" w:cs="Arial"/>
                <w:b/>
                <w:bCs/>
                <w:sz w:val="16"/>
                <w:szCs w:val="16"/>
              </w:rPr>
              <w:t>737,850</w:t>
            </w:r>
          </w:p>
        </w:tc>
        <w:tc>
          <w:tcPr>
            <w:tcW w:w="53" w:type="pct"/>
            <w:tcBorders>
              <w:top w:val="nil"/>
              <w:left w:val="nil"/>
              <w:bottom w:val="nil"/>
              <w:right w:val="nil"/>
            </w:tcBorders>
            <w:shd w:val="clear" w:color="auto" w:fill="auto"/>
            <w:noWrap/>
            <w:vAlign w:val="center"/>
            <w:hideMark/>
          </w:tcPr>
          <w:p w14:paraId="179A5D15" w14:textId="77777777" w:rsidR="00C12218" w:rsidRPr="00673C1F" w:rsidRDefault="00C12218" w:rsidP="00C12218">
            <w:pPr>
              <w:spacing w:before="0" w:after="0" w:line="240" w:lineRule="auto"/>
              <w:jc w:val="right"/>
              <w:rPr>
                <w:rFonts w:ascii="Arial" w:hAnsi="Arial" w:cs="Arial"/>
                <w:b/>
                <w:bCs/>
                <w:sz w:val="16"/>
                <w:szCs w:val="16"/>
              </w:rPr>
            </w:pPr>
          </w:p>
        </w:tc>
        <w:tc>
          <w:tcPr>
            <w:tcW w:w="508" w:type="pct"/>
            <w:tcBorders>
              <w:top w:val="nil"/>
              <w:left w:val="nil"/>
              <w:bottom w:val="nil"/>
              <w:right w:val="nil"/>
            </w:tcBorders>
            <w:shd w:val="clear" w:color="auto" w:fill="auto"/>
            <w:noWrap/>
            <w:vAlign w:val="center"/>
            <w:hideMark/>
          </w:tcPr>
          <w:p w14:paraId="17F1AB8C" w14:textId="77777777" w:rsidR="00C12218" w:rsidRPr="00673C1F" w:rsidRDefault="00C12218" w:rsidP="00C12218">
            <w:pPr>
              <w:spacing w:before="0" w:after="0" w:line="240" w:lineRule="auto"/>
              <w:jc w:val="right"/>
              <w:rPr>
                <w:rFonts w:ascii="Arial" w:hAnsi="Arial" w:cs="Arial"/>
                <w:b/>
                <w:bCs/>
                <w:sz w:val="16"/>
                <w:szCs w:val="16"/>
              </w:rPr>
            </w:pPr>
            <w:r w:rsidRPr="00673C1F">
              <w:rPr>
                <w:rFonts w:ascii="Arial" w:hAnsi="Arial" w:cs="Arial"/>
                <w:b/>
                <w:bCs/>
                <w:sz w:val="16"/>
                <w:szCs w:val="16"/>
              </w:rPr>
              <w:t>3,361,431</w:t>
            </w:r>
          </w:p>
        </w:tc>
      </w:tr>
      <w:tr w:rsidR="00CB0FFB" w:rsidRPr="00673C1F" w14:paraId="1E2E4ED9" w14:textId="77777777" w:rsidTr="00C12218">
        <w:trPr>
          <w:trHeight w:hRule="exact" w:val="60"/>
        </w:trPr>
        <w:tc>
          <w:tcPr>
            <w:tcW w:w="2018" w:type="pct"/>
            <w:tcBorders>
              <w:top w:val="nil"/>
              <w:left w:val="nil"/>
              <w:bottom w:val="nil"/>
              <w:right w:val="nil"/>
            </w:tcBorders>
            <w:shd w:val="clear" w:color="auto" w:fill="auto"/>
            <w:vAlign w:val="center"/>
            <w:hideMark/>
          </w:tcPr>
          <w:p w14:paraId="4707E14C" w14:textId="77777777" w:rsidR="00C12218" w:rsidRPr="00673C1F" w:rsidRDefault="00C12218" w:rsidP="00C12218">
            <w:pPr>
              <w:spacing w:before="0" w:after="0" w:line="240" w:lineRule="auto"/>
              <w:jc w:val="right"/>
              <w:rPr>
                <w:rFonts w:ascii="Arial" w:hAnsi="Arial" w:cs="Arial"/>
                <w:b/>
                <w:bCs/>
                <w:sz w:val="16"/>
                <w:szCs w:val="16"/>
              </w:rPr>
            </w:pPr>
          </w:p>
        </w:tc>
        <w:tc>
          <w:tcPr>
            <w:tcW w:w="484" w:type="pct"/>
            <w:tcBorders>
              <w:top w:val="nil"/>
              <w:left w:val="nil"/>
              <w:bottom w:val="nil"/>
              <w:right w:val="nil"/>
            </w:tcBorders>
            <w:shd w:val="clear" w:color="auto" w:fill="auto"/>
            <w:noWrap/>
            <w:vAlign w:val="center"/>
            <w:hideMark/>
          </w:tcPr>
          <w:p w14:paraId="145AF7AE" w14:textId="77777777" w:rsidR="00C12218" w:rsidRPr="00673C1F" w:rsidRDefault="00C12218" w:rsidP="00C12218">
            <w:pPr>
              <w:spacing w:before="0" w:after="0" w:line="240" w:lineRule="auto"/>
              <w:jc w:val="right"/>
              <w:rPr>
                <w:rFonts w:ascii="Times New Roman" w:hAnsi="Times New Roman"/>
                <w:sz w:val="20"/>
              </w:rPr>
            </w:pPr>
          </w:p>
        </w:tc>
        <w:tc>
          <w:tcPr>
            <w:tcW w:w="484" w:type="pct"/>
            <w:tcBorders>
              <w:top w:val="nil"/>
              <w:left w:val="nil"/>
              <w:bottom w:val="nil"/>
              <w:right w:val="nil"/>
            </w:tcBorders>
            <w:shd w:val="clear" w:color="000000" w:fill="E6F2FF"/>
            <w:noWrap/>
            <w:vAlign w:val="center"/>
            <w:hideMark/>
          </w:tcPr>
          <w:p w14:paraId="00DC843D" w14:textId="77777777" w:rsidR="00C12218" w:rsidRPr="00673C1F" w:rsidRDefault="00C12218" w:rsidP="00C12218">
            <w:pPr>
              <w:spacing w:before="0" w:after="0" w:line="240" w:lineRule="auto"/>
              <w:jc w:val="right"/>
              <w:rPr>
                <w:rFonts w:ascii="Arial" w:hAnsi="Arial" w:cs="Arial"/>
                <w:sz w:val="16"/>
                <w:szCs w:val="16"/>
              </w:rPr>
            </w:pPr>
            <w:r w:rsidRPr="00673C1F">
              <w:rPr>
                <w:rFonts w:ascii="Arial" w:hAnsi="Arial" w:cs="Arial"/>
                <w:sz w:val="16"/>
                <w:szCs w:val="16"/>
              </w:rPr>
              <w:t> </w:t>
            </w:r>
          </w:p>
        </w:tc>
        <w:tc>
          <w:tcPr>
            <w:tcW w:w="484" w:type="pct"/>
            <w:tcBorders>
              <w:top w:val="nil"/>
              <w:left w:val="nil"/>
              <w:bottom w:val="nil"/>
              <w:right w:val="nil"/>
            </w:tcBorders>
            <w:shd w:val="clear" w:color="auto" w:fill="auto"/>
            <w:noWrap/>
            <w:vAlign w:val="center"/>
            <w:hideMark/>
          </w:tcPr>
          <w:p w14:paraId="26C9CA37" w14:textId="77777777" w:rsidR="00C12218" w:rsidRPr="00673C1F" w:rsidRDefault="00C12218" w:rsidP="00C12218">
            <w:pPr>
              <w:spacing w:before="0"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center"/>
            <w:hideMark/>
          </w:tcPr>
          <w:p w14:paraId="265F6059" w14:textId="77777777" w:rsidR="00C12218" w:rsidRPr="00673C1F" w:rsidRDefault="00C12218" w:rsidP="00C12218">
            <w:pPr>
              <w:spacing w:before="0" w:after="0" w:line="240" w:lineRule="auto"/>
              <w:rPr>
                <w:rFonts w:ascii="Times New Roman" w:hAnsi="Times New Roman"/>
                <w:sz w:val="20"/>
              </w:rPr>
            </w:pPr>
          </w:p>
        </w:tc>
        <w:tc>
          <w:tcPr>
            <w:tcW w:w="484" w:type="pct"/>
            <w:tcBorders>
              <w:top w:val="nil"/>
              <w:left w:val="nil"/>
              <w:bottom w:val="nil"/>
              <w:right w:val="nil"/>
            </w:tcBorders>
            <w:shd w:val="clear" w:color="auto" w:fill="auto"/>
            <w:noWrap/>
            <w:vAlign w:val="center"/>
            <w:hideMark/>
          </w:tcPr>
          <w:p w14:paraId="33FFF66F" w14:textId="77777777" w:rsidR="00C12218" w:rsidRPr="00673C1F" w:rsidRDefault="00C12218" w:rsidP="00C12218">
            <w:pPr>
              <w:spacing w:before="0" w:after="0" w:line="240" w:lineRule="auto"/>
              <w:rPr>
                <w:rFonts w:ascii="Times New Roman" w:hAnsi="Times New Roman"/>
                <w:sz w:val="20"/>
              </w:rPr>
            </w:pPr>
          </w:p>
        </w:tc>
        <w:tc>
          <w:tcPr>
            <w:tcW w:w="53" w:type="pct"/>
            <w:tcBorders>
              <w:top w:val="nil"/>
              <w:left w:val="nil"/>
              <w:bottom w:val="nil"/>
              <w:right w:val="nil"/>
            </w:tcBorders>
            <w:shd w:val="clear" w:color="auto" w:fill="auto"/>
            <w:noWrap/>
            <w:vAlign w:val="center"/>
            <w:hideMark/>
          </w:tcPr>
          <w:p w14:paraId="7D9DD614" w14:textId="77777777" w:rsidR="00C12218" w:rsidRPr="00673C1F" w:rsidRDefault="00C12218" w:rsidP="00C12218">
            <w:pPr>
              <w:spacing w:before="0" w:after="0" w:line="240" w:lineRule="auto"/>
              <w:rPr>
                <w:rFonts w:ascii="Times New Roman" w:hAnsi="Times New Roman"/>
                <w:sz w:val="20"/>
              </w:rPr>
            </w:pPr>
          </w:p>
        </w:tc>
        <w:tc>
          <w:tcPr>
            <w:tcW w:w="508" w:type="pct"/>
            <w:tcBorders>
              <w:top w:val="nil"/>
              <w:left w:val="nil"/>
              <w:bottom w:val="nil"/>
              <w:right w:val="nil"/>
            </w:tcBorders>
            <w:shd w:val="clear" w:color="auto" w:fill="auto"/>
            <w:noWrap/>
            <w:vAlign w:val="center"/>
            <w:hideMark/>
          </w:tcPr>
          <w:p w14:paraId="2B2AA5FB" w14:textId="77777777" w:rsidR="00C12218" w:rsidRPr="00673C1F" w:rsidRDefault="00C12218" w:rsidP="00C12218">
            <w:pPr>
              <w:spacing w:before="0" w:after="0" w:line="240" w:lineRule="auto"/>
              <w:rPr>
                <w:rFonts w:ascii="Times New Roman" w:hAnsi="Times New Roman"/>
                <w:sz w:val="20"/>
              </w:rPr>
            </w:pPr>
          </w:p>
        </w:tc>
      </w:tr>
      <w:tr w:rsidR="00CB0FFB" w:rsidRPr="00673C1F" w14:paraId="35E51006" w14:textId="77777777" w:rsidTr="00C12218">
        <w:trPr>
          <w:trHeight w:hRule="exact" w:val="225"/>
        </w:trPr>
        <w:tc>
          <w:tcPr>
            <w:tcW w:w="2018" w:type="pct"/>
            <w:tcBorders>
              <w:top w:val="nil"/>
              <w:left w:val="nil"/>
              <w:bottom w:val="nil"/>
              <w:right w:val="nil"/>
            </w:tcBorders>
            <w:shd w:val="clear" w:color="auto" w:fill="auto"/>
            <w:vAlign w:val="center"/>
            <w:hideMark/>
          </w:tcPr>
          <w:p w14:paraId="7193AB4D" w14:textId="45195E8F" w:rsidR="00C12218" w:rsidRPr="00673C1F" w:rsidRDefault="00C12218" w:rsidP="00C12218">
            <w:pPr>
              <w:spacing w:before="0" w:after="0" w:line="240" w:lineRule="auto"/>
              <w:rPr>
                <w:rFonts w:ascii="Arial" w:hAnsi="Arial" w:cs="Arial"/>
                <w:b/>
                <w:bCs/>
                <w:sz w:val="16"/>
                <w:szCs w:val="16"/>
              </w:rPr>
            </w:pPr>
            <w:r w:rsidRPr="00673C1F">
              <w:rPr>
                <w:rFonts w:ascii="Arial" w:hAnsi="Arial" w:cs="Arial"/>
                <w:b/>
                <w:bCs/>
                <w:sz w:val="16"/>
                <w:szCs w:val="16"/>
              </w:rPr>
              <w:t>Changes from 2023</w:t>
            </w:r>
            <w:r w:rsidR="006D727E" w:rsidRPr="00673C1F">
              <w:rPr>
                <w:rFonts w:ascii="Arial" w:hAnsi="Arial" w:cs="Arial"/>
                <w:b/>
                <w:bCs/>
                <w:sz w:val="16"/>
                <w:szCs w:val="16"/>
              </w:rPr>
              <w:noBreakHyphen/>
            </w:r>
            <w:r w:rsidRPr="00673C1F">
              <w:rPr>
                <w:rFonts w:ascii="Arial" w:hAnsi="Arial" w:cs="Arial"/>
                <w:b/>
                <w:bCs/>
                <w:sz w:val="16"/>
                <w:szCs w:val="16"/>
              </w:rPr>
              <w:t>24 MYEFO</w:t>
            </w:r>
          </w:p>
        </w:tc>
        <w:tc>
          <w:tcPr>
            <w:tcW w:w="484" w:type="pct"/>
            <w:tcBorders>
              <w:top w:val="nil"/>
              <w:left w:val="nil"/>
              <w:bottom w:val="nil"/>
              <w:right w:val="nil"/>
            </w:tcBorders>
            <w:shd w:val="clear" w:color="auto" w:fill="auto"/>
            <w:noWrap/>
            <w:vAlign w:val="center"/>
            <w:hideMark/>
          </w:tcPr>
          <w:p w14:paraId="491FAC52" w14:textId="77777777" w:rsidR="00C12218" w:rsidRPr="00673C1F" w:rsidRDefault="00C12218" w:rsidP="00C12218">
            <w:pPr>
              <w:spacing w:before="0" w:after="0" w:line="240" w:lineRule="auto"/>
              <w:rPr>
                <w:rFonts w:ascii="Arial" w:hAnsi="Arial" w:cs="Arial"/>
                <w:b/>
                <w:bCs/>
                <w:sz w:val="16"/>
                <w:szCs w:val="16"/>
              </w:rPr>
            </w:pPr>
          </w:p>
        </w:tc>
        <w:tc>
          <w:tcPr>
            <w:tcW w:w="484" w:type="pct"/>
            <w:tcBorders>
              <w:top w:val="nil"/>
              <w:left w:val="nil"/>
              <w:bottom w:val="nil"/>
              <w:right w:val="nil"/>
            </w:tcBorders>
            <w:shd w:val="clear" w:color="000000" w:fill="E6F2FF"/>
            <w:noWrap/>
            <w:vAlign w:val="center"/>
            <w:hideMark/>
          </w:tcPr>
          <w:p w14:paraId="5F22AFA9" w14:textId="77777777" w:rsidR="00C12218" w:rsidRPr="00673C1F" w:rsidRDefault="00C12218" w:rsidP="00C12218">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484" w:type="pct"/>
            <w:tcBorders>
              <w:top w:val="nil"/>
              <w:left w:val="nil"/>
              <w:bottom w:val="nil"/>
              <w:right w:val="nil"/>
            </w:tcBorders>
            <w:shd w:val="clear" w:color="auto" w:fill="auto"/>
            <w:noWrap/>
            <w:vAlign w:val="center"/>
            <w:hideMark/>
          </w:tcPr>
          <w:p w14:paraId="50B9D97C" w14:textId="77777777" w:rsidR="00C12218" w:rsidRPr="00673C1F" w:rsidRDefault="00C12218" w:rsidP="00C12218">
            <w:pPr>
              <w:spacing w:before="0" w:after="0" w:line="240" w:lineRule="auto"/>
              <w:jc w:val="right"/>
              <w:rPr>
                <w:rFonts w:ascii="Arial" w:hAnsi="Arial" w:cs="Arial"/>
                <w:b/>
                <w:bCs/>
                <w:sz w:val="16"/>
                <w:szCs w:val="16"/>
              </w:rPr>
            </w:pPr>
          </w:p>
        </w:tc>
        <w:tc>
          <w:tcPr>
            <w:tcW w:w="484" w:type="pct"/>
            <w:tcBorders>
              <w:top w:val="nil"/>
              <w:left w:val="nil"/>
              <w:bottom w:val="nil"/>
              <w:right w:val="nil"/>
            </w:tcBorders>
            <w:shd w:val="clear" w:color="auto" w:fill="auto"/>
            <w:noWrap/>
            <w:vAlign w:val="center"/>
            <w:hideMark/>
          </w:tcPr>
          <w:p w14:paraId="04D943E4" w14:textId="77777777" w:rsidR="00C12218" w:rsidRPr="00673C1F" w:rsidRDefault="00C12218" w:rsidP="00C12218">
            <w:pPr>
              <w:spacing w:before="0" w:after="0" w:line="240" w:lineRule="auto"/>
              <w:rPr>
                <w:rFonts w:ascii="Times New Roman" w:hAnsi="Times New Roman"/>
                <w:sz w:val="20"/>
              </w:rPr>
            </w:pPr>
          </w:p>
        </w:tc>
        <w:tc>
          <w:tcPr>
            <w:tcW w:w="484" w:type="pct"/>
            <w:tcBorders>
              <w:top w:val="nil"/>
              <w:left w:val="nil"/>
              <w:bottom w:val="nil"/>
              <w:right w:val="nil"/>
            </w:tcBorders>
            <w:shd w:val="clear" w:color="auto" w:fill="auto"/>
            <w:noWrap/>
            <w:vAlign w:val="center"/>
            <w:hideMark/>
          </w:tcPr>
          <w:p w14:paraId="1E0E2D24" w14:textId="77777777" w:rsidR="00C12218" w:rsidRPr="00673C1F" w:rsidRDefault="00C12218" w:rsidP="00C12218">
            <w:pPr>
              <w:spacing w:before="0" w:after="0" w:line="240" w:lineRule="auto"/>
              <w:rPr>
                <w:rFonts w:ascii="Times New Roman" w:hAnsi="Times New Roman"/>
                <w:sz w:val="20"/>
              </w:rPr>
            </w:pPr>
          </w:p>
        </w:tc>
        <w:tc>
          <w:tcPr>
            <w:tcW w:w="53" w:type="pct"/>
            <w:tcBorders>
              <w:top w:val="nil"/>
              <w:left w:val="nil"/>
              <w:bottom w:val="nil"/>
              <w:right w:val="nil"/>
            </w:tcBorders>
            <w:shd w:val="clear" w:color="auto" w:fill="auto"/>
            <w:noWrap/>
            <w:vAlign w:val="center"/>
            <w:hideMark/>
          </w:tcPr>
          <w:p w14:paraId="20E6711B" w14:textId="77777777" w:rsidR="00C12218" w:rsidRPr="00673C1F" w:rsidRDefault="00C12218" w:rsidP="00C12218">
            <w:pPr>
              <w:spacing w:before="0" w:after="0" w:line="240" w:lineRule="auto"/>
              <w:rPr>
                <w:rFonts w:ascii="Times New Roman" w:hAnsi="Times New Roman"/>
                <w:sz w:val="20"/>
              </w:rPr>
            </w:pPr>
          </w:p>
        </w:tc>
        <w:tc>
          <w:tcPr>
            <w:tcW w:w="508" w:type="pct"/>
            <w:tcBorders>
              <w:top w:val="nil"/>
              <w:left w:val="nil"/>
              <w:bottom w:val="nil"/>
              <w:right w:val="nil"/>
            </w:tcBorders>
            <w:shd w:val="clear" w:color="auto" w:fill="auto"/>
            <w:noWrap/>
            <w:vAlign w:val="center"/>
            <w:hideMark/>
          </w:tcPr>
          <w:p w14:paraId="438DE709" w14:textId="77777777" w:rsidR="00C12218" w:rsidRPr="00673C1F" w:rsidRDefault="00C12218" w:rsidP="00C12218">
            <w:pPr>
              <w:spacing w:before="0" w:after="0" w:line="240" w:lineRule="auto"/>
              <w:rPr>
                <w:rFonts w:ascii="Times New Roman" w:hAnsi="Times New Roman"/>
                <w:sz w:val="20"/>
              </w:rPr>
            </w:pPr>
          </w:p>
        </w:tc>
      </w:tr>
      <w:tr w:rsidR="00CB0FFB" w:rsidRPr="00673C1F" w14:paraId="3DEEE8DD" w14:textId="77777777" w:rsidTr="00C12218">
        <w:trPr>
          <w:trHeight w:hRule="exact" w:val="225"/>
        </w:trPr>
        <w:tc>
          <w:tcPr>
            <w:tcW w:w="2018" w:type="pct"/>
            <w:tcBorders>
              <w:top w:val="nil"/>
              <w:left w:val="nil"/>
              <w:bottom w:val="nil"/>
              <w:right w:val="nil"/>
            </w:tcBorders>
            <w:shd w:val="clear" w:color="auto" w:fill="auto"/>
            <w:vAlign w:val="center"/>
            <w:hideMark/>
          </w:tcPr>
          <w:p w14:paraId="2FA48229" w14:textId="28D32311" w:rsidR="00C12218" w:rsidRPr="00673C1F" w:rsidRDefault="00C12218" w:rsidP="00C12218">
            <w:pPr>
              <w:spacing w:before="0" w:after="0" w:line="240" w:lineRule="auto"/>
              <w:ind w:left="170"/>
              <w:rPr>
                <w:rFonts w:ascii="Arial" w:hAnsi="Arial" w:cs="Arial"/>
                <w:b/>
                <w:bCs/>
                <w:sz w:val="16"/>
                <w:szCs w:val="16"/>
              </w:rPr>
            </w:pPr>
            <w:r w:rsidRPr="00673C1F">
              <w:rPr>
                <w:rFonts w:ascii="Arial" w:hAnsi="Arial" w:cs="Arial"/>
                <w:b/>
                <w:bCs/>
                <w:sz w:val="16"/>
                <w:szCs w:val="16"/>
              </w:rPr>
              <w:t>to 2024</w:t>
            </w:r>
            <w:r w:rsidR="006D727E" w:rsidRPr="00673C1F">
              <w:rPr>
                <w:rFonts w:ascii="Arial" w:hAnsi="Arial" w:cs="Arial"/>
                <w:b/>
                <w:bCs/>
                <w:sz w:val="16"/>
                <w:szCs w:val="16"/>
              </w:rPr>
              <w:noBreakHyphen/>
            </w:r>
            <w:r w:rsidRPr="00673C1F">
              <w:rPr>
                <w:rFonts w:ascii="Arial" w:hAnsi="Arial" w:cs="Arial"/>
                <w:b/>
                <w:bCs/>
                <w:sz w:val="16"/>
                <w:szCs w:val="16"/>
              </w:rPr>
              <w:t>25 Budget </w:t>
            </w:r>
          </w:p>
        </w:tc>
        <w:tc>
          <w:tcPr>
            <w:tcW w:w="484" w:type="pct"/>
            <w:tcBorders>
              <w:top w:val="nil"/>
              <w:left w:val="nil"/>
              <w:bottom w:val="nil"/>
              <w:right w:val="nil"/>
            </w:tcBorders>
            <w:shd w:val="clear" w:color="auto" w:fill="auto"/>
            <w:noWrap/>
            <w:vAlign w:val="center"/>
            <w:hideMark/>
          </w:tcPr>
          <w:p w14:paraId="5522196A" w14:textId="77777777" w:rsidR="00C12218" w:rsidRPr="00673C1F" w:rsidRDefault="00C12218" w:rsidP="00C12218">
            <w:pPr>
              <w:spacing w:before="0" w:after="0" w:line="240" w:lineRule="auto"/>
              <w:ind w:firstLineChars="100" w:firstLine="161"/>
              <w:rPr>
                <w:rFonts w:ascii="Arial" w:hAnsi="Arial" w:cs="Arial"/>
                <w:b/>
                <w:bCs/>
                <w:sz w:val="16"/>
                <w:szCs w:val="16"/>
              </w:rPr>
            </w:pPr>
          </w:p>
        </w:tc>
        <w:tc>
          <w:tcPr>
            <w:tcW w:w="484" w:type="pct"/>
            <w:tcBorders>
              <w:top w:val="nil"/>
              <w:left w:val="nil"/>
              <w:bottom w:val="nil"/>
              <w:right w:val="nil"/>
            </w:tcBorders>
            <w:shd w:val="clear" w:color="000000" w:fill="E6F2FF"/>
            <w:noWrap/>
            <w:vAlign w:val="center"/>
            <w:hideMark/>
          </w:tcPr>
          <w:p w14:paraId="1835CC08" w14:textId="77777777" w:rsidR="00C12218" w:rsidRPr="00673C1F" w:rsidRDefault="00C12218" w:rsidP="00C12218">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484" w:type="pct"/>
            <w:tcBorders>
              <w:top w:val="nil"/>
              <w:left w:val="nil"/>
              <w:bottom w:val="nil"/>
              <w:right w:val="nil"/>
            </w:tcBorders>
            <w:shd w:val="clear" w:color="auto" w:fill="auto"/>
            <w:noWrap/>
            <w:vAlign w:val="center"/>
            <w:hideMark/>
          </w:tcPr>
          <w:p w14:paraId="62E0FE2F" w14:textId="77777777" w:rsidR="00C12218" w:rsidRPr="00673C1F" w:rsidRDefault="00C12218" w:rsidP="00C12218">
            <w:pPr>
              <w:spacing w:before="0" w:after="0" w:line="240" w:lineRule="auto"/>
              <w:jc w:val="right"/>
              <w:rPr>
                <w:rFonts w:ascii="Arial" w:hAnsi="Arial" w:cs="Arial"/>
                <w:b/>
                <w:bCs/>
                <w:sz w:val="16"/>
                <w:szCs w:val="16"/>
              </w:rPr>
            </w:pPr>
          </w:p>
        </w:tc>
        <w:tc>
          <w:tcPr>
            <w:tcW w:w="484" w:type="pct"/>
            <w:tcBorders>
              <w:top w:val="nil"/>
              <w:left w:val="nil"/>
              <w:bottom w:val="nil"/>
              <w:right w:val="nil"/>
            </w:tcBorders>
            <w:shd w:val="clear" w:color="auto" w:fill="auto"/>
            <w:noWrap/>
            <w:vAlign w:val="center"/>
            <w:hideMark/>
          </w:tcPr>
          <w:p w14:paraId="6C844283" w14:textId="77777777" w:rsidR="00C12218" w:rsidRPr="00673C1F" w:rsidRDefault="00C12218" w:rsidP="00C12218">
            <w:pPr>
              <w:spacing w:before="0" w:after="0" w:line="240" w:lineRule="auto"/>
              <w:rPr>
                <w:rFonts w:ascii="Times New Roman" w:hAnsi="Times New Roman"/>
                <w:sz w:val="20"/>
              </w:rPr>
            </w:pPr>
          </w:p>
        </w:tc>
        <w:tc>
          <w:tcPr>
            <w:tcW w:w="484" w:type="pct"/>
            <w:tcBorders>
              <w:top w:val="nil"/>
              <w:left w:val="nil"/>
              <w:bottom w:val="nil"/>
              <w:right w:val="nil"/>
            </w:tcBorders>
            <w:shd w:val="clear" w:color="auto" w:fill="auto"/>
            <w:noWrap/>
            <w:vAlign w:val="center"/>
            <w:hideMark/>
          </w:tcPr>
          <w:p w14:paraId="28F89BF2" w14:textId="77777777" w:rsidR="00C12218" w:rsidRPr="00673C1F" w:rsidRDefault="00C12218" w:rsidP="00C12218">
            <w:pPr>
              <w:spacing w:before="0" w:after="0" w:line="240" w:lineRule="auto"/>
              <w:rPr>
                <w:rFonts w:ascii="Times New Roman" w:hAnsi="Times New Roman"/>
                <w:sz w:val="20"/>
              </w:rPr>
            </w:pPr>
          </w:p>
        </w:tc>
        <w:tc>
          <w:tcPr>
            <w:tcW w:w="53" w:type="pct"/>
            <w:tcBorders>
              <w:top w:val="nil"/>
              <w:left w:val="nil"/>
              <w:bottom w:val="nil"/>
              <w:right w:val="nil"/>
            </w:tcBorders>
            <w:shd w:val="clear" w:color="auto" w:fill="auto"/>
            <w:noWrap/>
            <w:vAlign w:val="center"/>
            <w:hideMark/>
          </w:tcPr>
          <w:p w14:paraId="64834C3B" w14:textId="77777777" w:rsidR="00C12218" w:rsidRPr="00673C1F" w:rsidRDefault="00C12218" w:rsidP="00C12218">
            <w:pPr>
              <w:spacing w:before="0" w:after="0" w:line="240" w:lineRule="auto"/>
              <w:rPr>
                <w:rFonts w:ascii="Times New Roman" w:hAnsi="Times New Roman"/>
                <w:sz w:val="20"/>
              </w:rPr>
            </w:pPr>
          </w:p>
        </w:tc>
        <w:tc>
          <w:tcPr>
            <w:tcW w:w="508" w:type="pct"/>
            <w:tcBorders>
              <w:top w:val="nil"/>
              <w:left w:val="nil"/>
              <w:bottom w:val="nil"/>
              <w:right w:val="nil"/>
            </w:tcBorders>
            <w:shd w:val="clear" w:color="auto" w:fill="auto"/>
            <w:noWrap/>
            <w:vAlign w:val="center"/>
            <w:hideMark/>
          </w:tcPr>
          <w:p w14:paraId="1C1071EA" w14:textId="77777777" w:rsidR="00C12218" w:rsidRPr="00673C1F" w:rsidRDefault="00C12218" w:rsidP="00C12218">
            <w:pPr>
              <w:spacing w:before="0" w:after="0" w:line="240" w:lineRule="auto"/>
              <w:rPr>
                <w:rFonts w:ascii="Times New Roman" w:hAnsi="Times New Roman"/>
                <w:sz w:val="20"/>
              </w:rPr>
            </w:pPr>
          </w:p>
        </w:tc>
      </w:tr>
      <w:tr w:rsidR="00CB0FFB" w:rsidRPr="00673C1F" w14:paraId="2551728D" w14:textId="77777777" w:rsidTr="00C12218">
        <w:trPr>
          <w:trHeight w:hRule="exact" w:val="225"/>
        </w:trPr>
        <w:tc>
          <w:tcPr>
            <w:tcW w:w="2018" w:type="pct"/>
            <w:tcBorders>
              <w:top w:val="nil"/>
              <w:left w:val="nil"/>
              <w:bottom w:val="nil"/>
              <w:right w:val="nil"/>
            </w:tcBorders>
            <w:shd w:val="clear" w:color="auto" w:fill="auto"/>
            <w:vAlign w:val="center"/>
            <w:hideMark/>
          </w:tcPr>
          <w:p w14:paraId="11682B5F" w14:textId="77777777" w:rsidR="00C12218" w:rsidRPr="00673C1F" w:rsidRDefault="00C12218" w:rsidP="00C12218">
            <w:pPr>
              <w:spacing w:before="0" w:after="0" w:line="240" w:lineRule="auto"/>
              <w:rPr>
                <w:rFonts w:ascii="Arial" w:hAnsi="Arial" w:cs="Arial"/>
                <w:sz w:val="16"/>
                <w:szCs w:val="16"/>
              </w:rPr>
            </w:pPr>
            <w:r w:rsidRPr="00673C1F">
              <w:rPr>
                <w:rFonts w:ascii="Arial" w:hAnsi="Arial" w:cs="Arial"/>
                <w:sz w:val="16"/>
                <w:szCs w:val="16"/>
              </w:rPr>
              <w:t>Effect of policy decisions </w:t>
            </w:r>
          </w:p>
        </w:tc>
        <w:tc>
          <w:tcPr>
            <w:tcW w:w="484" w:type="pct"/>
            <w:tcBorders>
              <w:top w:val="nil"/>
              <w:left w:val="nil"/>
              <w:bottom w:val="nil"/>
              <w:right w:val="nil"/>
            </w:tcBorders>
            <w:shd w:val="clear" w:color="auto" w:fill="auto"/>
            <w:noWrap/>
            <w:vAlign w:val="center"/>
            <w:hideMark/>
          </w:tcPr>
          <w:p w14:paraId="6454A11E" w14:textId="4325029C" w:rsidR="00C12218" w:rsidRPr="00673C1F" w:rsidRDefault="006D727E" w:rsidP="00C12218">
            <w:pPr>
              <w:spacing w:before="0" w:after="0" w:line="240" w:lineRule="auto"/>
              <w:jc w:val="right"/>
              <w:rPr>
                <w:rFonts w:ascii="Arial" w:hAnsi="Arial" w:cs="Arial"/>
                <w:sz w:val="16"/>
                <w:szCs w:val="16"/>
              </w:rPr>
            </w:pPr>
            <w:r w:rsidRPr="00673C1F">
              <w:rPr>
                <w:rFonts w:ascii="Arial" w:hAnsi="Arial" w:cs="Arial"/>
                <w:sz w:val="16"/>
                <w:szCs w:val="16"/>
              </w:rPr>
              <w:noBreakHyphen/>
            </w:r>
            <w:r w:rsidR="00C12218" w:rsidRPr="00673C1F">
              <w:rPr>
                <w:rFonts w:ascii="Arial" w:hAnsi="Arial" w:cs="Arial"/>
                <w:sz w:val="16"/>
                <w:szCs w:val="16"/>
              </w:rPr>
              <w:t>30</w:t>
            </w:r>
          </w:p>
        </w:tc>
        <w:tc>
          <w:tcPr>
            <w:tcW w:w="484" w:type="pct"/>
            <w:tcBorders>
              <w:top w:val="nil"/>
              <w:left w:val="nil"/>
              <w:bottom w:val="nil"/>
              <w:right w:val="nil"/>
            </w:tcBorders>
            <w:shd w:val="clear" w:color="000000" w:fill="E6F2FF"/>
            <w:noWrap/>
            <w:vAlign w:val="center"/>
            <w:hideMark/>
          </w:tcPr>
          <w:p w14:paraId="1DB5F24A" w14:textId="77777777" w:rsidR="00C12218" w:rsidRPr="00673C1F" w:rsidRDefault="00C12218" w:rsidP="00C12218">
            <w:pPr>
              <w:spacing w:before="0" w:after="0" w:line="240" w:lineRule="auto"/>
              <w:jc w:val="right"/>
              <w:rPr>
                <w:rFonts w:ascii="Arial" w:hAnsi="Arial" w:cs="Arial"/>
                <w:sz w:val="16"/>
                <w:szCs w:val="16"/>
              </w:rPr>
            </w:pPr>
            <w:r w:rsidRPr="00673C1F">
              <w:rPr>
                <w:rFonts w:ascii="Arial" w:hAnsi="Arial" w:cs="Arial"/>
                <w:sz w:val="16"/>
                <w:szCs w:val="16"/>
              </w:rPr>
              <w:t>1,669</w:t>
            </w:r>
          </w:p>
        </w:tc>
        <w:tc>
          <w:tcPr>
            <w:tcW w:w="484" w:type="pct"/>
            <w:tcBorders>
              <w:top w:val="nil"/>
              <w:left w:val="nil"/>
              <w:bottom w:val="nil"/>
              <w:right w:val="nil"/>
            </w:tcBorders>
            <w:shd w:val="clear" w:color="auto" w:fill="auto"/>
            <w:noWrap/>
            <w:vAlign w:val="center"/>
            <w:hideMark/>
          </w:tcPr>
          <w:p w14:paraId="681CB40F" w14:textId="608AD5F7" w:rsidR="00C12218" w:rsidRPr="00673C1F" w:rsidRDefault="006D727E" w:rsidP="00C12218">
            <w:pPr>
              <w:spacing w:before="0" w:after="0" w:line="240" w:lineRule="auto"/>
              <w:jc w:val="right"/>
              <w:rPr>
                <w:rFonts w:ascii="Arial" w:hAnsi="Arial" w:cs="Arial"/>
                <w:sz w:val="16"/>
                <w:szCs w:val="16"/>
              </w:rPr>
            </w:pPr>
            <w:r w:rsidRPr="00673C1F">
              <w:rPr>
                <w:rFonts w:ascii="Arial" w:hAnsi="Arial" w:cs="Arial"/>
                <w:sz w:val="16"/>
                <w:szCs w:val="16"/>
              </w:rPr>
              <w:noBreakHyphen/>
            </w:r>
            <w:r w:rsidR="00C12218" w:rsidRPr="00673C1F">
              <w:rPr>
                <w:rFonts w:ascii="Arial" w:hAnsi="Arial" w:cs="Arial"/>
                <w:sz w:val="16"/>
                <w:szCs w:val="16"/>
              </w:rPr>
              <w:t>1,699</w:t>
            </w:r>
          </w:p>
        </w:tc>
        <w:tc>
          <w:tcPr>
            <w:tcW w:w="484" w:type="pct"/>
            <w:tcBorders>
              <w:top w:val="nil"/>
              <w:left w:val="nil"/>
              <w:bottom w:val="nil"/>
              <w:right w:val="nil"/>
            </w:tcBorders>
            <w:shd w:val="clear" w:color="auto" w:fill="auto"/>
            <w:noWrap/>
            <w:vAlign w:val="center"/>
            <w:hideMark/>
          </w:tcPr>
          <w:p w14:paraId="30347F9D" w14:textId="77777777" w:rsidR="00C12218" w:rsidRPr="00673C1F" w:rsidRDefault="00C12218" w:rsidP="00C12218">
            <w:pPr>
              <w:spacing w:before="0" w:after="0" w:line="240" w:lineRule="auto"/>
              <w:jc w:val="right"/>
              <w:rPr>
                <w:rFonts w:ascii="Arial" w:hAnsi="Arial" w:cs="Arial"/>
                <w:sz w:val="16"/>
                <w:szCs w:val="16"/>
              </w:rPr>
            </w:pPr>
            <w:r w:rsidRPr="00673C1F">
              <w:rPr>
                <w:rFonts w:ascii="Arial" w:hAnsi="Arial" w:cs="Arial"/>
                <w:sz w:val="16"/>
                <w:szCs w:val="16"/>
              </w:rPr>
              <w:t>1,161</w:t>
            </w:r>
          </w:p>
        </w:tc>
        <w:tc>
          <w:tcPr>
            <w:tcW w:w="484" w:type="pct"/>
            <w:tcBorders>
              <w:top w:val="nil"/>
              <w:left w:val="nil"/>
              <w:bottom w:val="nil"/>
              <w:right w:val="nil"/>
            </w:tcBorders>
            <w:shd w:val="clear" w:color="auto" w:fill="auto"/>
            <w:noWrap/>
            <w:vAlign w:val="center"/>
            <w:hideMark/>
          </w:tcPr>
          <w:p w14:paraId="69106D8B" w14:textId="77777777" w:rsidR="00C12218" w:rsidRPr="00673C1F" w:rsidRDefault="00C12218" w:rsidP="00C12218">
            <w:pPr>
              <w:spacing w:before="0" w:after="0" w:line="240" w:lineRule="auto"/>
              <w:jc w:val="right"/>
              <w:rPr>
                <w:rFonts w:ascii="Arial" w:hAnsi="Arial" w:cs="Arial"/>
                <w:sz w:val="16"/>
                <w:szCs w:val="16"/>
              </w:rPr>
            </w:pPr>
            <w:r w:rsidRPr="00673C1F">
              <w:rPr>
                <w:rFonts w:ascii="Arial" w:hAnsi="Arial" w:cs="Arial"/>
                <w:sz w:val="16"/>
                <w:szCs w:val="16"/>
              </w:rPr>
              <w:t>3,808</w:t>
            </w:r>
          </w:p>
        </w:tc>
        <w:tc>
          <w:tcPr>
            <w:tcW w:w="53" w:type="pct"/>
            <w:tcBorders>
              <w:top w:val="nil"/>
              <w:left w:val="nil"/>
              <w:bottom w:val="nil"/>
              <w:right w:val="nil"/>
            </w:tcBorders>
            <w:shd w:val="clear" w:color="auto" w:fill="auto"/>
            <w:noWrap/>
            <w:vAlign w:val="center"/>
            <w:hideMark/>
          </w:tcPr>
          <w:p w14:paraId="36476096" w14:textId="77777777" w:rsidR="00C12218" w:rsidRPr="00673C1F" w:rsidRDefault="00C12218" w:rsidP="00C12218">
            <w:pPr>
              <w:spacing w:before="0" w:after="0" w:line="240" w:lineRule="auto"/>
              <w:jc w:val="right"/>
              <w:rPr>
                <w:rFonts w:ascii="Arial" w:hAnsi="Arial" w:cs="Arial"/>
                <w:sz w:val="16"/>
                <w:szCs w:val="16"/>
              </w:rPr>
            </w:pPr>
          </w:p>
        </w:tc>
        <w:tc>
          <w:tcPr>
            <w:tcW w:w="508" w:type="pct"/>
            <w:tcBorders>
              <w:top w:val="nil"/>
              <w:left w:val="nil"/>
              <w:bottom w:val="nil"/>
              <w:right w:val="nil"/>
            </w:tcBorders>
            <w:shd w:val="clear" w:color="auto" w:fill="auto"/>
            <w:noWrap/>
            <w:vAlign w:val="center"/>
            <w:hideMark/>
          </w:tcPr>
          <w:p w14:paraId="6B513454" w14:textId="77777777" w:rsidR="00C12218" w:rsidRPr="00673C1F" w:rsidRDefault="00C12218" w:rsidP="00C12218">
            <w:pPr>
              <w:spacing w:before="0" w:after="0" w:line="240" w:lineRule="auto"/>
              <w:jc w:val="right"/>
              <w:rPr>
                <w:rFonts w:ascii="Arial" w:hAnsi="Arial" w:cs="Arial"/>
                <w:sz w:val="16"/>
                <w:szCs w:val="16"/>
              </w:rPr>
            </w:pPr>
            <w:r w:rsidRPr="00673C1F">
              <w:rPr>
                <w:rFonts w:ascii="Arial" w:hAnsi="Arial" w:cs="Arial"/>
                <w:sz w:val="16"/>
                <w:szCs w:val="16"/>
              </w:rPr>
              <w:t>4,909</w:t>
            </w:r>
          </w:p>
        </w:tc>
      </w:tr>
      <w:tr w:rsidR="00CB0FFB" w:rsidRPr="00673C1F" w14:paraId="4ADA3671" w14:textId="77777777" w:rsidTr="00C12218">
        <w:trPr>
          <w:trHeight w:hRule="exact" w:val="225"/>
        </w:trPr>
        <w:tc>
          <w:tcPr>
            <w:tcW w:w="2018" w:type="pct"/>
            <w:tcBorders>
              <w:top w:val="nil"/>
              <w:left w:val="nil"/>
              <w:bottom w:val="nil"/>
              <w:right w:val="nil"/>
            </w:tcBorders>
            <w:shd w:val="clear" w:color="auto" w:fill="auto"/>
            <w:vAlign w:val="center"/>
            <w:hideMark/>
          </w:tcPr>
          <w:p w14:paraId="40A464C3" w14:textId="77777777" w:rsidR="00C12218" w:rsidRPr="00673C1F" w:rsidRDefault="00C12218" w:rsidP="00C12218">
            <w:pPr>
              <w:spacing w:before="0" w:after="0" w:line="240" w:lineRule="auto"/>
              <w:rPr>
                <w:rFonts w:ascii="Arial" w:hAnsi="Arial" w:cs="Arial"/>
                <w:sz w:val="16"/>
                <w:szCs w:val="16"/>
              </w:rPr>
            </w:pPr>
            <w:r w:rsidRPr="00673C1F">
              <w:rPr>
                <w:rFonts w:ascii="Arial" w:hAnsi="Arial" w:cs="Arial"/>
                <w:sz w:val="16"/>
                <w:szCs w:val="16"/>
              </w:rPr>
              <w:t>Effect of parameter and other variations </w:t>
            </w:r>
          </w:p>
        </w:tc>
        <w:tc>
          <w:tcPr>
            <w:tcW w:w="484" w:type="pct"/>
            <w:tcBorders>
              <w:top w:val="nil"/>
              <w:left w:val="nil"/>
              <w:bottom w:val="nil"/>
              <w:right w:val="nil"/>
            </w:tcBorders>
            <w:shd w:val="clear" w:color="auto" w:fill="auto"/>
            <w:noWrap/>
            <w:vAlign w:val="center"/>
            <w:hideMark/>
          </w:tcPr>
          <w:p w14:paraId="7DBA6900" w14:textId="77777777" w:rsidR="00C12218" w:rsidRPr="00673C1F" w:rsidRDefault="00C12218" w:rsidP="00C12218">
            <w:pPr>
              <w:spacing w:before="0" w:after="0" w:line="240" w:lineRule="auto"/>
              <w:jc w:val="right"/>
              <w:rPr>
                <w:rFonts w:ascii="Arial" w:hAnsi="Arial" w:cs="Arial"/>
                <w:sz w:val="16"/>
                <w:szCs w:val="16"/>
              </w:rPr>
            </w:pPr>
            <w:r w:rsidRPr="00673C1F">
              <w:rPr>
                <w:rFonts w:ascii="Arial" w:hAnsi="Arial" w:cs="Arial"/>
                <w:sz w:val="16"/>
                <w:szCs w:val="16"/>
              </w:rPr>
              <w:t>6,114</w:t>
            </w:r>
          </w:p>
        </w:tc>
        <w:tc>
          <w:tcPr>
            <w:tcW w:w="484" w:type="pct"/>
            <w:tcBorders>
              <w:top w:val="nil"/>
              <w:left w:val="nil"/>
              <w:bottom w:val="nil"/>
              <w:right w:val="nil"/>
            </w:tcBorders>
            <w:shd w:val="clear" w:color="000000" w:fill="E6F2FF"/>
            <w:noWrap/>
            <w:vAlign w:val="center"/>
            <w:hideMark/>
          </w:tcPr>
          <w:p w14:paraId="735B0EDF" w14:textId="77777777" w:rsidR="00C12218" w:rsidRPr="00673C1F" w:rsidRDefault="00C12218" w:rsidP="00C12218">
            <w:pPr>
              <w:spacing w:before="0" w:after="0" w:line="240" w:lineRule="auto"/>
              <w:jc w:val="right"/>
              <w:rPr>
                <w:rFonts w:ascii="Arial" w:hAnsi="Arial" w:cs="Arial"/>
                <w:sz w:val="16"/>
                <w:szCs w:val="16"/>
              </w:rPr>
            </w:pPr>
            <w:r w:rsidRPr="00673C1F">
              <w:rPr>
                <w:rFonts w:ascii="Arial" w:hAnsi="Arial" w:cs="Arial"/>
                <w:sz w:val="16"/>
                <w:szCs w:val="16"/>
              </w:rPr>
              <w:t>7,330</w:t>
            </w:r>
          </w:p>
        </w:tc>
        <w:tc>
          <w:tcPr>
            <w:tcW w:w="484" w:type="pct"/>
            <w:tcBorders>
              <w:top w:val="nil"/>
              <w:left w:val="nil"/>
              <w:bottom w:val="nil"/>
              <w:right w:val="nil"/>
            </w:tcBorders>
            <w:shd w:val="clear" w:color="auto" w:fill="auto"/>
            <w:noWrap/>
            <w:vAlign w:val="center"/>
            <w:hideMark/>
          </w:tcPr>
          <w:p w14:paraId="0756742E" w14:textId="77777777" w:rsidR="00C12218" w:rsidRPr="00673C1F" w:rsidRDefault="00C12218" w:rsidP="00C12218">
            <w:pPr>
              <w:spacing w:before="0" w:after="0" w:line="240" w:lineRule="auto"/>
              <w:jc w:val="right"/>
              <w:rPr>
                <w:rFonts w:ascii="Arial" w:hAnsi="Arial" w:cs="Arial"/>
                <w:sz w:val="16"/>
                <w:szCs w:val="16"/>
              </w:rPr>
            </w:pPr>
            <w:r w:rsidRPr="00673C1F">
              <w:rPr>
                <w:rFonts w:ascii="Arial" w:hAnsi="Arial" w:cs="Arial"/>
                <w:sz w:val="16"/>
                <w:szCs w:val="16"/>
              </w:rPr>
              <w:t>5,959</w:t>
            </w:r>
          </w:p>
        </w:tc>
        <w:tc>
          <w:tcPr>
            <w:tcW w:w="484" w:type="pct"/>
            <w:tcBorders>
              <w:top w:val="nil"/>
              <w:left w:val="nil"/>
              <w:bottom w:val="nil"/>
              <w:right w:val="nil"/>
            </w:tcBorders>
            <w:shd w:val="clear" w:color="auto" w:fill="auto"/>
            <w:noWrap/>
            <w:vAlign w:val="center"/>
            <w:hideMark/>
          </w:tcPr>
          <w:p w14:paraId="1AB3C33C" w14:textId="77777777" w:rsidR="00C12218" w:rsidRPr="00673C1F" w:rsidRDefault="00C12218" w:rsidP="00C12218">
            <w:pPr>
              <w:spacing w:before="0" w:after="0" w:line="240" w:lineRule="auto"/>
              <w:jc w:val="right"/>
              <w:rPr>
                <w:rFonts w:ascii="Arial" w:hAnsi="Arial" w:cs="Arial"/>
                <w:sz w:val="16"/>
                <w:szCs w:val="16"/>
              </w:rPr>
            </w:pPr>
            <w:r w:rsidRPr="00673C1F">
              <w:rPr>
                <w:rFonts w:ascii="Arial" w:hAnsi="Arial" w:cs="Arial"/>
                <w:sz w:val="16"/>
                <w:szCs w:val="16"/>
              </w:rPr>
              <w:t>1,068</w:t>
            </w:r>
          </w:p>
        </w:tc>
        <w:tc>
          <w:tcPr>
            <w:tcW w:w="484" w:type="pct"/>
            <w:tcBorders>
              <w:top w:val="nil"/>
              <w:left w:val="nil"/>
              <w:bottom w:val="nil"/>
              <w:right w:val="nil"/>
            </w:tcBorders>
            <w:shd w:val="clear" w:color="auto" w:fill="auto"/>
            <w:noWrap/>
            <w:vAlign w:val="center"/>
            <w:hideMark/>
          </w:tcPr>
          <w:p w14:paraId="7D5582F3" w14:textId="77777777" w:rsidR="00C12218" w:rsidRPr="00673C1F" w:rsidRDefault="00C12218" w:rsidP="00C12218">
            <w:pPr>
              <w:spacing w:before="0" w:after="0" w:line="240" w:lineRule="auto"/>
              <w:jc w:val="right"/>
              <w:rPr>
                <w:rFonts w:ascii="Arial" w:hAnsi="Arial" w:cs="Arial"/>
                <w:sz w:val="16"/>
                <w:szCs w:val="16"/>
              </w:rPr>
            </w:pPr>
            <w:r w:rsidRPr="00673C1F">
              <w:rPr>
                <w:rFonts w:ascii="Arial" w:hAnsi="Arial" w:cs="Arial"/>
                <w:sz w:val="16"/>
                <w:szCs w:val="16"/>
              </w:rPr>
              <w:t>640</w:t>
            </w:r>
          </w:p>
        </w:tc>
        <w:tc>
          <w:tcPr>
            <w:tcW w:w="53" w:type="pct"/>
            <w:tcBorders>
              <w:top w:val="nil"/>
              <w:left w:val="nil"/>
              <w:bottom w:val="nil"/>
              <w:right w:val="nil"/>
            </w:tcBorders>
            <w:shd w:val="clear" w:color="auto" w:fill="auto"/>
            <w:noWrap/>
            <w:vAlign w:val="center"/>
            <w:hideMark/>
          </w:tcPr>
          <w:p w14:paraId="548DA048" w14:textId="77777777" w:rsidR="00C12218" w:rsidRPr="00673C1F" w:rsidRDefault="00C12218" w:rsidP="00C12218">
            <w:pPr>
              <w:spacing w:before="0" w:after="0" w:line="240" w:lineRule="auto"/>
              <w:jc w:val="right"/>
              <w:rPr>
                <w:rFonts w:ascii="Arial" w:hAnsi="Arial" w:cs="Arial"/>
                <w:sz w:val="16"/>
                <w:szCs w:val="16"/>
              </w:rPr>
            </w:pPr>
          </w:p>
        </w:tc>
        <w:tc>
          <w:tcPr>
            <w:tcW w:w="508" w:type="pct"/>
            <w:tcBorders>
              <w:top w:val="nil"/>
              <w:left w:val="nil"/>
              <w:bottom w:val="nil"/>
              <w:right w:val="nil"/>
            </w:tcBorders>
            <w:shd w:val="clear" w:color="auto" w:fill="auto"/>
            <w:noWrap/>
            <w:vAlign w:val="center"/>
            <w:hideMark/>
          </w:tcPr>
          <w:p w14:paraId="584ADBAC" w14:textId="77777777" w:rsidR="00C12218" w:rsidRPr="00673C1F" w:rsidRDefault="00C12218" w:rsidP="00C12218">
            <w:pPr>
              <w:spacing w:before="0" w:after="0" w:line="240" w:lineRule="auto"/>
              <w:jc w:val="right"/>
              <w:rPr>
                <w:rFonts w:ascii="Arial" w:hAnsi="Arial" w:cs="Arial"/>
                <w:sz w:val="16"/>
                <w:szCs w:val="16"/>
              </w:rPr>
            </w:pPr>
            <w:r w:rsidRPr="00673C1F">
              <w:rPr>
                <w:rFonts w:ascii="Arial" w:hAnsi="Arial" w:cs="Arial"/>
                <w:sz w:val="16"/>
                <w:szCs w:val="16"/>
              </w:rPr>
              <w:t>21,111</w:t>
            </w:r>
          </w:p>
        </w:tc>
      </w:tr>
      <w:tr w:rsidR="00CB0FFB" w:rsidRPr="00673C1F" w14:paraId="1722995F" w14:textId="77777777" w:rsidTr="00C12218">
        <w:trPr>
          <w:trHeight w:hRule="exact" w:val="225"/>
        </w:trPr>
        <w:tc>
          <w:tcPr>
            <w:tcW w:w="2018" w:type="pct"/>
            <w:tcBorders>
              <w:top w:val="nil"/>
              <w:left w:val="nil"/>
              <w:bottom w:val="nil"/>
              <w:right w:val="nil"/>
            </w:tcBorders>
            <w:shd w:val="clear" w:color="auto" w:fill="auto"/>
            <w:vAlign w:val="center"/>
            <w:hideMark/>
          </w:tcPr>
          <w:p w14:paraId="3067688A" w14:textId="77777777" w:rsidR="00C12218" w:rsidRPr="00673C1F" w:rsidRDefault="00C12218" w:rsidP="00C12218">
            <w:pPr>
              <w:spacing w:before="0" w:after="0" w:line="240" w:lineRule="auto"/>
              <w:rPr>
                <w:rFonts w:ascii="Arial" w:hAnsi="Arial" w:cs="Arial"/>
                <w:b/>
                <w:bCs/>
                <w:sz w:val="16"/>
                <w:szCs w:val="16"/>
              </w:rPr>
            </w:pPr>
            <w:r w:rsidRPr="00673C1F">
              <w:rPr>
                <w:rFonts w:ascii="Arial" w:hAnsi="Arial" w:cs="Arial"/>
                <w:b/>
                <w:bCs/>
                <w:sz w:val="16"/>
                <w:szCs w:val="16"/>
              </w:rPr>
              <w:t>Total variations </w:t>
            </w:r>
          </w:p>
        </w:tc>
        <w:tc>
          <w:tcPr>
            <w:tcW w:w="484" w:type="pct"/>
            <w:tcBorders>
              <w:top w:val="single" w:sz="4" w:space="0" w:color="293F5B"/>
              <w:left w:val="nil"/>
              <w:bottom w:val="single" w:sz="4" w:space="0" w:color="293F5B"/>
              <w:right w:val="nil"/>
            </w:tcBorders>
            <w:shd w:val="clear" w:color="auto" w:fill="auto"/>
            <w:noWrap/>
            <w:vAlign w:val="center"/>
            <w:hideMark/>
          </w:tcPr>
          <w:p w14:paraId="0A2247A9" w14:textId="77777777" w:rsidR="00C12218" w:rsidRPr="00673C1F" w:rsidRDefault="00C12218" w:rsidP="00C12218">
            <w:pPr>
              <w:spacing w:before="0" w:after="0" w:line="240" w:lineRule="auto"/>
              <w:jc w:val="right"/>
              <w:rPr>
                <w:rFonts w:ascii="Arial" w:hAnsi="Arial" w:cs="Arial"/>
                <w:b/>
                <w:bCs/>
                <w:sz w:val="16"/>
                <w:szCs w:val="16"/>
              </w:rPr>
            </w:pPr>
            <w:r w:rsidRPr="00673C1F">
              <w:rPr>
                <w:rFonts w:ascii="Arial" w:hAnsi="Arial" w:cs="Arial"/>
                <w:b/>
                <w:bCs/>
                <w:sz w:val="16"/>
                <w:szCs w:val="16"/>
              </w:rPr>
              <w:t>6,084</w:t>
            </w:r>
          </w:p>
        </w:tc>
        <w:tc>
          <w:tcPr>
            <w:tcW w:w="484" w:type="pct"/>
            <w:tcBorders>
              <w:top w:val="single" w:sz="4" w:space="0" w:color="293F5B"/>
              <w:left w:val="nil"/>
              <w:bottom w:val="single" w:sz="4" w:space="0" w:color="293F5B"/>
              <w:right w:val="nil"/>
            </w:tcBorders>
            <w:shd w:val="clear" w:color="000000" w:fill="E6F2FF"/>
            <w:noWrap/>
            <w:vAlign w:val="center"/>
            <w:hideMark/>
          </w:tcPr>
          <w:p w14:paraId="6023C37B" w14:textId="77777777" w:rsidR="00C12218" w:rsidRPr="00673C1F" w:rsidRDefault="00C12218" w:rsidP="00C12218">
            <w:pPr>
              <w:spacing w:before="0" w:after="0" w:line="240" w:lineRule="auto"/>
              <w:jc w:val="right"/>
              <w:rPr>
                <w:rFonts w:ascii="Arial" w:hAnsi="Arial" w:cs="Arial"/>
                <w:b/>
                <w:bCs/>
                <w:sz w:val="16"/>
                <w:szCs w:val="16"/>
              </w:rPr>
            </w:pPr>
            <w:r w:rsidRPr="00673C1F">
              <w:rPr>
                <w:rFonts w:ascii="Arial" w:hAnsi="Arial" w:cs="Arial"/>
                <w:b/>
                <w:bCs/>
                <w:sz w:val="16"/>
                <w:szCs w:val="16"/>
              </w:rPr>
              <w:t>8,999</w:t>
            </w:r>
          </w:p>
        </w:tc>
        <w:tc>
          <w:tcPr>
            <w:tcW w:w="484" w:type="pct"/>
            <w:tcBorders>
              <w:top w:val="single" w:sz="4" w:space="0" w:color="293F5B"/>
              <w:left w:val="nil"/>
              <w:bottom w:val="single" w:sz="4" w:space="0" w:color="293F5B"/>
              <w:right w:val="nil"/>
            </w:tcBorders>
            <w:shd w:val="clear" w:color="auto" w:fill="auto"/>
            <w:noWrap/>
            <w:vAlign w:val="center"/>
            <w:hideMark/>
          </w:tcPr>
          <w:p w14:paraId="570F4283" w14:textId="77777777" w:rsidR="00C12218" w:rsidRPr="00673C1F" w:rsidRDefault="00C12218" w:rsidP="00C12218">
            <w:pPr>
              <w:spacing w:before="0" w:after="0" w:line="240" w:lineRule="auto"/>
              <w:jc w:val="right"/>
              <w:rPr>
                <w:rFonts w:ascii="Arial" w:hAnsi="Arial" w:cs="Arial"/>
                <w:b/>
                <w:bCs/>
                <w:sz w:val="16"/>
                <w:szCs w:val="16"/>
              </w:rPr>
            </w:pPr>
            <w:r w:rsidRPr="00673C1F">
              <w:rPr>
                <w:rFonts w:ascii="Arial" w:hAnsi="Arial" w:cs="Arial"/>
                <w:b/>
                <w:bCs/>
                <w:sz w:val="16"/>
                <w:szCs w:val="16"/>
              </w:rPr>
              <w:t>4,260</w:t>
            </w:r>
          </w:p>
        </w:tc>
        <w:tc>
          <w:tcPr>
            <w:tcW w:w="484" w:type="pct"/>
            <w:tcBorders>
              <w:top w:val="single" w:sz="4" w:space="0" w:color="293F5B"/>
              <w:left w:val="nil"/>
              <w:bottom w:val="single" w:sz="4" w:space="0" w:color="293F5B"/>
              <w:right w:val="nil"/>
            </w:tcBorders>
            <w:shd w:val="clear" w:color="auto" w:fill="auto"/>
            <w:noWrap/>
            <w:vAlign w:val="center"/>
            <w:hideMark/>
          </w:tcPr>
          <w:p w14:paraId="7F778CF4" w14:textId="77777777" w:rsidR="00C12218" w:rsidRPr="00673C1F" w:rsidRDefault="00C12218" w:rsidP="00C12218">
            <w:pPr>
              <w:spacing w:before="0" w:after="0" w:line="240" w:lineRule="auto"/>
              <w:jc w:val="right"/>
              <w:rPr>
                <w:rFonts w:ascii="Arial" w:hAnsi="Arial" w:cs="Arial"/>
                <w:b/>
                <w:bCs/>
                <w:sz w:val="16"/>
                <w:szCs w:val="16"/>
              </w:rPr>
            </w:pPr>
            <w:r w:rsidRPr="00673C1F">
              <w:rPr>
                <w:rFonts w:ascii="Arial" w:hAnsi="Arial" w:cs="Arial"/>
                <w:b/>
                <w:bCs/>
                <w:sz w:val="16"/>
                <w:szCs w:val="16"/>
              </w:rPr>
              <w:t>2,229</w:t>
            </w:r>
          </w:p>
        </w:tc>
        <w:tc>
          <w:tcPr>
            <w:tcW w:w="484" w:type="pct"/>
            <w:tcBorders>
              <w:top w:val="single" w:sz="4" w:space="0" w:color="293F5B"/>
              <w:left w:val="nil"/>
              <w:bottom w:val="single" w:sz="4" w:space="0" w:color="293F5B"/>
              <w:right w:val="nil"/>
            </w:tcBorders>
            <w:shd w:val="clear" w:color="auto" w:fill="auto"/>
            <w:noWrap/>
            <w:vAlign w:val="center"/>
            <w:hideMark/>
          </w:tcPr>
          <w:p w14:paraId="28676607" w14:textId="77777777" w:rsidR="00C12218" w:rsidRPr="00673C1F" w:rsidRDefault="00C12218" w:rsidP="00C12218">
            <w:pPr>
              <w:spacing w:before="0" w:after="0" w:line="240" w:lineRule="auto"/>
              <w:jc w:val="right"/>
              <w:rPr>
                <w:rFonts w:ascii="Arial" w:hAnsi="Arial" w:cs="Arial"/>
                <w:b/>
                <w:bCs/>
                <w:sz w:val="16"/>
                <w:szCs w:val="16"/>
              </w:rPr>
            </w:pPr>
            <w:r w:rsidRPr="00673C1F">
              <w:rPr>
                <w:rFonts w:ascii="Arial" w:hAnsi="Arial" w:cs="Arial"/>
                <w:b/>
                <w:bCs/>
                <w:sz w:val="16"/>
                <w:szCs w:val="16"/>
              </w:rPr>
              <w:t>4,448</w:t>
            </w:r>
          </w:p>
        </w:tc>
        <w:tc>
          <w:tcPr>
            <w:tcW w:w="53" w:type="pct"/>
            <w:tcBorders>
              <w:top w:val="nil"/>
              <w:left w:val="nil"/>
              <w:bottom w:val="nil"/>
              <w:right w:val="nil"/>
            </w:tcBorders>
            <w:shd w:val="clear" w:color="auto" w:fill="auto"/>
            <w:noWrap/>
            <w:vAlign w:val="center"/>
            <w:hideMark/>
          </w:tcPr>
          <w:p w14:paraId="21C1D7E9" w14:textId="77777777" w:rsidR="00C12218" w:rsidRPr="00673C1F" w:rsidRDefault="00C12218" w:rsidP="00C12218">
            <w:pPr>
              <w:spacing w:before="0" w:after="0" w:line="240" w:lineRule="auto"/>
              <w:jc w:val="right"/>
              <w:rPr>
                <w:rFonts w:ascii="Arial" w:hAnsi="Arial" w:cs="Arial"/>
                <w:b/>
                <w:bCs/>
                <w:sz w:val="16"/>
                <w:szCs w:val="16"/>
              </w:rPr>
            </w:pPr>
          </w:p>
        </w:tc>
        <w:tc>
          <w:tcPr>
            <w:tcW w:w="508" w:type="pct"/>
            <w:tcBorders>
              <w:top w:val="single" w:sz="4" w:space="0" w:color="293F5B"/>
              <w:left w:val="nil"/>
              <w:bottom w:val="single" w:sz="4" w:space="0" w:color="293F5B"/>
              <w:right w:val="nil"/>
            </w:tcBorders>
            <w:shd w:val="clear" w:color="auto" w:fill="auto"/>
            <w:noWrap/>
            <w:vAlign w:val="center"/>
            <w:hideMark/>
          </w:tcPr>
          <w:p w14:paraId="2484D66B" w14:textId="77777777" w:rsidR="00C12218" w:rsidRPr="00673C1F" w:rsidRDefault="00C12218" w:rsidP="00C12218">
            <w:pPr>
              <w:spacing w:before="0" w:after="0" w:line="240" w:lineRule="auto"/>
              <w:jc w:val="right"/>
              <w:rPr>
                <w:rFonts w:ascii="Arial" w:hAnsi="Arial" w:cs="Arial"/>
                <w:b/>
                <w:bCs/>
                <w:sz w:val="16"/>
                <w:szCs w:val="16"/>
              </w:rPr>
            </w:pPr>
            <w:r w:rsidRPr="00673C1F">
              <w:rPr>
                <w:rFonts w:ascii="Arial" w:hAnsi="Arial" w:cs="Arial"/>
                <w:b/>
                <w:bCs/>
                <w:sz w:val="16"/>
                <w:szCs w:val="16"/>
              </w:rPr>
              <w:t>26,020</w:t>
            </w:r>
          </w:p>
        </w:tc>
      </w:tr>
      <w:tr w:rsidR="00CB0FFB" w:rsidRPr="00673C1F" w14:paraId="33E9E0B7" w14:textId="77777777" w:rsidTr="00C12218">
        <w:trPr>
          <w:trHeight w:hRule="exact" w:val="60"/>
        </w:trPr>
        <w:tc>
          <w:tcPr>
            <w:tcW w:w="2018" w:type="pct"/>
            <w:tcBorders>
              <w:top w:val="nil"/>
              <w:left w:val="nil"/>
              <w:bottom w:val="nil"/>
              <w:right w:val="nil"/>
            </w:tcBorders>
            <w:shd w:val="clear" w:color="auto" w:fill="auto"/>
            <w:vAlign w:val="center"/>
            <w:hideMark/>
          </w:tcPr>
          <w:p w14:paraId="25628477" w14:textId="77777777" w:rsidR="00C12218" w:rsidRPr="00673C1F" w:rsidRDefault="00C12218" w:rsidP="00C12218">
            <w:pPr>
              <w:spacing w:before="0" w:after="0" w:line="240" w:lineRule="auto"/>
              <w:jc w:val="right"/>
              <w:rPr>
                <w:rFonts w:ascii="Arial" w:hAnsi="Arial" w:cs="Arial"/>
                <w:b/>
                <w:bCs/>
                <w:sz w:val="16"/>
                <w:szCs w:val="16"/>
              </w:rPr>
            </w:pPr>
          </w:p>
        </w:tc>
        <w:tc>
          <w:tcPr>
            <w:tcW w:w="484" w:type="pct"/>
            <w:tcBorders>
              <w:top w:val="nil"/>
              <w:left w:val="nil"/>
              <w:bottom w:val="nil"/>
              <w:right w:val="nil"/>
            </w:tcBorders>
            <w:shd w:val="clear" w:color="auto" w:fill="auto"/>
            <w:noWrap/>
            <w:vAlign w:val="center"/>
            <w:hideMark/>
          </w:tcPr>
          <w:p w14:paraId="4F80907D" w14:textId="77777777" w:rsidR="00C12218" w:rsidRPr="00673C1F" w:rsidRDefault="00C12218" w:rsidP="00C12218">
            <w:pPr>
              <w:spacing w:before="0" w:after="0" w:line="240" w:lineRule="auto"/>
              <w:rPr>
                <w:rFonts w:ascii="Times New Roman" w:hAnsi="Times New Roman"/>
                <w:sz w:val="20"/>
              </w:rPr>
            </w:pPr>
          </w:p>
        </w:tc>
        <w:tc>
          <w:tcPr>
            <w:tcW w:w="484" w:type="pct"/>
            <w:tcBorders>
              <w:top w:val="nil"/>
              <w:left w:val="nil"/>
              <w:bottom w:val="nil"/>
              <w:right w:val="nil"/>
            </w:tcBorders>
            <w:shd w:val="clear" w:color="000000" w:fill="E6F2FF"/>
            <w:noWrap/>
            <w:vAlign w:val="center"/>
            <w:hideMark/>
          </w:tcPr>
          <w:p w14:paraId="1233DB49" w14:textId="77777777" w:rsidR="00C12218" w:rsidRPr="00673C1F" w:rsidRDefault="00C12218" w:rsidP="00C12218">
            <w:pPr>
              <w:spacing w:before="0" w:after="0" w:line="240" w:lineRule="auto"/>
              <w:jc w:val="right"/>
              <w:rPr>
                <w:rFonts w:ascii="Arial" w:hAnsi="Arial" w:cs="Arial"/>
                <w:sz w:val="16"/>
                <w:szCs w:val="16"/>
              </w:rPr>
            </w:pPr>
            <w:r w:rsidRPr="00673C1F">
              <w:rPr>
                <w:rFonts w:ascii="Arial" w:hAnsi="Arial" w:cs="Arial"/>
                <w:sz w:val="16"/>
                <w:szCs w:val="16"/>
              </w:rPr>
              <w:t> </w:t>
            </w:r>
          </w:p>
        </w:tc>
        <w:tc>
          <w:tcPr>
            <w:tcW w:w="484" w:type="pct"/>
            <w:tcBorders>
              <w:top w:val="nil"/>
              <w:left w:val="nil"/>
              <w:bottom w:val="nil"/>
              <w:right w:val="nil"/>
            </w:tcBorders>
            <w:shd w:val="clear" w:color="auto" w:fill="auto"/>
            <w:noWrap/>
            <w:vAlign w:val="center"/>
            <w:hideMark/>
          </w:tcPr>
          <w:p w14:paraId="6A704B1F" w14:textId="77777777" w:rsidR="00C12218" w:rsidRPr="00673C1F" w:rsidRDefault="00C12218" w:rsidP="00C12218">
            <w:pPr>
              <w:spacing w:before="0" w:after="0" w:line="240" w:lineRule="auto"/>
              <w:jc w:val="right"/>
              <w:rPr>
                <w:rFonts w:ascii="Arial" w:hAnsi="Arial" w:cs="Arial"/>
                <w:sz w:val="16"/>
                <w:szCs w:val="16"/>
              </w:rPr>
            </w:pPr>
          </w:p>
        </w:tc>
        <w:tc>
          <w:tcPr>
            <w:tcW w:w="484" w:type="pct"/>
            <w:tcBorders>
              <w:top w:val="nil"/>
              <w:left w:val="nil"/>
              <w:bottom w:val="nil"/>
              <w:right w:val="nil"/>
            </w:tcBorders>
            <w:shd w:val="clear" w:color="auto" w:fill="auto"/>
            <w:noWrap/>
            <w:vAlign w:val="center"/>
            <w:hideMark/>
          </w:tcPr>
          <w:p w14:paraId="70FEC8AA" w14:textId="77777777" w:rsidR="00C12218" w:rsidRPr="00673C1F" w:rsidRDefault="00C12218" w:rsidP="00C12218">
            <w:pPr>
              <w:spacing w:before="0" w:after="0" w:line="240" w:lineRule="auto"/>
              <w:jc w:val="right"/>
              <w:rPr>
                <w:rFonts w:ascii="Times New Roman" w:hAnsi="Times New Roman"/>
                <w:sz w:val="20"/>
              </w:rPr>
            </w:pPr>
          </w:p>
        </w:tc>
        <w:tc>
          <w:tcPr>
            <w:tcW w:w="484" w:type="pct"/>
            <w:tcBorders>
              <w:top w:val="nil"/>
              <w:left w:val="nil"/>
              <w:bottom w:val="nil"/>
              <w:right w:val="nil"/>
            </w:tcBorders>
            <w:shd w:val="clear" w:color="auto" w:fill="auto"/>
            <w:noWrap/>
            <w:vAlign w:val="center"/>
            <w:hideMark/>
          </w:tcPr>
          <w:p w14:paraId="79650AE1" w14:textId="77777777" w:rsidR="00C12218" w:rsidRPr="00673C1F" w:rsidRDefault="00C12218" w:rsidP="00C12218">
            <w:pPr>
              <w:spacing w:before="0" w:after="0" w:line="240" w:lineRule="auto"/>
              <w:jc w:val="right"/>
              <w:rPr>
                <w:rFonts w:ascii="Times New Roman" w:hAnsi="Times New Roman"/>
                <w:sz w:val="20"/>
              </w:rPr>
            </w:pPr>
          </w:p>
        </w:tc>
        <w:tc>
          <w:tcPr>
            <w:tcW w:w="53" w:type="pct"/>
            <w:tcBorders>
              <w:top w:val="nil"/>
              <w:left w:val="nil"/>
              <w:bottom w:val="nil"/>
              <w:right w:val="nil"/>
            </w:tcBorders>
            <w:shd w:val="clear" w:color="auto" w:fill="auto"/>
            <w:noWrap/>
            <w:vAlign w:val="center"/>
            <w:hideMark/>
          </w:tcPr>
          <w:p w14:paraId="345F53F3" w14:textId="77777777" w:rsidR="00C12218" w:rsidRPr="00673C1F" w:rsidRDefault="00C12218" w:rsidP="00C12218">
            <w:pPr>
              <w:spacing w:before="0" w:after="0" w:line="240" w:lineRule="auto"/>
              <w:jc w:val="right"/>
              <w:rPr>
                <w:rFonts w:ascii="Times New Roman" w:hAnsi="Times New Roman"/>
                <w:sz w:val="20"/>
              </w:rPr>
            </w:pPr>
          </w:p>
        </w:tc>
        <w:tc>
          <w:tcPr>
            <w:tcW w:w="508" w:type="pct"/>
            <w:tcBorders>
              <w:top w:val="nil"/>
              <w:left w:val="nil"/>
              <w:bottom w:val="nil"/>
              <w:right w:val="nil"/>
            </w:tcBorders>
            <w:shd w:val="clear" w:color="auto" w:fill="auto"/>
            <w:noWrap/>
            <w:vAlign w:val="center"/>
            <w:hideMark/>
          </w:tcPr>
          <w:p w14:paraId="48244EA5" w14:textId="77777777" w:rsidR="00C12218" w:rsidRPr="00673C1F" w:rsidRDefault="00C12218" w:rsidP="00C12218">
            <w:pPr>
              <w:spacing w:before="0" w:after="0" w:line="240" w:lineRule="auto"/>
              <w:jc w:val="right"/>
              <w:rPr>
                <w:rFonts w:ascii="Times New Roman" w:hAnsi="Times New Roman"/>
                <w:sz w:val="20"/>
              </w:rPr>
            </w:pPr>
          </w:p>
        </w:tc>
      </w:tr>
      <w:tr w:rsidR="00CB0FFB" w:rsidRPr="00673C1F" w14:paraId="293ED8B7" w14:textId="77777777" w:rsidTr="00C12218">
        <w:trPr>
          <w:trHeight w:hRule="exact" w:val="225"/>
        </w:trPr>
        <w:tc>
          <w:tcPr>
            <w:tcW w:w="2018" w:type="pct"/>
            <w:tcBorders>
              <w:top w:val="nil"/>
              <w:left w:val="nil"/>
              <w:bottom w:val="single" w:sz="4" w:space="0" w:color="293F5B"/>
              <w:right w:val="nil"/>
            </w:tcBorders>
            <w:shd w:val="clear" w:color="auto" w:fill="auto"/>
            <w:vAlign w:val="center"/>
            <w:hideMark/>
          </w:tcPr>
          <w:p w14:paraId="2E5E9EFA" w14:textId="1F917C30" w:rsidR="00C12218" w:rsidRPr="00673C1F" w:rsidRDefault="00C12218" w:rsidP="00C12218">
            <w:pPr>
              <w:spacing w:before="0" w:after="0" w:line="240" w:lineRule="auto"/>
              <w:rPr>
                <w:rFonts w:ascii="Arial" w:hAnsi="Arial" w:cs="Arial"/>
                <w:b/>
                <w:bCs/>
                <w:sz w:val="16"/>
                <w:szCs w:val="16"/>
              </w:rPr>
            </w:pPr>
            <w:r w:rsidRPr="00673C1F">
              <w:rPr>
                <w:rFonts w:ascii="Arial" w:hAnsi="Arial" w:cs="Arial"/>
                <w:b/>
                <w:bCs/>
                <w:sz w:val="16"/>
                <w:szCs w:val="16"/>
              </w:rPr>
              <w:t>Tax receipts at 2024</w:t>
            </w:r>
            <w:r w:rsidR="006D727E" w:rsidRPr="00673C1F">
              <w:rPr>
                <w:rFonts w:ascii="Arial" w:hAnsi="Arial" w:cs="Arial"/>
                <w:b/>
                <w:bCs/>
                <w:sz w:val="16"/>
                <w:szCs w:val="16"/>
              </w:rPr>
              <w:noBreakHyphen/>
            </w:r>
            <w:r w:rsidRPr="00673C1F">
              <w:rPr>
                <w:rFonts w:ascii="Arial" w:hAnsi="Arial" w:cs="Arial"/>
                <w:b/>
                <w:bCs/>
                <w:sz w:val="16"/>
                <w:szCs w:val="16"/>
              </w:rPr>
              <w:t>25 Budget</w:t>
            </w:r>
          </w:p>
        </w:tc>
        <w:tc>
          <w:tcPr>
            <w:tcW w:w="484" w:type="pct"/>
            <w:tcBorders>
              <w:top w:val="nil"/>
              <w:left w:val="nil"/>
              <w:bottom w:val="single" w:sz="4" w:space="0" w:color="293F5B"/>
              <w:right w:val="nil"/>
            </w:tcBorders>
            <w:shd w:val="clear" w:color="auto" w:fill="auto"/>
            <w:noWrap/>
            <w:vAlign w:val="center"/>
            <w:hideMark/>
          </w:tcPr>
          <w:p w14:paraId="7F05B622" w14:textId="77777777" w:rsidR="00C12218" w:rsidRPr="00673C1F" w:rsidRDefault="00C12218" w:rsidP="00C12218">
            <w:pPr>
              <w:spacing w:before="0" w:after="0" w:line="240" w:lineRule="auto"/>
              <w:jc w:val="right"/>
              <w:rPr>
                <w:rFonts w:ascii="Arial" w:hAnsi="Arial" w:cs="Arial"/>
                <w:b/>
                <w:bCs/>
                <w:sz w:val="16"/>
                <w:szCs w:val="16"/>
              </w:rPr>
            </w:pPr>
            <w:r w:rsidRPr="00673C1F">
              <w:rPr>
                <w:rFonts w:ascii="Arial" w:hAnsi="Arial" w:cs="Arial"/>
                <w:b/>
                <w:bCs/>
                <w:sz w:val="16"/>
                <w:szCs w:val="16"/>
              </w:rPr>
              <w:t>638,750</w:t>
            </w:r>
          </w:p>
        </w:tc>
        <w:tc>
          <w:tcPr>
            <w:tcW w:w="484" w:type="pct"/>
            <w:tcBorders>
              <w:top w:val="nil"/>
              <w:left w:val="nil"/>
              <w:bottom w:val="single" w:sz="4" w:space="0" w:color="293F5B"/>
              <w:right w:val="nil"/>
            </w:tcBorders>
            <w:shd w:val="clear" w:color="000000" w:fill="E6F2FF"/>
            <w:noWrap/>
            <w:vAlign w:val="center"/>
            <w:hideMark/>
          </w:tcPr>
          <w:p w14:paraId="192923F9" w14:textId="77777777" w:rsidR="00C12218" w:rsidRPr="00673C1F" w:rsidRDefault="00C12218" w:rsidP="00C12218">
            <w:pPr>
              <w:spacing w:before="0" w:after="0" w:line="240" w:lineRule="auto"/>
              <w:jc w:val="right"/>
              <w:rPr>
                <w:rFonts w:ascii="Arial" w:hAnsi="Arial" w:cs="Arial"/>
                <w:b/>
                <w:bCs/>
                <w:sz w:val="16"/>
                <w:szCs w:val="16"/>
              </w:rPr>
            </w:pPr>
            <w:r w:rsidRPr="00673C1F">
              <w:rPr>
                <w:rFonts w:ascii="Arial" w:hAnsi="Arial" w:cs="Arial"/>
                <w:b/>
                <w:bCs/>
                <w:sz w:val="16"/>
                <w:szCs w:val="16"/>
              </w:rPr>
              <w:t>642,542</w:t>
            </w:r>
          </w:p>
        </w:tc>
        <w:tc>
          <w:tcPr>
            <w:tcW w:w="484" w:type="pct"/>
            <w:tcBorders>
              <w:top w:val="nil"/>
              <w:left w:val="nil"/>
              <w:bottom w:val="single" w:sz="4" w:space="0" w:color="293F5B"/>
              <w:right w:val="nil"/>
            </w:tcBorders>
            <w:shd w:val="clear" w:color="auto" w:fill="auto"/>
            <w:noWrap/>
            <w:vAlign w:val="center"/>
            <w:hideMark/>
          </w:tcPr>
          <w:p w14:paraId="5A55D767" w14:textId="77777777" w:rsidR="00C12218" w:rsidRPr="00673C1F" w:rsidRDefault="00C12218" w:rsidP="00C12218">
            <w:pPr>
              <w:spacing w:before="0" w:after="0" w:line="240" w:lineRule="auto"/>
              <w:jc w:val="right"/>
              <w:rPr>
                <w:rFonts w:ascii="Arial" w:hAnsi="Arial" w:cs="Arial"/>
                <w:b/>
                <w:bCs/>
                <w:sz w:val="16"/>
                <w:szCs w:val="16"/>
              </w:rPr>
            </w:pPr>
            <w:r w:rsidRPr="00673C1F">
              <w:rPr>
                <w:rFonts w:ascii="Arial" w:hAnsi="Arial" w:cs="Arial"/>
                <w:b/>
                <w:bCs/>
                <w:sz w:val="16"/>
                <w:szCs w:val="16"/>
              </w:rPr>
              <w:t>661,583</w:t>
            </w:r>
          </w:p>
        </w:tc>
        <w:tc>
          <w:tcPr>
            <w:tcW w:w="484" w:type="pct"/>
            <w:tcBorders>
              <w:top w:val="nil"/>
              <w:left w:val="nil"/>
              <w:bottom w:val="single" w:sz="4" w:space="0" w:color="293F5B"/>
              <w:right w:val="nil"/>
            </w:tcBorders>
            <w:shd w:val="clear" w:color="auto" w:fill="auto"/>
            <w:noWrap/>
            <w:vAlign w:val="center"/>
            <w:hideMark/>
          </w:tcPr>
          <w:p w14:paraId="2A35835B" w14:textId="77777777" w:rsidR="00C12218" w:rsidRPr="00673C1F" w:rsidRDefault="00C12218" w:rsidP="00C12218">
            <w:pPr>
              <w:spacing w:before="0" w:after="0" w:line="240" w:lineRule="auto"/>
              <w:jc w:val="right"/>
              <w:rPr>
                <w:rFonts w:ascii="Arial" w:hAnsi="Arial" w:cs="Arial"/>
                <w:b/>
                <w:bCs/>
                <w:sz w:val="16"/>
                <w:szCs w:val="16"/>
              </w:rPr>
            </w:pPr>
            <w:r w:rsidRPr="00673C1F">
              <w:rPr>
                <w:rFonts w:ascii="Arial" w:hAnsi="Arial" w:cs="Arial"/>
                <w:b/>
                <w:bCs/>
                <w:sz w:val="16"/>
                <w:szCs w:val="16"/>
              </w:rPr>
              <w:t>702,278</w:t>
            </w:r>
          </w:p>
        </w:tc>
        <w:tc>
          <w:tcPr>
            <w:tcW w:w="484" w:type="pct"/>
            <w:tcBorders>
              <w:top w:val="nil"/>
              <w:left w:val="nil"/>
              <w:bottom w:val="single" w:sz="4" w:space="0" w:color="293F5B"/>
              <w:right w:val="nil"/>
            </w:tcBorders>
            <w:shd w:val="clear" w:color="auto" w:fill="auto"/>
            <w:noWrap/>
            <w:vAlign w:val="center"/>
            <w:hideMark/>
          </w:tcPr>
          <w:p w14:paraId="61FCF3FA" w14:textId="77777777" w:rsidR="00C12218" w:rsidRPr="00673C1F" w:rsidRDefault="00C12218" w:rsidP="00C12218">
            <w:pPr>
              <w:spacing w:before="0" w:after="0" w:line="240" w:lineRule="auto"/>
              <w:jc w:val="right"/>
              <w:rPr>
                <w:rFonts w:ascii="Arial" w:hAnsi="Arial" w:cs="Arial"/>
                <w:b/>
                <w:bCs/>
                <w:sz w:val="16"/>
                <w:szCs w:val="16"/>
              </w:rPr>
            </w:pPr>
            <w:r w:rsidRPr="00673C1F">
              <w:rPr>
                <w:rFonts w:ascii="Arial" w:hAnsi="Arial" w:cs="Arial"/>
                <w:b/>
                <w:bCs/>
                <w:sz w:val="16"/>
                <w:szCs w:val="16"/>
              </w:rPr>
              <w:t>742,299</w:t>
            </w:r>
          </w:p>
        </w:tc>
        <w:tc>
          <w:tcPr>
            <w:tcW w:w="53" w:type="pct"/>
            <w:tcBorders>
              <w:top w:val="nil"/>
              <w:left w:val="nil"/>
              <w:bottom w:val="single" w:sz="4" w:space="0" w:color="293F5B"/>
              <w:right w:val="nil"/>
            </w:tcBorders>
            <w:shd w:val="clear" w:color="auto" w:fill="auto"/>
            <w:noWrap/>
            <w:vAlign w:val="center"/>
            <w:hideMark/>
          </w:tcPr>
          <w:p w14:paraId="4028A752" w14:textId="77777777" w:rsidR="00C12218" w:rsidRPr="00673C1F" w:rsidRDefault="00C12218" w:rsidP="00C12218">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508" w:type="pct"/>
            <w:tcBorders>
              <w:top w:val="nil"/>
              <w:left w:val="nil"/>
              <w:bottom w:val="single" w:sz="4" w:space="0" w:color="293F5B"/>
              <w:right w:val="nil"/>
            </w:tcBorders>
            <w:shd w:val="clear" w:color="auto" w:fill="auto"/>
            <w:noWrap/>
            <w:vAlign w:val="center"/>
            <w:hideMark/>
          </w:tcPr>
          <w:p w14:paraId="72A7C509" w14:textId="77777777" w:rsidR="00C12218" w:rsidRPr="00673C1F" w:rsidRDefault="00C12218" w:rsidP="00C12218">
            <w:pPr>
              <w:spacing w:before="0" w:after="0" w:line="240" w:lineRule="auto"/>
              <w:jc w:val="right"/>
              <w:rPr>
                <w:rFonts w:ascii="Arial" w:hAnsi="Arial" w:cs="Arial"/>
                <w:b/>
                <w:bCs/>
                <w:sz w:val="16"/>
                <w:szCs w:val="16"/>
              </w:rPr>
            </w:pPr>
            <w:r w:rsidRPr="00673C1F">
              <w:rPr>
                <w:rFonts w:ascii="Arial" w:hAnsi="Arial" w:cs="Arial"/>
                <w:b/>
                <w:bCs/>
                <w:sz w:val="16"/>
                <w:szCs w:val="16"/>
              </w:rPr>
              <w:t>3,387,451</w:t>
            </w:r>
          </w:p>
        </w:tc>
      </w:tr>
    </w:tbl>
    <w:p w14:paraId="39C16F67" w14:textId="0423682D" w:rsidR="00356E70" w:rsidRPr="00673C1F" w:rsidRDefault="00356E70" w:rsidP="003E374B">
      <w:pPr>
        <w:pStyle w:val="ChartandTableFootnoteAlpha"/>
        <w:numPr>
          <w:ilvl w:val="0"/>
          <w:numId w:val="0"/>
        </w:numPr>
        <w:ind w:left="284" w:hanging="284"/>
        <w:rPr>
          <w:color w:val="auto"/>
        </w:rPr>
      </w:pPr>
      <w:r w:rsidRPr="00673C1F">
        <w:rPr>
          <w:color w:val="auto"/>
        </w:rPr>
        <w:t>* Data is not available.</w:t>
      </w:r>
    </w:p>
    <w:p w14:paraId="4CDB99C9" w14:textId="3010ED3C" w:rsidR="00356E70" w:rsidRPr="00673C1F" w:rsidRDefault="00356E70" w:rsidP="007F5D46">
      <w:pPr>
        <w:pStyle w:val="TableLine"/>
      </w:pPr>
    </w:p>
    <w:bookmarkEnd w:id="17"/>
    <w:bookmarkEnd w:id="18"/>
    <w:p w14:paraId="1FA785EB" w14:textId="512149FA" w:rsidR="00356E70" w:rsidRPr="00673C1F" w:rsidRDefault="00356E70" w:rsidP="00647D6C">
      <w:pPr>
        <w:spacing w:before="0"/>
      </w:pPr>
      <w:r w:rsidRPr="00673C1F">
        <w:t xml:space="preserve">Since </w:t>
      </w:r>
      <w:r w:rsidR="00384EBD" w:rsidRPr="00673C1F">
        <w:t>MYEFO</w:t>
      </w:r>
      <w:r w:rsidRPr="00673C1F">
        <w:t>, parameter and other variations are expected to increase tax receipts by $</w:t>
      </w:r>
      <w:r w:rsidR="00993C0D" w:rsidRPr="00673C1F">
        <w:t>7.</w:t>
      </w:r>
      <w:r w:rsidR="00A16F9F" w:rsidRPr="00673C1F">
        <w:t>3</w:t>
      </w:r>
      <w:r w:rsidR="00ED2A1F" w:rsidRPr="00673C1F">
        <w:t> </w:t>
      </w:r>
      <w:r w:rsidRPr="00673C1F">
        <w:t>billion in 202</w:t>
      </w:r>
      <w:r w:rsidR="00BC79BF" w:rsidRPr="00673C1F">
        <w:t>4</w:t>
      </w:r>
      <w:r w:rsidRPr="00673C1F">
        <w:t>–2</w:t>
      </w:r>
      <w:r w:rsidR="00BC79BF" w:rsidRPr="00673C1F">
        <w:t>5</w:t>
      </w:r>
      <w:r w:rsidRPr="00673C1F">
        <w:t xml:space="preserve"> and $</w:t>
      </w:r>
      <w:r w:rsidR="003B6EA9" w:rsidRPr="00673C1F">
        <w:t>21.1</w:t>
      </w:r>
      <w:r w:rsidR="00ED2A1F" w:rsidRPr="00673C1F">
        <w:t> </w:t>
      </w:r>
      <w:r w:rsidRPr="00673C1F">
        <w:t xml:space="preserve">billion over the </w:t>
      </w:r>
      <w:r w:rsidR="007A22C6" w:rsidRPr="00673C1F">
        <w:t>five years</w:t>
      </w:r>
      <w:r w:rsidRPr="00673C1F">
        <w:t xml:space="preserve"> from 202</w:t>
      </w:r>
      <w:r w:rsidR="00F657AC" w:rsidRPr="00673C1F">
        <w:t>3</w:t>
      </w:r>
      <w:r w:rsidRPr="00673C1F">
        <w:rPr>
          <w:rFonts w:ascii="Calibri" w:hAnsi="Calibri" w:cs="Calibri"/>
        </w:rPr>
        <w:t>–</w:t>
      </w:r>
      <w:r w:rsidRPr="00673C1F">
        <w:t>2</w:t>
      </w:r>
      <w:r w:rsidR="00F657AC" w:rsidRPr="00673C1F">
        <w:t>4</w:t>
      </w:r>
      <w:r w:rsidRPr="00673C1F">
        <w:t xml:space="preserve"> to</w:t>
      </w:r>
      <w:r w:rsidR="00E91BC6" w:rsidRPr="00673C1F">
        <w:t> </w:t>
      </w:r>
      <w:r w:rsidRPr="00673C1F">
        <w:t>202</w:t>
      </w:r>
      <w:r w:rsidR="00F657AC" w:rsidRPr="00673C1F">
        <w:t>7</w:t>
      </w:r>
      <w:r w:rsidRPr="00673C1F">
        <w:rPr>
          <w:rFonts w:ascii="Calibri" w:hAnsi="Calibri" w:cs="Calibri"/>
        </w:rPr>
        <w:t>–</w:t>
      </w:r>
      <w:r w:rsidRPr="00673C1F">
        <w:t>2</w:t>
      </w:r>
      <w:r w:rsidR="00F657AC" w:rsidRPr="00673C1F">
        <w:t>8</w:t>
      </w:r>
      <w:r w:rsidRPr="00673C1F">
        <w:t xml:space="preserve">. Policy decisions </w:t>
      </w:r>
      <w:r w:rsidR="000B2203" w:rsidRPr="00673C1F">
        <w:t>are estimated to</w:t>
      </w:r>
      <w:r w:rsidRPr="00673C1F">
        <w:t xml:space="preserve"> increase tax receipts by $</w:t>
      </w:r>
      <w:r w:rsidR="00F917F2" w:rsidRPr="00673C1F">
        <w:t>1.7</w:t>
      </w:r>
      <w:r w:rsidR="00E91BC6" w:rsidRPr="00673C1F">
        <w:t> </w:t>
      </w:r>
      <w:r w:rsidRPr="00673C1F">
        <w:t>billion in 202</w:t>
      </w:r>
      <w:r w:rsidR="00F657AC" w:rsidRPr="00673C1F">
        <w:t>4</w:t>
      </w:r>
      <w:r w:rsidRPr="00673C1F">
        <w:t>–2</w:t>
      </w:r>
      <w:r w:rsidR="00F657AC" w:rsidRPr="00673C1F">
        <w:t>5</w:t>
      </w:r>
      <w:r w:rsidRPr="00673C1F">
        <w:t xml:space="preserve"> and $</w:t>
      </w:r>
      <w:r w:rsidR="004A6553" w:rsidRPr="00673C1F">
        <w:t>4.9</w:t>
      </w:r>
      <w:r w:rsidR="00ED2A1F" w:rsidRPr="00673C1F">
        <w:t> </w:t>
      </w:r>
      <w:r w:rsidRPr="00673C1F">
        <w:t xml:space="preserve">billion over the </w:t>
      </w:r>
      <w:r w:rsidR="007A22C6" w:rsidRPr="00673C1F">
        <w:t>five years</w:t>
      </w:r>
      <w:r w:rsidR="00C97D26" w:rsidRPr="00673C1F">
        <w:t xml:space="preserve"> from 2023–24 to 2027–28</w:t>
      </w:r>
      <w:r w:rsidRPr="00673C1F">
        <w:t xml:space="preserve"> compared with </w:t>
      </w:r>
      <w:r w:rsidR="00384EBD" w:rsidRPr="00673C1F">
        <w:t>MYEFO</w:t>
      </w:r>
      <w:r w:rsidRPr="00673C1F">
        <w:t xml:space="preserve">. </w:t>
      </w:r>
    </w:p>
    <w:tbl>
      <w:tblPr>
        <w:tblW w:w="5000" w:type="pct"/>
        <w:tblLook w:val="0000" w:firstRow="0" w:lastRow="0" w:firstColumn="0" w:lastColumn="0" w:noHBand="0" w:noVBand="0"/>
      </w:tblPr>
      <w:tblGrid>
        <w:gridCol w:w="3864"/>
        <w:gridCol w:w="3846"/>
      </w:tblGrid>
      <w:tr w:rsidR="00FF4720" w:rsidRPr="00BD68BD" w14:paraId="403D7228" w14:textId="77777777" w:rsidTr="00D662C0">
        <w:trPr>
          <w:cantSplit/>
        </w:trPr>
        <w:tc>
          <w:tcPr>
            <w:tcW w:w="2506" w:type="pct"/>
          </w:tcPr>
          <w:p w14:paraId="0B420D1C" w14:textId="48E7796F" w:rsidR="00FF4720" w:rsidRPr="00673C1F" w:rsidRDefault="00FF4720" w:rsidP="00B1373F">
            <w:pPr>
              <w:pStyle w:val="ChartHeading"/>
            </w:pPr>
            <w:r w:rsidRPr="00673C1F">
              <w:t>Chart 5.2: Revisions to total tax receipts since 2023–24 MYEFO</w:t>
            </w:r>
          </w:p>
        </w:tc>
        <w:tc>
          <w:tcPr>
            <w:tcW w:w="2494" w:type="pct"/>
          </w:tcPr>
          <w:p w14:paraId="7FFDA204" w14:textId="32287F59" w:rsidR="00FF4720" w:rsidRPr="00673C1F" w:rsidRDefault="00FF4720" w:rsidP="00B1373F">
            <w:pPr>
              <w:pStyle w:val="ChartHeading"/>
            </w:pPr>
            <w:r w:rsidRPr="00673C1F">
              <w:t>Chart 5.3: Parameter and other variations to total tax receipts since 2023–24 MYEFO</w:t>
            </w:r>
          </w:p>
        </w:tc>
      </w:tr>
      <w:tr w:rsidR="00D662C0" w:rsidRPr="00BD68BD" w14:paraId="43AFB884" w14:textId="77777777" w:rsidTr="00D662C0">
        <w:trPr>
          <w:cantSplit/>
        </w:trPr>
        <w:tc>
          <w:tcPr>
            <w:tcW w:w="2506" w:type="pct"/>
          </w:tcPr>
          <w:p w14:paraId="10DD59F0" w14:textId="2A383282" w:rsidR="00D662C0" w:rsidRPr="00673C1F" w:rsidRDefault="00D42EF7">
            <w:pPr>
              <w:pStyle w:val="ChartGraphic"/>
            </w:pPr>
            <w:r>
              <w:rPr>
                <w:noProof/>
              </w:rPr>
              <w:pict w14:anchorId="4FAFE6DB">
                <v:shape id="_x0000_i1026" type="#_x0000_t75" alt="The chart shows the revision in forecast tax receipts since the 2023-24 MYEFO. Taxation receipts are higher across every year of the forward estimates, mostly concentrated in the first two years. Parameter and other variations are responsible for the majority of the total variation including a $7.3 billion increase in 2024-25 and $21.1 billion increase over the five years from 2023-24 to 2027-28. Policy decisions increase receipts by $1.7 billion in 2024-25 and $4.9 billion over the five years from 2023-24 to 2027-28." style="width:180pt;height:180pt;mso-position-vertical:absolute">
                  <v:imagedata r:id="rId22" o:title=""/>
                </v:shape>
              </w:pict>
            </w:r>
          </w:p>
        </w:tc>
        <w:tc>
          <w:tcPr>
            <w:tcW w:w="2494" w:type="pct"/>
          </w:tcPr>
          <w:p w14:paraId="16CFF9D2" w14:textId="62A8F303" w:rsidR="00D662C0" w:rsidRPr="00673C1F" w:rsidRDefault="00D42EF7" w:rsidP="00B04386">
            <w:pPr>
              <w:pStyle w:val="ChartGraphic"/>
            </w:pPr>
            <w:r>
              <w:rPr>
                <w:noProof/>
              </w:rPr>
              <w:pict w14:anchorId="49B93EBF">
                <v:shape id="_x0000_i1027" type="#_x0000_t75" alt="The chart shows the composition of the parameter and other variations since the 2023-24 MYEFO. Across the forward estimates company and individuals tax is responsible for most of the upwards revision, partially offset by a downgrade in other taxes. Since the 2023-24 MYEFO, parameter and other variations drive an upgrade in individuals and other withholding taxes and company tax of $6.7 billion and $5.6 billion in 2024-25, respectively. Over the five years from 2023-24 to 2027-28, parameter and other variations drive an upgrade in individuals and other withholding taxes and company tax of $25.1 billion and $23.8 billion, respectively. All other taxes, exlcuding GST, have been revised down $4.0 billion in 2024-25 and $21.9 billion over the five years from 2023-24 to 2027-28 due to parameter and other variations, relative to the 2023-24 MYEFO." style="width:180pt;height:180pt;mso-position-vertical:absolute">
                  <v:imagedata r:id="rId23" o:title=""/>
                </v:shape>
              </w:pict>
            </w:r>
          </w:p>
        </w:tc>
      </w:tr>
      <w:tr w:rsidR="00D662C0" w:rsidRPr="00BD68BD" w14:paraId="30DF73AC" w14:textId="77777777" w:rsidTr="00D662C0">
        <w:trPr>
          <w:cantSplit/>
        </w:trPr>
        <w:tc>
          <w:tcPr>
            <w:tcW w:w="2506" w:type="pct"/>
          </w:tcPr>
          <w:p w14:paraId="253FCFB5" w14:textId="6E469E16" w:rsidR="00D662C0" w:rsidRPr="00673C1F" w:rsidRDefault="00D662C0" w:rsidP="00B1373F">
            <w:pPr>
              <w:pStyle w:val="ChartandTableFootnote"/>
              <w:rPr>
                <w:color w:val="auto"/>
              </w:rPr>
            </w:pPr>
            <w:r w:rsidRPr="00673C1F">
              <w:rPr>
                <w:color w:val="auto"/>
              </w:rPr>
              <w:t>Source: Treasury</w:t>
            </w:r>
            <w:r w:rsidR="009E5408" w:rsidRPr="00673C1F">
              <w:rPr>
                <w:color w:val="auto"/>
              </w:rPr>
              <w:t>.</w:t>
            </w:r>
          </w:p>
        </w:tc>
        <w:tc>
          <w:tcPr>
            <w:tcW w:w="2494" w:type="pct"/>
          </w:tcPr>
          <w:p w14:paraId="1C101AC3" w14:textId="5B360284" w:rsidR="00D662C0" w:rsidRPr="00673C1F" w:rsidRDefault="00D662C0" w:rsidP="00B1373F">
            <w:pPr>
              <w:pStyle w:val="ChartandTableFootnote"/>
              <w:rPr>
                <w:color w:val="auto"/>
              </w:rPr>
            </w:pPr>
            <w:r w:rsidRPr="00673C1F">
              <w:rPr>
                <w:color w:val="auto"/>
              </w:rPr>
              <w:t>Source: Treasury</w:t>
            </w:r>
            <w:r w:rsidR="009E5408" w:rsidRPr="00673C1F">
              <w:rPr>
                <w:color w:val="auto"/>
              </w:rPr>
              <w:t>.</w:t>
            </w:r>
          </w:p>
        </w:tc>
      </w:tr>
    </w:tbl>
    <w:p w14:paraId="6AA4B1CE" w14:textId="5C5A7A15" w:rsidR="00356E70" w:rsidRPr="00673C1F" w:rsidRDefault="00356E70" w:rsidP="00954823">
      <w:pPr>
        <w:pStyle w:val="ChartLine"/>
      </w:pPr>
    </w:p>
    <w:p w14:paraId="4B460CCB" w14:textId="7F8A54A9" w:rsidR="00356E70" w:rsidRPr="00673C1F" w:rsidRDefault="007745A0" w:rsidP="00356E70">
      <w:r w:rsidRPr="00673C1F">
        <w:lastRenderedPageBreak/>
        <w:t>Tax receipts</w:t>
      </w:r>
      <w:r w:rsidR="000F66EF" w:rsidRPr="00673C1F">
        <w:t xml:space="preserve"> </w:t>
      </w:r>
      <w:r w:rsidR="00E06CF8" w:rsidRPr="00673C1F">
        <w:t xml:space="preserve">forecasts are based on available information </w:t>
      </w:r>
      <w:r w:rsidR="00530709" w:rsidRPr="00673C1F">
        <w:t>prior to</w:t>
      </w:r>
      <w:r w:rsidR="000F66EF" w:rsidRPr="00673C1F">
        <w:t xml:space="preserve"> </w:t>
      </w:r>
      <w:r w:rsidR="00367FDA" w:rsidRPr="00673C1F">
        <w:t>each</w:t>
      </w:r>
      <w:r w:rsidR="00910208" w:rsidRPr="00673C1F">
        <w:t xml:space="preserve"> economic and fiscal update. </w:t>
      </w:r>
      <w:r w:rsidR="00356E70" w:rsidRPr="00673C1F">
        <w:t>Growth in the key economic parameters that influence tax receipts is shown in Table</w:t>
      </w:r>
      <w:r w:rsidR="007820D7" w:rsidRPr="00673C1F">
        <w:t> </w:t>
      </w:r>
      <w:r w:rsidR="00356E70" w:rsidRPr="00673C1F">
        <w:t>5.4.</w:t>
      </w:r>
      <w:r w:rsidR="002A749A" w:rsidRPr="00673C1F">
        <w:t xml:space="preserve"> </w:t>
      </w:r>
    </w:p>
    <w:p w14:paraId="45E66895" w14:textId="69F062D8" w:rsidR="00CC388C" w:rsidRPr="00673C1F" w:rsidRDefault="00356E70" w:rsidP="00CC388C">
      <w:pPr>
        <w:pStyle w:val="TableHeading"/>
        <w:rPr>
          <w:rFonts w:asciiTheme="minorHAnsi" w:eastAsiaTheme="minorHAnsi" w:hAnsiTheme="minorHAnsi" w:cstheme="minorBidi"/>
          <w:sz w:val="22"/>
          <w:szCs w:val="22"/>
          <w:lang w:eastAsia="en-US"/>
        </w:rPr>
      </w:pPr>
      <w:r w:rsidRPr="00673C1F">
        <w:t>Table 5.4: Key economic parameters for tax receipts</w:t>
      </w:r>
      <w:r w:rsidRPr="00673C1F">
        <w:rPr>
          <w:vertAlign w:val="superscript"/>
        </w:rPr>
        <w:t>(a)</w:t>
      </w:r>
      <w:bookmarkStart w:id="20" w:name="_1776681571"/>
      <w:bookmarkEnd w:id="20"/>
    </w:p>
    <w:tbl>
      <w:tblPr>
        <w:tblW w:w="5000" w:type="pct"/>
        <w:tblCellMar>
          <w:left w:w="0" w:type="dxa"/>
          <w:right w:w="28" w:type="dxa"/>
        </w:tblCellMar>
        <w:tblLook w:val="04A0" w:firstRow="1" w:lastRow="0" w:firstColumn="1" w:lastColumn="0" w:noHBand="0" w:noVBand="1"/>
      </w:tblPr>
      <w:tblGrid>
        <w:gridCol w:w="2734"/>
        <w:gridCol w:w="860"/>
        <w:gridCol w:w="237"/>
        <w:gridCol w:w="774"/>
        <w:gridCol w:w="776"/>
        <w:gridCol w:w="776"/>
        <w:gridCol w:w="776"/>
        <w:gridCol w:w="777"/>
      </w:tblGrid>
      <w:tr w:rsidR="00EA00F7" w:rsidRPr="00BD68BD" w14:paraId="1DE20565" w14:textId="77777777" w:rsidTr="00BF0109">
        <w:trPr>
          <w:trHeight w:hRule="exact" w:val="235"/>
        </w:trPr>
        <w:tc>
          <w:tcPr>
            <w:tcW w:w="1773" w:type="pct"/>
            <w:tcBorders>
              <w:top w:val="single" w:sz="4" w:space="0" w:color="auto"/>
              <w:left w:val="nil"/>
              <w:bottom w:val="nil"/>
              <w:right w:val="nil"/>
            </w:tcBorders>
            <w:shd w:val="clear" w:color="000000" w:fill="FFFFFF"/>
            <w:noWrap/>
            <w:vAlign w:val="bottom"/>
            <w:hideMark/>
          </w:tcPr>
          <w:p w14:paraId="2B50FEEF" w14:textId="1E448671" w:rsidR="00CC388C" w:rsidRPr="00673C1F" w:rsidRDefault="00CC388C" w:rsidP="00CC388C">
            <w:pPr>
              <w:spacing w:before="0" w:after="0" w:line="240" w:lineRule="auto"/>
              <w:rPr>
                <w:rFonts w:ascii="Arial" w:hAnsi="Arial" w:cs="Arial"/>
                <w:sz w:val="16"/>
                <w:szCs w:val="16"/>
              </w:rPr>
            </w:pPr>
            <w:r w:rsidRPr="00673C1F">
              <w:rPr>
                <w:rFonts w:ascii="Arial" w:hAnsi="Arial" w:cs="Arial"/>
                <w:sz w:val="16"/>
                <w:szCs w:val="16"/>
              </w:rPr>
              <w:t> </w:t>
            </w:r>
          </w:p>
        </w:tc>
        <w:tc>
          <w:tcPr>
            <w:tcW w:w="558" w:type="pct"/>
            <w:tcBorders>
              <w:top w:val="single" w:sz="4" w:space="0" w:color="auto"/>
              <w:left w:val="nil"/>
              <w:bottom w:val="single" w:sz="4" w:space="0" w:color="auto"/>
              <w:right w:val="nil"/>
            </w:tcBorders>
            <w:shd w:val="clear" w:color="000000" w:fill="FFFFFF"/>
            <w:noWrap/>
            <w:vAlign w:val="center"/>
            <w:hideMark/>
          </w:tcPr>
          <w:p w14:paraId="5D50ED24" w14:textId="77777777" w:rsidR="00CC388C" w:rsidRPr="00673C1F" w:rsidRDefault="00CC388C" w:rsidP="00CC388C">
            <w:pPr>
              <w:spacing w:before="0" w:after="0" w:line="240" w:lineRule="auto"/>
              <w:jc w:val="center"/>
              <w:rPr>
                <w:rFonts w:ascii="Arial" w:hAnsi="Arial" w:cs="Arial"/>
                <w:sz w:val="16"/>
                <w:szCs w:val="16"/>
              </w:rPr>
            </w:pPr>
            <w:r w:rsidRPr="00673C1F">
              <w:rPr>
                <w:rFonts w:ascii="Arial" w:hAnsi="Arial" w:cs="Arial"/>
                <w:sz w:val="16"/>
                <w:szCs w:val="16"/>
              </w:rPr>
              <w:t>Outcomes</w:t>
            </w:r>
          </w:p>
        </w:tc>
        <w:tc>
          <w:tcPr>
            <w:tcW w:w="154" w:type="pct"/>
            <w:tcBorders>
              <w:top w:val="single" w:sz="4" w:space="0" w:color="auto"/>
              <w:left w:val="nil"/>
              <w:bottom w:val="nil"/>
              <w:right w:val="nil"/>
            </w:tcBorders>
            <w:shd w:val="clear" w:color="000000" w:fill="FFFFFF"/>
            <w:noWrap/>
            <w:vAlign w:val="center"/>
            <w:hideMark/>
          </w:tcPr>
          <w:p w14:paraId="04A66183" w14:textId="77777777" w:rsidR="00CC388C" w:rsidRPr="00673C1F" w:rsidRDefault="00CC388C" w:rsidP="00CC388C">
            <w:pPr>
              <w:spacing w:before="0" w:after="0" w:line="240" w:lineRule="auto"/>
              <w:jc w:val="center"/>
              <w:rPr>
                <w:rFonts w:ascii="Arial" w:hAnsi="Arial" w:cs="Arial"/>
                <w:sz w:val="16"/>
                <w:szCs w:val="16"/>
              </w:rPr>
            </w:pPr>
            <w:r w:rsidRPr="00673C1F">
              <w:rPr>
                <w:rFonts w:ascii="Arial" w:hAnsi="Arial" w:cs="Arial"/>
                <w:sz w:val="16"/>
                <w:szCs w:val="16"/>
              </w:rPr>
              <w:t> </w:t>
            </w:r>
          </w:p>
        </w:tc>
        <w:tc>
          <w:tcPr>
            <w:tcW w:w="2516" w:type="pct"/>
            <w:gridSpan w:val="5"/>
            <w:tcBorders>
              <w:top w:val="single" w:sz="4" w:space="0" w:color="auto"/>
              <w:left w:val="nil"/>
              <w:bottom w:val="nil"/>
              <w:right w:val="nil"/>
            </w:tcBorders>
            <w:shd w:val="clear" w:color="000000" w:fill="FFFFFF"/>
            <w:noWrap/>
            <w:vAlign w:val="center"/>
            <w:hideMark/>
          </w:tcPr>
          <w:p w14:paraId="7DF7937C" w14:textId="77777777" w:rsidR="00CC388C" w:rsidRPr="00673C1F" w:rsidRDefault="00CC388C" w:rsidP="00CC388C">
            <w:pPr>
              <w:spacing w:before="0" w:after="0" w:line="240" w:lineRule="auto"/>
              <w:jc w:val="center"/>
              <w:rPr>
                <w:rFonts w:ascii="Arial" w:hAnsi="Arial" w:cs="Arial"/>
                <w:sz w:val="16"/>
                <w:szCs w:val="16"/>
              </w:rPr>
            </w:pPr>
            <w:r w:rsidRPr="00673C1F">
              <w:rPr>
                <w:rFonts w:ascii="Arial" w:hAnsi="Arial" w:cs="Arial"/>
                <w:sz w:val="16"/>
                <w:szCs w:val="16"/>
              </w:rPr>
              <w:t>Forecasts</w:t>
            </w:r>
          </w:p>
        </w:tc>
      </w:tr>
      <w:tr w:rsidR="00CC388C" w:rsidRPr="00BD68BD" w14:paraId="3BC0D3BE" w14:textId="77777777" w:rsidTr="00BF0109">
        <w:trPr>
          <w:trHeight w:hRule="exact" w:val="235"/>
        </w:trPr>
        <w:tc>
          <w:tcPr>
            <w:tcW w:w="1773" w:type="pct"/>
            <w:tcBorders>
              <w:top w:val="nil"/>
              <w:left w:val="nil"/>
              <w:bottom w:val="nil"/>
              <w:right w:val="nil"/>
            </w:tcBorders>
            <w:shd w:val="clear" w:color="000000" w:fill="FFFFFF"/>
            <w:noWrap/>
            <w:vAlign w:val="center"/>
            <w:hideMark/>
          </w:tcPr>
          <w:p w14:paraId="02F5A539" w14:textId="77777777" w:rsidR="00CC388C" w:rsidRPr="00673C1F" w:rsidRDefault="00CC388C" w:rsidP="00CC388C">
            <w:pPr>
              <w:spacing w:before="0" w:after="0" w:line="240" w:lineRule="auto"/>
              <w:rPr>
                <w:rFonts w:ascii="Arial" w:hAnsi="Arial" w:cs="Arial"/>
                <w:sz w:val="16"/>
                <w:szCs w:val="16"/>
              </w:rPr>
            </w:pPr>
            <w:r w:rsidRPr="00673C1F">
              <w:rPr>
                <w:rFonts w:ascii="Arial" w:hAnsi="Arial" w:cs="Arial"/>
                <w:sz w:val="16"/>
                <w:szCs w:val="16"/>
              </w:rPr>
              <w:t> </w:t>
            </w:r>
          </w:p>
        </w:tc>
        <w:tc>
          <w:tcPr>
            <w:tcW w:w="558" w:type="pct"/>
            <w:tcBorders>
              <w:top w:val="nil"/>
              <w:left w:val="nil"/>
              <w:bottom w:val="single" w:sz="4" w:space="0" w:color="auto"/>
              <w:right w:val="nil"/>
            </w:tcBorders>
            <w:shd w:val="clear" w:color="000000" w:fill="FFFFFF"/>
            <w:noWrap/>
            <w:vAlign w:val="bottom"/>
            <w:hideMark/>
          </w:tcPr>
          <w:p w14:paraId="24D031A8" w14:textId="11A00CCB"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2022</w:t>
            </w:r>
            <w:r w:rsidR="006D727E" w:rsidRPr="00673C1F">
              <w:rPr>
                <w:rFonts w:ascii="Arial" w:hAnsi="Arial" w:cs="Arial"/>
                <w:sz w:val="16"/>
                <w:szCs w:val="16"/>
              </w:rPr>
              <w:noBreakHyphen/>
            </w:r>
            <w:r w:rsidRPr="00673C1F">
              <w:rPr>
                <w:rFonts w:ascii="Arial" w:hAnsi="Arial" w:cs="Arial"/>
                <w:sz w:val="16"/>
                <w:szCs w:val="16"/>
              </w:rPr>
              <w:t>23</w:t>
            </w:r>
          </w:p>
        </w:tc>
        <w:tc>
          <w:tcPr>
            <w:tcW w:w="154" w:type="pct"/>
            <w:tcBorders>
              <w:top w:val="single" w:sz="4" w:space="0" w:color="auto"/>
              <w:left w:val="nil"/>
              <w:bottom w:val="nil"/>
              <w:right w:val="nil"/>
            </w:tcBorders>
            <w:shd w:val="clear" w:color="000000" w:fill="FFFFFF"/>
            <w:noWrap/>
            <w:vAlign w:val="center"/>
            <w:hideMark/>
          </w:tcPr>
          <w:p w14:paraId="620DCB7B"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c>
          <w:tcPr>
            <w:tcW w:w="502" w:type="pct"/>
            <w:tcBorders>
              <w:top w:val="single" w:sz="4" w:space="0" w:color="auto"/>
              <w:left w:val="nil"/>
              <w:bottom w:val="single" w:sz="4" w:space="0" w:color="auto"/>
              <w:right w:val="nil"/>
            </w:tcBorders>
            <w:shd w:val="clear" w:color="000000" w:fill="E6F2FF"/>
            <w:noWrap/>
            <w:vAlign w:val="bottom"/>
            <w:hideMark/>
          </w:tcPr>
          <w:p w14:paraId="4644092C" w14:textId="543267A1"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2023</w:t>
            </w:r>
            <w:r w:rsidR="006D727E" w:rsidRPr="00673C1F">
              <w:rPr>
                <w:rFonts w:ascii="Arial" w:hAnsi="Arial" w:cs="Arial"/>
                <w:sz w:val="16"/>
                <w:szCs w:val="16"/>
              </w:rPr>
              <w:noBreakHyphen/>
            </w:r>
            <w:r w:rsidRPr="00673C1F">
              <w:rPr>
                <w:rFonts w:ascii="Arial" w:hAnsi="Arial" w:cs="Arial"/>
                <w:sz w:val="16"/>
                <w:szCs w:val="16"/>
              </w:rPr>
              <w:t>24</w:t>
            </w:r>
          </w:p>
        </w:tc>
        <w:tc>
          <w:tcPr>
            <w:tcW w:w="503" w:type="pct"/>
            <w:tcBorders>
              <w:top w:val="single" w:sz="4" w:space="0" w:color="auto"/>
              <w:left w:val="nil"/>
              <w:bottom w:val="single" w:sz="4" w:space="0" w:color="auto"/>
              <w:right w:val="nil"/>
            </w:tcBorders>
            <w:shd w:val="clear" w:color="000000" w:fill="E6F2FF"/>
            <w:noWrap/>
            <w:vAlign w:val="bottom"/>
            <w:hideMark/>
          </w:tcPr>
          <w:p w14:paraId="3B20AE82" w14:textId="1E874199"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2024</w:t>
            </w:r>
            <w:r w:rsidR="006D727E" w:rsidRPr="00673C1F">
              <w:rPr>
                <w:rFonts w:ascii="Arial" w:hAnsi="Arial" w:cs="Arial"/>
                <w:sz w:val="16"/>
                <w:szCs w:val="16"/>
              </w:rPr>
              <w:noBreakHyphen/>
            </w:r>
            <w:r w:rsidRPr="00673C1F">
              <w:rPr>
                <w:rFonts w:ascii="Arial" w:hAnsi="Arial" w:cs="Arial"/>
                <w:sz w:val="16"/>
                <w:szCs w:val="16"/>
              </w:rPr>
              <w:t>25</w:t>
            </w:r>
          </w:p>
        </w:tc>
        <w:tc>
          <w:tcPr>
            <w:tcW w:w="503" w:type="pct"/>
            <w:tcBorders>
              <w:top w:val="single" w:sz="4" w:space="0" w:color="auto"/>
              <w:left w:val="nil"/>
              <w:bottom w:val="single" w:sz="4" w:space="0" w:color="auto"/>
              <w:right w:val="nil"/>
            </w:tcBorders>
            <w:shd w:val="clear" w:color="000000" w:fill="E6F2FF"/>
            <w:noWrap/>
            <w:vAlign w:val="bottom"/>
            <w:hideMark/>
          </w:tcPr>
          <w:p w14:paraId="6FD37CAD" w14:textId="12EA7910"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2025</w:t>
            </w:r>
            <w:r w:rsidR="006D727E" w:rsidRPr="00673C1F">
              <w:rPr>
                <w:rFonts w:ascii="Arial" w:hAnsi="Arial" w:cs="Arial"/>
                <w:sz w:val="16"/>
                <w:szCs w:val="16"/>
              </w:rPr>
              <w:noBreakHyphen/>
            </w:r>
            <w:r w:rsidRPr="00673C1F">
              <w:rPr>
                <w:rFonts w:ascii="Arial" w:hAnsi="Arial" w:cs="Arial"/>
                <w:sz w:val="16"/>
                <w:szCs w:val="16"/>
              </w:rPr>
              <w:t>26</w:t>
            </w:r>
          </w:p>
        </w:tc>
        <w:tc>
          <w:tcPr>
            <w:tcW w:w="503" w:type="pct"/>
            <w:tcBorders>
              <w:top w:val="single" w:sz="4" w:space="0" w:color="auto"/>
              <w:left w:val="nil"/>
              <w:bottom w:val="single" w:sz="4" w:space="0" w:color="auto"/>
              <w:right w:val="nil"/>
            </w:tcBorders>
            <w:shd w:val="clear" w:color="000000" w:fill="E6F2FF"/>
            <w:noWrap/>
            <w:vAlign w:val="bottom"/>
            <w:hideMark/>
          </w:tcPr>
          <w:p w14:paraId="1F62F5AE" w14:textId="6D2A76D9"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2026</w:t>
            </w:r>
            <w:r w:rsidR="006D727E" w:rsidRPr="00673C1F">
              <w:rPr>
                <w:rFonts w:ascii="Arial" w:hAnsi="Arial" w:cs="Arial"/>
                <w:sz w:val="16"/>
                <w:szCs w:val="16"/>
              </w:rPr>
              <w:noBreakHyphen/>
            </w:r>
            <w:r w:rsidRPr="00673C1F">
              <w:rPr>
                <w:rFonts w:ascii="Arial" w:hAnsi="Arial" w:cs="Arial"/>
                <w:sz w:val="16"/>
                <w:szCs w:val="16"/>
              </w:rPr>
              <w:t>27</w:t>
            </w:r>
          </w:p>
        </w:tc>
        <w:tc>
          <w:tcPr>
            <w:tcW w:w="505" w:type="pct"/>
            <w:tcBorders>
              <w:top w:val="single" w:sz="4" w:space="0" w:color="auto"/>
              <w:left w:val="nil"/>
              <w:bottom w:val="single" w:sz="4" w:space="0" w:color="auto"/>
              <w:right w:val="nil"/>
            </w:tcBorders>
            <w:shd w:val="clear" w:color="000000" w:fill="E6F2FF"/>
            <w:noWrap/>
            <w:vAlign w:val="bottom"/>
            <w:hideMark/>
          </w:tcPr>
          <w:p w14:paraId="3277DF5D" w14:textId="55D8814B"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2027</w:t>
            </w:r>
            <w:r w:rsidR="006D727E" w:rsidRPr="00673C1F">
              <w:rPr>
                <w:rFonts w:ascii="Arial" w:hAnsi="Arial" w:cs="Arial"/>
                <w:sz w:val="16"/>
                <w:szCs w:val="16"/>
              </w:rPr>
              <w:noBreakHyphen/>
            </w:r>
            <w:r w:rsidRPr="00673C1F">
              <w:rPr>
                <w:rFonts w:ascii="Arial" w:hAnsi="Arial" w:cs="Arial"/>
                <w:sz w:val="16"/>
                <w:szCs w:val="16"/>
              </w:rPr>
              <w:t>28</w:t>
            </w:r>
          </w:p>
        </w:tc>
      </w:tr>
      <w:tr w:rsidR="00CC388C" w:rsidRPr="00BD68BD" w14:paraId="7AB64E36" w14:textId="77777777" w:rsidTr="00BF0109">
        <w:trPr>
          <w:trHeight w:hRule="exact" w:val="70"/>
        </w:trPr>
        <w:tc>
          <w:tcPr>
            <w:tcW w:w="1773" w:type="pct"/>
            <w:tcBorders>
              <w:top w:val="nil"/>
              <w:left w:val="nil"/>
              <w:bottom w:val="nil"/>
              <w:right w:val="nil"/>
            </w:tcBorders>
            <w:shd w:val="clear" w:color="000000" w:fill="FFFFFF"/>
            <w:noWrap/>
            <w:vAlign w:val="center"/>
            <w:hideMark/>
          </w:tcPr>
          <w:p w14:paraId="6F87FB82" w14:textId="77777777" w:rsidR="00CC388C" w:rsidRPr="00673C1F" w:rsidRDefault="00CC388C" w:rsidP="00CC388C">
            <w:pPr>
              <w:spacing w:before="0" w:after="0" w:line="240" w:lineRule="auto"/>
              <w:rPr>
                <w:rFonts w:ascii="Arial" w:hAnsi="Arial" w:cs="Arial"/>
                <w:sz w:val="16"/>
                <w:szCs w:val="16"/>
              </w:rPr>
            </w:pPr>
            <w:r w:rsidRPr="00673C1F">
              <w:rPr>
                <w:rFonts w:ascii="Arial" w:hAnsi="Arial" w:cs="Arial"/>
                <w:sz w:val="16"/>
                <w:szCs w:val="16"/>
              </w:rPr>
              <w:t> </w:t>
            </w:r>
          </w:p>
        </w:tc>
        <w:tc>
          <w:tcPr>
            <w:tcW w:w="558" w:type="pct"/>
            <w:tcBorders>
              <w:top w:val="nil"/>
              <w:left w:val="nil"/>
              <w:bottom w:val="nil"/>
              <w:right w:val="nil"/>
            </w:tcBorders>
            <w:shd w:val="clear" w:color="000000" w:fill="FFFFFF"/>
            <w:noWrap/>
            <w:vAlign w:val="center"/>
            <w:hideMark/>
          </w:tcPr>
          <w:p w14:paraId="4EC8A21C" w14:textId="77777777" w:rsidR="00CC388C" w:rsidRPr="00673C1F" w:rsidRDefault="00CC388C" w:rsidP="00CC388C">
            <w:pPr>
              <w:spacing w:before="0" w:after="0" w:line="240" w:lineRule="auto"/>
              <w:rPr>
                <w:rFonts w:ascii="Arial" w:hAnsi="Arial" w:cs="Arial"/>
                <w:sz w:val="16"/>
                <w:szCs w:val="16"/>
              </w:rPr>
            </w:pPr>
            <w:r w:rsidRPr="00673C1F">
              <w:rPr>
                <w:rFonts w:ascii="Arial" w:hAnsi="Arial" w:cs="Arial"/>
                <w:sz w:val="16"/>
                <w:szCs w:val="16"/>
              </w:rPr>
              <w:t> </w:t>
            </w:r>
          </w:p>
        </w:tc>
        <w:tc>
          <w:tcPr>
            <w:tcW w:w="154" w:type="pct"/>
            <w:tcBorders>
              <w:top w:val="single" w:sz="4" w:space="0" w:color="auto"/>
              <w:left w:val="nil"/>
              <w:bottom w:val="nil"/>
              <w:right w:val="nil"/>
            </w:tcBorders>
            <w:shd w:val="clear" w:color="000000" w:fill="FFFFFF"/>
            <w:noWrap/>
            <w:vAlign w:val="center"/>
            <w:hideMark/>
          </w:tcPr>
          <w:p w14:paraId="01FFFDFE" w14:textId="77777777" w:rsidR="00CC388C" w:rsidRPr="00673C1F" w:rsidRDefault="00CC388C" w:rsidP="00CC388C">
            <w:pPr>
              <w:spacing w:before="0" w:after="0" w:line="240" w:lineRule="auto"/>
              <w:rPr>
                <w:rFonts w:ascii="Arial" w:hAnsi="Arial" w:cs="Arial"/>
                <w:sz w:val="16"/>
                <w:szCs w:val="16"/>
              </w:rPr>
            </w:pPr>
            <w:r w:rsidRPr="00673C1F">
              <w:rPr>
                <w:rFonts w:ascii="Arial" w:hAnsi="Arial" w:cs="Arial"/>
                <w:sz w:val="16"/>
                <w:szCs w:val="16"/>
              </w:rPr>
              <w:t> </w:t>
            </w:r>
          </w:p>
        </w:tc>
        <w:tc>
          <w:tcPr>
            <w:tcW w:w="502" w:type="pct"/>
            <w:tcBorders>
              <w:top w:val="nil"/>
              <w:left w:val="nil"/>
              <w:bottom w:val="nil"/>
              <w:right w:val="nil"/>
            </w:tcBorders>
            <w:shd w:val="clear" w:color="000000" w:fill="E6F2FF"/>
            <w:noWrap/>
            <w:vAlign w:val="center"/>
            <w:hideMark/>
          </w:tcPr>
          <w:p w14:paraId="54BFA960" w14:textId="77777777" w:rsidR="00CC388C" w:rsidRPr="00673C1F" w:rsidRDefault="00CC388C" w:rsidP="00CC388C">
            <w:pPr>
              <w:spacing w:before="0" w:after="0" w:line="240" w:lineRule="auto"/>
              <w:rPr>
                <w:rFonts w:ascii="Arial" w:hAnsi="Arial" w:cs="Arial"/>
                <w:sz w:val="16"/>
                <w:szCs w:val="16"/>
              </w:rPr>
            </w:pPr>
            <w:r w:rsidRPr="00673C1F">
              <w:rPr>
                <w:rFonts w:ascii="Arial" w:hAnsi="Arial" w:cs="Arial"/>
                <w:sz w:val="16"/>
                <w:szCs w:val="16"/>
              </w:rPr>
              <w:t> </w:t>
            </w:r>
          </w:p>
        </w:tc>
        <w:tc>
          <w:tcPr>
            <w:tcW w:w="503" w:type="pct"/>
            <w:tcBorders>
              <w:top w:val="nil"/>
              <w:left w:val="nil"/>
              <w:bottom w:val="nil"/>
              <w:right w:val="nil"/>
            </w:tcBorders>
            <w:shd w:val="clear" w:color="000000" w:fill="E6F2FF"/>
            <w:noWrap/>
            <w:vAlign w:val="center"/>
            <w:hideMark/>
          </w:tcPr>
          <w:p w14:paraId="57D1B93E" w14:textId="77777777" w:rsidR="00CC388C" w:rsidRPr="00673C1F" w:rsidRDefault="00CC388C" w:rsidP="00CC388C">
            <w:pPr>
              <w:spacing w:before="0" w:after="0" w:line="240" w:lineRule="auto"/>
              <w:rPr>
                <w:rFonts w:ascii="Arial" w:hAnsi="Arial" w:cs="Arial"/>
                <w:sz w:val="16"/>
                <w:szCs w:val="16"/>
              </w:rPr>
            </w:pPr>
            <w:r w:rsidRPr="00673C1F">
              <w:rPr>
                <w:rFonts w:ascii="Arial" w:hAnsi="Arial" w:cs="Arial"/>
                <w:sz w:val="16"/>
                <w:szCs w:val="16"/>
              </w:rPr>
              <w:t> </w:t>
            </w:r>
          </w:p>
        </w:tc>
        <w:tc>
          <w:tcPr>
            <w:tcW w:w="503" w:type="pct"/>
            <w:tcBorders>
              <w:top w:val="nil"/>
              <w:left w:val="nil"/>
              <w:bottom w:val="nil"/>
              <w:right w:val="nil"/>
            </w:tcBorders>
            <w:shd w:val="clear" w:color="000000" w:fill="E6F2FF"/>
            <w:noWrap/>
            <w:vAlign w:val="center"/>
            <w:hideMark/>
          </w:tcPr>
          <w:p w14:paraId="23BC698D" w14:textId="77777777" w:rsidR="00CC388C" w:rsidRPr="00673C1F" w:rsidRDefault="00CC388C" w:rsidP="00CC388C">
            <w:pPr>
              <w:spacing w:before="0" w:after="0" w:line="240" w:lineRule="auto"/>
              <w:rPr>
                <w:rFonts w:ascii="Arial" w:hAnsi="Arial" w:cs="Arial"/>
                <w:sz w:val="16"/>
                <w:szCs w:val="16"/>
              </w:rPr>
            </w:pPr>
            <w:r w:rsidRPr="00673C1F">
              <w:rPr>
                <w:rFonts w:ascii="Arial" w:hAnsi="Arial" w:cs="Arial"/>
                <w:sz w:val="16"/>
                <w:szCs w:val="16"/>
              </w:rPr>
              <w:t> </w:t>
            </w:r>
          </w:p>
        </w:tc>
        <w:tc>
          <w:tcPr>
            <w:tcW w:w="503" w:type="pct"/>
            <w:tcBorders>
              <w:top w:val="nil"/>
              <w:left w:val="nil"/>
              <w:bottom w:val="nil"/>
              <w:right w:val="nil"/>
            </w:tcBorders>
            <w:shd w:val="clear" w:color="000000" w:fill="E6F2FF"/>
            <w:noWrap/>
            <w:vAlign w:val="center"/>
            <w:hideMark/>
          </w:tcPr>
          <w:p w14:paraId="0E29FA87" w14:textId="77777777" w:rsidR="00CC388C" w:rsidRPr="00673C1F" w:rsidRDefault="00CC388C" w:rsidP="00CC388C">
            <w:pPr>
              <w:spacing w:before="0" w:after="0" w:line="240" w:lineRule="auto"/>
              <w:rPr>
                <w:rFonts w:ascii="Arial" w:hAnsi="Arial" w:cs="Arial"/>
                <w:sz w:val="16"/>
                <w:szCs w:val="16"/>
              </w:rPr>
            </w:pPr>
            <w:r w:rsidRPr="00673C1F">
              <w:rPr>
                <w:rFonts w:ascii="Arial" w:hAnsi="Arial" w:cs="Arial"/>
                <w:sz w:val="16"/>
                <w:szCs w:val="16"/>
              </w:rPr>
              <w:t> </w:t>
            </w:r>
          </w:p>
        </w:tc>
        <w:tc>
          <w:tcPr>
            <w:tcW w:w="505" w:type="pct"/>
            <w:tcBorders>
              <w:top w:val="nil"/>
              <w:left w:val="nil"/>
              <w:bottom w:val="nil"/>
              <w:right w:val="nil"/>
            </w:tcBorders>
            <w:shd w:val="clear" w:color="000000" w:fill="E6F2FF"/>
            <w:noWrap/>
            <w:vAlign w:val="center"/>
            <w:hideMark/>
          </w:tcPr>
          <w:p w14:paraId="7B7CB846" w14:textId="77777777" w:rsidR="00CC388C" w:rsidRPr="00673C1F" w:rsidRDefault="00CC388C" w:rsidP="00CC388C">
            <w:pPr>
              <w:spacing w:before="0" w:after="0" w:line="240" w:lineRule="auto"/>
              <w:rPr>
                <w:rFonts w:ascii="Arial" w:hAnsi="Arial" w:cs="Arial"/>
                <w:sz w:val="16"/>
                <w:szCs w:val="16"/>
              </w:rPr>
            </w:pPr>
            <w:r w:rsidRPr="00673C1F">
              <w:rPr>
                <w:rFonts w:ascii="Arial" w:hAnsi="Arial" w:cs="Arial"/>
                <w:sz w:val="16"/>
                <w:szCs w:val="16"/>
              </w:rPr>
              <w:t> </w:t>
            </w:r>
          </w:p>
        </w:tc>
      </w:tr>
      <w:tr w:rsidR="00CC388C" w:rsidRPr="00BD68BD" w14:paraId="4283EEA3" w14:textId="77777777" w:rsidTr="00BF0109">
        <w:trPr>
          <w:trHeight w:hRule="exact" w:val="235"/>
        </w:trPr>
        <w:tc>
          <w:tcPr>
            <w:tcW w:w="1773" w:type="pct"/>
            <w:tcBorders>
              <w:top w:val="nil"/>
              <w:left w:val="nil"/>
              <w:bottom w:val="nil"/>
              <w:right w:val="nil"/>
            </w:tcBorders>
            <w:shd w:val="clear" w:color="000000" w:fill="FFFFFF"/>
            <w:noWrap/>
            <w:vAlign w:val="center"/>
            <w:hideMark/>
          </w:tcPr>
          <w:p w14:paraId="3EE36654" w14:textId="77777777" w:rsidR="00CC388C" w:rsidRPr="00673C1F" w:rsidRDefault="00CC388C" w:rsidP="00CC388C">
            <w:pPr>
              <w:spacing w:before="0" w:after="0" w:line="240" w:lineRule="auto"/>
              <w:rPr>
                <w:rFonts w:ascii="Arial" w:hAnsi="Arial" w:cs="Arial"/>
                <w:b/>
                <w:sz w:val="16"/>
                <w:szCs w:val="16"/>
              </w:rPr>
            </w:pPr>
            <w:r w:rsidRPr="00673C1F">
              <w:rPr>
                <w:rFonts w:ascii="Arial" w:hAnsi="Arial" w:cs="Arial"/>
                <w:b/>
                <w:sz w:val="16"/>
                <w:szCs w:val="16"/>
              </w:rPr>
              <w:t xml:space="preserve">Revenue parameters </w:t>
            </w:r>
          </w:p>
        </w:tc>
        <w:tc>
          <w:tcPr>
            <w:tcW w:w="558" w:type="pct"/>
            <w:tcBorders>
              <w:top w:val="nil"/>
              <w:left w:val="nil"/>
              <w:bottom w:val="nil"/>
              <w:right w:val="nil"/>
            </w:tcBorders>
            <w:shd w:val="clear" w:color="000000" w:fill="FFFFFF"/>
            <w:noWrap/>
            <w:vAlign w:val="center"/>
            <w:hideMark/>
          </w:tcPr>
          <w:p w14:paraId="34D96FF8" w14:textId="77777777" w:rsidR="00CC388C" w:rsidRPr="00673C1F" w:rsidRDefault="00CC388C" w:rsidP="00CC388C">
            <w:pPr>
              <w:spacing w:before="0" w:after="0" w:line="240" w:lineRule="auto"/>
              <w:rPr>
                <w:rFonts w:ascii="Arial" w:hAnsi="Arial" w:cs="Arial"/>
                <w:sz w:val="16"/>
                <w:szCs w:val="16"/>
              </w:rPr>
            </w:pPr>
            <w:r w:rsidRPr="00673C1F">
              <w:rPr>
                <w:rFonts w:ascii="Arial" w:hAnsi="Arial" w:cs="Arial"/>
                <w:sz w:val="16"/>
                <w:szCs w:val="16"/>
              </w:rPr>
              <w:t> </w:t>
            </w:r>
          </w:p>
        </w:tc>
        <w:tc>
          <w:tcPr>
            <w:tcW w:w="154" w:type="pct"/>
            <w:tcBorders>
              <w:top w:val="nil"/>
              <w:left w:val="nil"/>
              <w:bottom w:val="nil"/>
              <w:right w:val="nil"/>
            </w:tcBorders>
            <w:shd w:val="clear" w:color="000000" w:fill="FFFFFF"/>
            <w:noWrap/>
            <w:vAlign w:val="center"/>
            <w:hideMark/>
          </w:tcPr>
          <w:p w14:paraId="14A95390" w14:textId="77777777" w:rsidR="00CC388C" w:rsidRPr="00673C1F" w:rsidRDefault="00CC388C" w:rsidP="00CC388C">
            <w:pPr>
              <w:spacing w:before="0" w:after="0" w:line="240" w:lineRule="auto"/>
              <w:rPr>
                <w:rFonts w:ascii="Arial" w:hAnsi="Arial" w:cs="Arial"/>
                <w:sz w:val="16"/>
                <w:szCs w:val="16"/>
              </w:rPr>
            </w:pPr>
            <w:r w:rsidRPr="00673C1F">
              <w:rPr>
                <w:rFonts w:ascii="Arial" w:hAnsi="Arial" w:cs="Arial"/>
                <w:sz w:val="16"/>
                <w:szCs w:val="16"/>
              </w:rPr>
              <w:t> </w:t>
            </w:r>
          </w:p>
        </w:tc>
        <w:tc>
          <w:tcPr>
            <w:tcW w:w="502" w:type="pct"/>
            <w:tcBorders>
              <w:top w:val="nil"/>
              <w:left w:val="nil"/>
              <w:bottom w:val="nil"/>
              <w:right w:val="nil"/>
            </w:tcBorders>
            <w:shd w:val="clear" w:color="000000" w:fill="E6F2FF"/>
            <w:noWrap/>
            <w:vAlign w:val="center"/>
            <w:hideMark/>
          </w:tcPr>
          <w:p w14:paraId="3EF78651" w14:textId="77777777" w:rsidR="00CC388C" w:rsidRPr="00673C1F" w:rsidRDefault="00CC388C" w:rsidP="00CC388C">
            <w:pPr>
              <w:spacing w:before="0" w:after="0" w:line="240" w:lineRule="auto"/>
              <w:rPr>
                <w:rFonts w:ascii="Arial" w:hAnsi="Arial" w:cs="Arial"/>
                <w:sz w:val="16"/>
                <w:szCs w:val="16"/>
              </w:rPr>
            </w:pPr>
            <w:r w:rsidRPr="00673C1F">
              <w:rPr>
                <w:rFonts w:ascii="Arial" w:hAnsi="Arial" w:cs="Arial"/>
                <w:sz w:val="16"/>
                <w:szCs w:val="16"/>
              </w:rPr>
              <w:t> </w:t>
            </w:r>
          </w:p>
        </w:tc>
        <w:tc>
          <w:tcPr>
            <w:tcW w:w="503" w:type="pct"/>
            <w:tcBorders>
              <w:top w:val="nil"/>
              <w:left w:val="nil"/>
              <w:bottom w:val="nil"/>
              <w:right w:val="nil"/>
            </w:tcBorders>
            <w:shd w:val="clear" w:color="000000" w:fill="E6F2FF"/>
            <w:noWrap/>
            <w:vAlign w:val="center"/>
            <w:hideMark/>
          </w:tcPr>
          <w:p w14:paraId="38E8A472" w14:textId="77777777" w:rsidR="00CC388C" w:rsidRPr="00673C1F" w:rsidRDefault="00CC388C" w:rsidP="00CC388C">
            <w:pPr>
              <w:spacing w:before="0" w:after="0" w:line="240" w:lineRule="auto"/>
              <w:rPr>
                <w:rFonts w:ascii="Arial" w:hAnsi="Arial" w:cs="Arial"/>
                <w:sz w:val="16"/>
                <w:szCs w:val="16"/>
              </w:rPr>
            </w:pPr>
            <w:r w:rsidRPr="00673C1F">
              <w:rPr>
                <w:rFonts w:ascii="Arial" w:hAnsi="Arial" w:cs="Arial"/>
                <w:sz w:val="16"/>
                <w:szCs w:val="16"/>
              </w:rPr>
              <w:t> </w:t>
            </w:r>
          </w:p>
        </w:tc>
        <w:tc>
          <w:tcPr>
            <w:tcW w:w="503" w:type="pct"/>
            <w:tcBorders>
              <w:top w:val="nil"/>
              <w:left w:val="nil"/>
              <w:bottom w:val="nil"/>
              <w:right w:val="nil"/>
            </w:tcBorders>
            <w:shd w:val="clear" w:color="000000" w:fill="E6F2FF"/>
            <w:noWrap/>
            <w:vAlign w:val="center"/>
            <w:hideMark/>
          </w:tcPr>
          <w:p w14:paraId="4FF98D25" w14:textId="77777777" w:rsidR="00CC388C" w:rsidRPr="00673C1F" w:rsidRDefault="00CC388C" w:rsidP="00CC388C">
            <w:pPr>
              <w:spacing w:before="0" w:after="0" w:line="240" w:lineRule="auto"/>
              <w:rPr>
                <w:rFonts w:ascii="Arial" w:hAnsi="Arial" w:cs="Arial"/>
                <w:sz w:val="16"/>
                <w:szCs w:val="16"/>
              </w:rPr>
            </w:pPr>
            <w:r w:rsidRPr="00673C1F">
              <w:rPr>
                <w:rFonts w:ascii="Arial" w:hAnsi="Arial" w:cs="Arial"/>
                <w:sz w:val="16"/>
                <w:szCs w:val="16"/>
              </w:rPr>
              <w:t> </w:t>
            </w:r>
          </w:p>
        </w:tc>
        <w:tc>
          <w:tcPr>
            <w:tcW w:w="503" w:type="pct"/>
            <w:tcBorders>
              <w:top w:val="nil"/>
              <w:left w:val="nil"/>
              <w:bottom w:val="nil"/>
              <w:right w:val="nil"/>
            </w:tcBorders>
            <w:shd w:val="clear" w:color="000000" w:fill="E6F2FF"/>
            <w:noWrap/>
            <w:vAlign w:val="center"/>
            <w:hideMark/>
          </w:tcPr>
          <w:p w14:paraId="33A89537" w14:textId="77777777" w:rsidR="00CC388C" w:rsidRPr="00673C1F" w:rsidRDefault="00CC388C" w:rsidP="00CC388C">
            <w:pPr>
              <w:spacing w:before="0" w:after="0" w:line="240" w:lineRule="auto"/>
              <w:rPr>
                <w:rFonts w:ascii="Arial" w:hAnsi="Arial" w:cs="Arial"/>
                <w:sz w:val="16"/>
                <w:szCs w:val="16"/>
              </w:rPr>
            </w:pPr>
            <w:r w:rsidRPr="00673C1F">
              <w:rPr>
                <w:rFonts w:ascii="Arial" w:hAnsi="Arial" w:cs="Arial"/>
                <w:sz w:val="16"/>
                <w:szCs w:val="16"/>
              </w:rPr>
              <w:t> </w:t>
            </w:r>
          </w:p>
        </w:tc>
        <w:tc>
          <w:tcPr>
            <w:tcW w:w="505" w:type="pct"/>
            <w:tcBorders>
              <w:top w:val="nil"/>
              <w:left w:val="nil"/>
              <w:bottom w:val="nil"/>
              <w:right w:val="nil"/>
            </w:tcBorders>
            <w:shd w:val="clear" w:color="000000" w:fill="E6F2FF"/>
            <w:noWrap/>
            <w:vAlign w:val="center"/>
            <w:hideMark/>
          </w:tcPr>
          <w:p w14:paraId="65713179" w14:textId="77777777" w:rsidR="00CC388C" w:rsidRPr="00673C1F" w:rsidRDefault="00CC388C" w:rsidP="00CC388C">
            <w:pPr>
              <w:spacing w:before="0" w:after="0" w:line="240" w:lineRule="auto"/>
              <w:rPr>
                <w:rFonts w:ascii="Arial" w:hAnsi="Arial" w:cs="Arial"/>
                <w:sz w:val="16"/>
                <w:szCs w:val="16"/>
              </w:rPr>
            </w:pPr>
            <w:r w:rsidRPr="00673C1F">
              <w:rPr>
                <w:rFonts w:ascii="Arial" w:hAnsi="Arial" w:cs="Arial"/>
                <w:sz w:val="16"/>
                <w:szCs w:val="16"/>
              </w:rPr>
              <w:t> </w:t>
            </w:r>
          </w:p>
        </w:tc>
      </w:tr>
      <w:tr w:rsidR="00CC388C" w:rsidRPr="00BD68BD" w14:paraId="4A0DBC3D" w14:textId="77777777" w:rsidTr="00BF0109">
        <w:trPr>
          <w:trHeight w:hRule="exact" w:val="225"/>
        </w:trPr>
        <w:tc>
          <w:tcPr>
            <w:tcW w:w="1773" w:type="pct"/>
            <w:tcBorders>
              <w:top w:val="nil"/>
              <w:left w:val="nil"/>
              <w:bottom w:val="nil"/>
              <w:right w:val="nil"/>
            </w:tcBorders>
            <w:shd w:val="clear" w:color="000000" w:fill="FFFFFF"/>
            <w:noWrap/>
            <w:vAlign w:val="center"/>
            <w:hideMark/>
          </w:tcPr>
          <w:p w14:paraId="5A66AA78" w14:textId="77777777" w:rsidR="00CC388C" w:rsidRPr="00673C1F" w:rsidRDefault="00CC388C" w:rsidP="00BF0109">
            <w:pPr>
              <w:spacing w:before="0" w:after="0" w:line="240" w:lineRule="auto"/>
              <w:ind w:left="170"/>
              <w:rPr>
                <w:rFonts w:ascii="Arial" w:hAnsi="Arial" w:cs="Arial"/>
                <w:sz w:val="16"/>
                <w:szCs w:val="16"/>
              </w:rPr>
            </w:pPr>
            <w:r w:rsidRPr="00673C1F">
              <w:rPr>
                <w:rFonts w:ascii="Arial" w:hAnsi="Arial" w:cs="Arial"/>
                <w:sz w:val="16"/>
                <w:szCs w:val="16"/>
              </w:rPr>
              <w:t>Nominal gross domestic product</w:t>
            </w:r>
          </w:p>
        </w:tc>
        <w:tc>
          <w:tcPr>
            <w:tcW w:w="558" w:type="pct"/>
            <w:tcBorders>
              <w:top w:val="nil"/>
              <w:left w:val="nil"/>
              <w:bottom w:val="nil"/>
              <w:right w:val="nil"/>
            </w:tcBorders>
            <w:shd w:val="clear" w:color="000000" w:fill="FFFFFF"/>
            <w:noWrap/>
            <w:vAlign w:val="center"/>
            <w:hideMark/>
          </w:tcPr>
          <w:p w14:paraId="2FA6B3D5"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9.9</w:t>
            </w:r>
          </w:p>
        </w:tc>
        <w:tc>
          <w:tcPr>
            <w:tcW w:w="154" w:type="pct"/>
            <w:tcBorders>
              <w:top w:val="nil"/>
              <w:left w:val="nil"/>
              <w:bottom w:val="nil"/>
              <w:right w:val="nil"/>
            </w:tcBorders>
            <w:shd w:val="clear" w:color="000000" w:fill="FFFFFF"/>
            <w:noWrap/>
            <w:vAlign w:val="center"/>
            <w:hideMark/>
          </w:tcPr>
          <w:p w14:paraId="294DBDFC"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c>
          <w:tcPr>
            <w:tcW w:w="502" w:type="pct"/>
            <w:tcBorders>
              <w:top w:val="nil"/>
              <w:left w:val="nil"/>
              <w:bottom w:val="nil"/>
              <w:right w:val="nil"/>
            </w:tcBorders>
            <w:shd w:val="clear" w:color="000000" w:fill="E6F2FF"/>
            <w:noWrap/>
            <w:vAlign w:val="center"/>
            <w:hideMark/>
          </w:tcPr>
          <w:p w14:paraId="267E2A97"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4 3/4</w:t>
            </w:r>
          </w:p>
        </w:tc>
        <w:tc>
          <w:tcPr>
            <w:tcW w:w="503" w:type="pct"/>
            <w:tcBorders>
              <w:top w:val="nil"/>
              <w:left w:val="nil"/>
              <w:bottom w:val="nil"/>
              <w:right w:val="nil"/>
            </w:tcBorders>
            <w:shd w:val="clear" w:color="000000" w:fill="E6F2FF"/>
            <w:noWrap/>
            <w:vAlign w:val="center"/>
            <w:hideMark/>
          </w:tcPr>
          <w:p w14:paraId="5134A59E"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2 3/4</w:t>
            </w:r>
          </w:p>
        </w:tc>
        <w:tc>
          <w:tcPr>
            <w:tcW w:w="503" w:type="pct"/>
            <w:tcBorders>
              <w:top w:val="nil"/>
              <w:left w:val="nil"/>
              <w:bottom w:val="nil"/>
              <w:right w:val="nil"/>
            </w:tcBorders>
            <w:shd w:val="clear" w:color="000000" w:fill="E6F2FF"/>
            <w:noWrap/>
            <w:vAlign w:val="center"/>
            <w:hideMark/>
          </w:tcPr>
          <w:p w14:paraId="6BC2722A"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xml:space="preserve">4    </w:t>
            </w:r>
          </w:p>
        </w:tc>
        <w:tc>
          <w:tcPr>
            <w:tcW w:w="503" w:type="pct"/>
            <w:tcBorders>
              <w:top w:val="nil"/>
              <w:left w:val="nil"/>
              <w:bottom w:val="nil"/>
              <w:right w:val="nil"/>
            </w:tcBorders>
            <w:shd w:val="clear" w:color="000000" w:fill="E6F2FF"/>
            <w:noWrap/>
            <w:vAlign w:val="center"/>
            <w:hideMark/>
          </w:tcPr>
          <w:p w14:paraId="1DA2B84F"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5 1/4</w:t>
            </w:r>
          </w:p>
        </w:tc>
        <w:tc>
          <w:tcPr>
            <w:tcW w:w="505" w:type="pct"/>
            <w:tcBorders>
              <w:top w:val="nil"/>
              <w:left w:val="nil"/>
              <w:bottom w:val="nil"/>
              <w:right w:val="nil"/>
            </w:tcBorders>
            <w:shd w:val="clear" w:color="000000" w:fill="E6F2FF"/>
            <w:noWrap/>
            <w:vAlign w:val="center"/>
            <w:hideMark/>
          </w:tcPr>
          <w:p w14:paraId="06857CB4"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5 1/4</w:t>
            </w:r>
          </w:p>
        </w:tc>
      </w:tr>
      <w:tr w:rsidR="00CC388C" w:rsidRPr="00BD68BD" w14:paraId="50425A78" w14:textId="77777777" w:rsidTr="00BF0109">
        <w:trPr>
          <w:trHeight w:hRule="exact" w:val="235"/>
        </w:trPr>
        <w:tc>
          <w:tcPr>
            <w:tcW w:w="1773" w:type="pct"/>
            <w:tcBorders>
              <w:top w:val="nil"/>
              <w:left w:val="nil"/>
              <w:bottom w:val="nil"/>
              <w:right w:val="nil"/>
            </w:tcBorders>
            <w:shd w:val="clear" w:color="000000" w:fill="FFFFFF"/>
            <w:noWrap/>
            <w:vAlign w:val="center"/>
            <w:hideMark/>
          </w:tcPr>
          <w:p w14:paraId="0BFB4881" w14:textId="060CC3CB" w:rsidR="00CC388C" w:rsidRPr="00673C1F" w:rsidRDefault="00CC388C" w:rsidP="00BF0109">
            <w:pPr>
              <w:spacing w:before="0" w:after="0" w:line="240" w:lineRule="auto"/>
              <w:ind w:left="340"/>
              <w:rPr>
                <w:rFonts w:ascii="Arial" w:hAnsi="Arial" w:cs="Arial"/>
                <w:sz w:val="16"/>
                <w:szCs w:val="16"/>
              </w:rPr>
            </w:pPr>
            <w:r w:rsidRPr="00673C1F">
              <w:rPr>
                <w:rFonts w:ascii="Arial" w:hAnsi="Arial" w:cs="Arial"/>
                <w:sz w:val="16"/>
                <w:szCs w:val="16"/>
              </w:rPr>
              <w:t>Change since 2023</w:t>
            </w:r>
            <w:r w:rsidR="006D727E" w:rsidRPr="00673C1F">
              <w:rPr>
                <w:rFonts w:ascii="Arial" w:hAnsi="Arial" w:cs="Arial"/>
                <w:sz w:val="16"/>
                <w:szCs w:val="16"/>
              </w:rPr>
              <w:noBreakHyphen/>
            </w:r>
            <w:r w:rsidRPr="00673C1F">
              <w:rPr>
                <w:rFonts w:ascii="Arial" w:hAnsi="Arial" w:cs="Arial"/>
                <w:sz w:val="16"/>
                <w:szCs w:val="16"/>
              </w:rPr>
              <w:t>24 MYEFO</w:t>
            </w:r>
          </w:p>
        </w:tc>
        <w:tc>
          <w:tcPr>
            <w:tcW w:w="558" w:type="pct"/>
            <w:tcBorders>
              <w:top w:val="nil"/>
              <w:left w:val="nil"/>
              <w:bottom w:val="nil"/>
              <w:right w:val="nil"/>
            </w:tcBorders>
            <w:shd w:val="clear" w:color="000000" w:fill="FFFFFF"/>
            <w:noWrap/>
            <w:vAlign w:val="center"/>
            <w:hideMark/>
          </w:tcPr>
          <w:p w14:paraId="42193642"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c>
          <w:tcPr>
            <w:tcW w:w="154" w:type="pct"/>
            <w:tcBorders>
              <w:top w:val="nil"/>
              <w:left w:val="nil"/>
              <w:bottom w:val="nil"/>
              <w:right w:val="nil"/>
            </w:tcBorders>
            <w:shd w:val="clear" w:color="000000" w:fill="FFFFFF"/>
            <w:noWrap/>
            <w:vAlign w:val="center"/>
            <w:hideMark/>
          </w:tcPr>
          <w:p w14:paraId="5C43610F"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c>
          <w:tcPr>
            <w:tcW w:w="502" w:type="pct"/>
            <w:tcBorders>
              <w:top w:val="nil"/>
              <w:left w:val="nil"/>
              <w:bottom w:val="nil"/>
              <w:right w:val="nil"/>
            </w:tcBorders>
            <w:shd w:val="clear" w:color="000000" w:fill="E6F2FF"/>
            <w:noWrap/>
            <w:vAlign w:val="center"/>
            <w:hideMark/>
          </w:tcPr>
          <w:p w14:paraId="1FEF698C" w14:textId="65C5E58F" w:rsidR="00CC388C" w:rsidRPr="00673C1F" w:rsidRDefault="00EA00F7" w:rsidP="00CC388C">
            <w:pPr>
              <w:spacing w:before="0" w:after="0" w:line="240" w:lineRule="auto"/>
              <w:jc w:val="right"/>
              <w:rPr>
                <w:rFonts w:ascii="Arial" w:hAnsi="Arial" w:cs="Arial"/>
                <w:i/>
                <w:sz w:val="16"/>
                <w:szCs w:val="16"/>
              </w:rPr>
            </w:pPr>
            <w:r w:rsidRPr="00673C1F">
              <w:rPr>
                <w:rFonts w:ascii="Arial" w:hAnsi="Arial" w:cs="Arial"/>
                <w:i/>
                <w:sz w:val="16"/>
                <w:szCs w:val="16"/>
              </w:rPr>
              <w:t>1/2</w:t>
            </w:r>
          </w:p>
        </w:tc>
        <w:tc>
          <w:tcPr>
            <w:tcW w:w="503" w:type="pct"/>
            <w:tcBorders>
              <w:top w:val="nil"/>
              <w:left w:val="nil"/>
              <w:bottom w:val="nil"/>
              <w:right w:val="nil"/>
            </w:tcBorders>
            <w:shd w:val="clear" w:color="000000" w:fill="E6F2FF"/>
            <w:noWrap/>
            <w:vAlign w:val="center"/>
            <w:hideMark/>
          </w:tcPr>
          <w:p w14:paraId="3EB0E551" w14:textId="6EE1DDC7" w:rsidR="00CC388C" w:rsidRPr="00673C1F" w:rsidRDefault="00EA00F7" w:rsidP="00CC388C">
            <w:pPr>
              <w:spacing w:before="0" w:after="0" w:line="240" w:lineRule="auto"/>
              <w:jc w:val="right"/>
              <w:rPr>
                <w:rFonts w:ascii="Arial" w:hAnsi="Arial" w:cs="Arial"/>
                <w:i/>
                <w:sz w:val="16"/>
                <w:szCs w:val="16"/>
              </w:rPr>
            </w:pPr>
            <w:r w:rsidRPr="00673C1F">
              <w:rPr>
                <w:rFonts w:ascii="Arial" w:hAnsi="Arial" w:cs="Arial"/>
                <w:i/>
                <w:sz w:val="16"/>
                <w:szCs w:val="16"/>
              </w:rPr>
              <w:t>1/2</w:t>
            </w:r>
          </w:p>
        </w:tc>
        <w:tc>
          <w:tcPr>
            <w:tcW w:w="503" w:type="pct"/>
            <w:tcBorders>
              <w:top w:val="nil"/>
              <w:left w:val="nil"/>
              <w:bottom w:val="nil"/>
              <w:right w:val="nil"/>
            </w:tcBorders>
            <w:shd w:val="clear" w:color="000000" w:fill="E6F2FF"/>
            <w:noWrap/>
            <w:vAlign w:val="center"/>
            <w:hideMark/>
          </w:tcPr>
          <w:p w14:paraId="235A3CE1" w14:textId="0A586EBE" w:rsidR="00CC388C" w:rsidRPr="00673C1F" w:rsidRDefault="006D727E" w:rsidP="00CC388C">
            <w:pPr>
              <w:spacing w:before="0" w:after="0" w:line="240" w:lineRule="auto"/>
              <w:jc w:val="right"/>
              <w:rPr>
                <w:rFonts w:ascii="Arial" w:hAnsi="Arial" w:cs="Arial"/>
                <w:i/>
                <w:sz w:val="16"/>
                <w:szCs w:val="16"/>
              </w:rPr>
            </w:pPr>
            <w:r w:rsidRPr="00673C1F">
              <w:rPr>
                <w:rFonts w:ascii="Arial" w:hAnsi="Arial" w:cs="Arial"/>
                <w:i/>
                <w:sz w:val="16"/>
                <w:szCs w:val="16"/>
              </w:rPr>
              <w:noBreakHyphen/>
            </w:r>
            <w:r w:rsidR="00CC388C" w:rsidRPr="00673C1F">
              <w:rPr>
                <w:rFonts w:ascii="Arial" w:hAnsi="Arial" w:cs="Arial"/>
                <w:i/>
                <w:sz w:val="16"/>
                <w:szCs w:val="16"/>
              </w:rPr>
              <w:t xml:space="preserve"> 1/2</w:t>
            </w:r>
          </w:p>
        </w:tc>
        <w:tc>
          <w:tcPr>
            <w:tcW w:w="503" w:type="pct"/>
            <w:tcBorders>
              <w:top w:val="nil"/>
              <w:left w:val="nil"/>
              <w:bottom w:val="nil"/>
              <w:right w:val="nil"/>
            </w:tcBorders>
            <w:shd w:val="clear" w:color="000000" w:fill="E6F2FF"/>
            <w:noWrap/>
            <w:vAlign w:val="center"/>
            <w:hideMark/>
          </w:tcPr>
          <w:p w14:paraId="57DE3F28" w14:textId="07B5A4C0" w:rsidR="00CC388C" w:rsidRPr="00673C1F" w:rsidRDefault="00EA00F7" w:rsidP="00CC388C">
            <w:pPr>
              <w:spacing w:before="0" w:after="0" w:line="240" w:lineRule="auto"/>
              <w:jc w:val="right"/>
              <w:rPr>
                <w:rFonts w:ascii="Arial" w:hAnsi="Arial" w:cs="Arial"/>
                <w:i/>
                <w:sz w:val="16"/>
                <w:szCs w:val="16"/>
              </w:rPr>
            </w:pPr>
            <w:r w:rsidRPr="00673C1F">
              <w:rPr>
                <w:rFonts w:ascii="Arial" w:hAnsi="Arial" w:cs="Arial"/>
                <w:i/>
                <w:sz w:val="16"/>
                <w:szCs w:val="16"/>
              </w:rPr>
              <w:t>1/4</w:t>
            </w:r>
          </w:p>
        </w:tc>
        <w:tc>
          <w:tcPr>
            <w:tcW w:w="505" w:type="pct"/>
            <w:tcBorders>
              <w:top w:val="nil"/>
              <w:left w:val="nil"/>
              <w:bottom w:val="nil"/>
              <w:right w:val="nil"/>
            </w:tcBorders>
            <w:shd w:val="clear" w:color="000000" w:fill="E6F2FF"/>
            <w:noWrap/>
            <w:vAlign w:val="center"/>
            <w:hideMark/>
          </w:tcPr>
          <w:p w14:paraId="0429BCF3" w14:textId="77777777" w:rsidR="00CC388C" w:rsidRPr="00673C1F" w:rsidRDefault="00CC388C" w:rsidP="00CC388C">
            <w:pPr>
              <w:spacing w:before="0" w:after="0" w:line="240" w:lineRule="auto"/>
              <w:jc w:val="right"/>
              <w:rPr>
                <w:rFonts w:ascii="Arial" w:hAnsi="Arial" w:cs="Arial"/>
                <w:i/>
                <w:sz w:val="16"/>
                <w:szCs w:val="16"/>
              </w:rPr>
            </w:pPr>
            <w:r w:rsidRPr="00673C1F">
              <w:rPr>
                <w:rFonts w:ascii="Arial" w:hAnsi="Arial" w:cs="Arial"/>
                <w:i/>
                <w:sz w:val="16"/>
                <w:szCs w:val="16"/>
              </w:rPr>
              <w:t> </w:t>
            </w:r>
          </w:p>
        </w:tc>
      </w:tr>
      <w:tr w:rsidR="00CC388C" w:rsidRPr="00BD68BD" w14:paraId="0F3A9EEF" w14:textId="77777777" w:rsidTr="00BF0109">
        <w:trPr>
          <w:trHeight w:hRule="exact" w:val="60"/>
        </w:trPr>
        <w:tc>
          <w:tcPr>
            <w:tcW w:w="1773" w:type="pct"/>
            <w:tcBorders>
              <w:top w:val="nil"/>
              <w:left w:val="nil"/>
              <w:bottom w:val="nil"/>
              <w:right w:val="nil"/>
            </w:tcBorders>
            <w:shd w:val="clear" w:color="000000" w:fill="FFFFFF"/>
            <w:noWrap/>
            <w:vAlign w:val="center"/>
            <w:hideMark/>
          </w:tcPr>
          <w:p w14:paraId="1C957D2C" w14:textId="77777777" w:rsidR="00CC388C" w:rsidRPr="00673C1F" w:rsidRDefault="00CC388C" w:rsidP="00BF0109">
            <w:pPr>
              <w:spacing w:before="0" w:after="0" w:line="240" w:lineRule="auto"/>
              <w:ind w:left="170"/>
              <w:rPr>
                <w:rFonts w:ascii="Arial" w:hAnsi="Arial" w:cs="Arial"/>
                <w:sz w:val="16"/>
                <w:szCs w:val="16"/>
              </w:rPr>
            </w:pPr>
            <w:r w:rsidRPr="00673C1F">
              <w:rPr>
                <w:rFonts w:ascii="Arial" w:hAnsi="Arial" w:cs="Arial"/>
                <w:sz w:val="16"/>
                <w:szCs w:val="16"/>
              </w:rPr>
              <w:t> </w:t>
            </w:r>
          </w:p>
        </w:tc>
        <w:tc>
          <w:tcPr>
            <w:tcW w:w="558" w:type="pct"/>
            <w:tcBorders>
              <w:top w:val="nil"/>
              <w:left w:val="nil"/>
              <w:bottom w:val="nil"/>
              <w:right w:val="nil"/>
            </w:tcBorders>
            <w:shd w:val="clear" w:color="000000" w:fill="FFFFFF"/>
            <w:noWrap/>
            <w:vAlign w:val="center"/>
            <w:hideMark/>
          </w:tcPr>
          <w:p w14:paraId="2DEFB0B7"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c>
          <w:tcPr>
            <w:tcW w:w="154" w:type="pct"/>
            <w:tcBorders>
              <w:top w:val="nil"/>
              <w:left w:val="nil"/>
              <w:bottom w:val="nil"/>
              <w:right w:val="nil"/>
            </w:tcBorders>
            <w:shd w:val="clear" w:color="000000" w:fill="FFFFFF"/>
            <w:noWrap/>
            <w:vAlign w:val="center"/>
            <w:hideMark/>
          </w:tcPr>
          <w:p w14:paraId="5F5B2B01"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c>
          <w:tcPr>
            <w:tcW w:w="502" w:type="pct"/>
            <w:tcBorders>
              <w:top w:val="nil"/>
              <w:left w:val="nil"/>
              <w:bottom w:val="nil"/>
              <w:right w:val="nil"/>
            </w:tcBorders>
            <w:shd w:val="clear" w:color="000000" w:fill="E6F2FF"/>
            <w:noWrap/>
            <w:vAlign w:val="center"/>
            <w:hideMark/>
          </w:tcPr>
          <w:p w14:paraId="478DACFD"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c>
          <w:tcPr>
            <w:tcW w:w="503" w:type="pct"/>
            <w:tcBorders>
              <w:top w:val="nil"/>
              <w:left w:val="nil"/>
              <w:bottom w:val="nil"/>
              <w:right w:val="nil"/>
            </w:tcBorders>
            <w:shd w:val="clear" w:color="000000" w:fill="E6F2FF"/>
            <w:noWrap/>
            <w:vAlign w:val="center"/>
            <w:hideMark/>
          </w:tcPr>
          <w:p w14:paraId="213247C5"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c>
          <w:tcPr>
            <w:tcW w:w="503" w:type="pct"/>
            <w:tcBorders>
              <w:top w:val="nil"/>
              <w:left w:val="nil"/>
              <w:bottom w:val="nil"/>
              <w:right w:val="nil"/>
            </w:tcBorders>
            <w:shd w:val="clear" w:color="000000" w:fill="E6F2FF"/>
            <w:noWrap/>
            <w:vAlign w:val="center"/>
            <w:hideMark/>
          </w:tcPr>
          <w:p w14:paraId="20F80C96"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c>
          <w:tcPr>
            <w:tcW w:w="503" w:type="pct"/>
            <w:tcBorders>
              <w:top w:val="nil"/>
              <w:left w:val="nil"/>
              <w:bottom w:val="nil"/>
              <w:right w:val="nil"/>
            </w:tcBorders>
            <w:shd w:val="clear" w:color="000000" w:fill="E6F2FF"/>
            <w:noWrap/>
            <w:vAlign w:val="center"/>
            <w:hideMark/>
          </w:tcPr>
          <w:p w14:paraId="67079CEC"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c>
          <w:tcPr>
            <w:tcW w:w="505" w:type="pct"/>
            <w:tcBorders>
              <w:top w:val="nil"/>
              <w:left w:val="nil"/>
              <w:bottom w:val="nil"/>
              <w:right w:val="nil"/>
            </w:tcBorders>
            <w:shd w:val="clear" w:color="000000" w:fill="E6F2FF"/>
            <w:noWrap/>
            <w:vAlign w:val="center"/>
            <w:hideMark/>
          </w:tcPr>
          <w:p w14:paraId="2A1C000C"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r>
      <w:tr w:rsidR="00CC388C" w:rsidRPr="00BD68BD" w14:paraId="7F984976" w14:textId="77777777" w:rsidTr="00BF0109">
        <w:trPr>
          <w:trHeight w:hRule="exact" w:val="235"/>
        </w:trPr>
        <w:tc>
          <w:tcPr>
            <w:tcW w:w="1773" w:type="pct"/>
            <w:tcBorders>
              <w:top w:val="nil"/>
              <w:left w:val="nil"/>
              <w:bottom w:val="nil"/>
              <w:right w:val="nil"/>
            </w:tcBorders>
            <w:shd w:val="clear" w:color="000000" w:fill="FFFFFF"/>
            <w:noWrap/>
            <w:vAlign w:val="center"/>
            <w:hideMark/>
          </w:tcPr>
          <w:p w14:paraId="56EFF0BE" w14:textId="77777777" w:rsidR="00CC388C" w:rsidRPr="00673C1F" w:rsidRDefault="00CC388C" w:rsidP="00BF0109">
            <w:pPr>
              <w:spacing w:before="0" w:after="0" w:line="240" w:lineRule="auto"/>
              <w:ind w:left="170"/>
              <w:rPr>
                <w:rFonts w:ascii="Arial" w:hAnsi="Arial" w:cs="Arial"/>
                <w:sz w:val="16"/>
                <w:szCs w:val="16"/>
              </w:rPr>
            </w:pPr>
            <w:r w:rsidRPr="00673C1F">
              <w:rPr>
                <w:rFonts w:ascii="Arial" w:hAnsi="Arial" w:cs="Arial"/>
                <w:sz w:val="16"/>
                <w:szCs w:val="16"/>
              </w:rPr>
              <w:t>Compensation of employees</w:t>
            </w:r>
            <w:r w:rsidRPr="00673C1F">
              <w:rPr>
                <w:rFonts w:ascii="Arial" w:hAnsi="Arial" w:cs="Arial"/>
                <w:sz w:val="16"/>
                <w:szCs w:val="16"/>
                <w:vertAlign w:val="superscript"/>
              </w:rPr>
              <w:t>(b)</w:t>
            </w:r>
          </w:p>
        </w:tc>
        <w:tc>
          <w:tcPr>
            <w:tcW w:w="558" w:type="pct"/>
            <w:tcBorders>
              <w:top w:val="nil"/>
              <w:left w:val="nil"/>
              <w:bottom w:val="nil"/>
              <w:right w:val="nil"/>
            </w:tcBorders>
            <w:shd w:val="clear" w:color="000000" w:fill="FFFFFF"/>
            <w:noWrap/>
            <w:vAlign w:val="center"/>
            <w:hideMark/>
          </w:tcPr>
          <w:p w14:paraId="4DF39286"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10.1</w:t>
            </w:r>
          </w:p>
        </w:tc>
        <w:tc>
          <w:tcPr>
            <w:tcW w:w="154" w:type="pct"/>
            <w:tcBorders>
              <w:top w:val="nil"/>
              <w:left w:val="nil"/>
              <w:bottom w:val="nil"/>
              <w:right w:val="nil"/>
            </w:tcBorders>
            <w:shd w:val="clear" w:color="000000" w:fill="FFFFFF"/>
            <w:noWrap/>
            <w:vAlign w:val="center"/>
            <w:hideMark/>
          </w:tcPr>
          <w:p w14:paraId="1448EEEE"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c>
          <w:tcPr>
            <w:tcW w:w="502" w:type="pct"/>
            <w:tcBorders>
              <w:top w:val="nil"/>
              <w:left w:val="nil"/>
              <w:bottom w:val="nil"/>
              <w:right w:val="nil"/>
            </w:tcBorders>
            <w:shd w:val="clear" w:color="000000" w:fill="E6F2FF"/>
            <w:noWrap/>
            <w:vAlign w:val="center"/>
            <w:hideMark/>
          </w:tcPr>
          <w:p w14:paraId="4D02E88B"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7 1/2</w:t>
            </w:r>
          </w:p>
        </w:tc>
        <w:tc>
          <w:tcPr>
            <w:tcW w:w="503" w:type="pct"/>
            <w:tcBorders>
              <w:top w:val="nil"/>
              <w:left w:val="nil"/>
              <w:bottom w:val="nil"/>
              <w:right w:val="nil"/>
            </w:tcBorders>
            <w:shd w:val="clear" w:color="000000" w:fill="E6F2FF"/>
            <w:noWrap/>
            <w:vAlign w:val="center"/>
            <w:hideMark/>
          </w:tcPr>
          <w:p w14:paraId="039FEC4C"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4 1/4</w:t>
            </w:r>
          </w:p>
        </w:tc>
        <w:tc>
          <w:tcPr>
            <w:tcW w:w="503" w:type="pct"/>
            <w:tcBorders>
              <w:top w:val="nil"/>
              <w:left w:val="nil"/>
              <w:bottom w:val="nil"/>
              <w:right w:val="nil"/>
            </w:tcBorders>
            <w:shd w:val="clear" w:color="000000" w:fill="E6F2FF"/>
            <w:noWrap/>
            <w:vAlign w:val="center"/>
            <w:hideMark/>
          </w:tcPr>
          <w:p w14:paraId="2938E43F"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4 1/4</w:t>
            </w:r>
          </w:p>
        </w:tc>
        <w:tc>
          <w:tcPr>
            <w:tcW w:w="503" w:type="pct"/>
            <w:tcBorders>
              <w:top w:val="nil"/>
              <w:left w:val="nil"/>
              <w:bottom w:val="nil"/>
              <w:right w:val="nil"/>
            </w:tcBorders>
            <w:shd w:val="clear" w:color="000000" w:fill="E6F2FF"/>
            <w:noWrap/>
            <w:vAlign w:val="center"/>
            <w:hideMark/>
          </w:tcPr>
          <w:p w14:paraId="0699070D"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4 1/2</w:t>
            </w:r>
          </w:p>
        </w:tc>
        <w:tc>
          <w:tcPr>
            <w:tcW w:w="505" w:type="pct"/>
            <w:tcBorders>
              <w:top w:val="nil"/>
              <w:left w:val="nil"/>
              <w:bottom w:val="nil"/>
              <w:right w:val="nil"/>
            </w:tcBorders>
            <w:shd w:val="clear" w:color="000000" w:fill="E6F2FF"/>
            <w:noWrap/>
            <w:vAlign w:val="center"/>
            <w:hideMark/>
          </w:tcPr>
          <w:p w14:paraId="37B0401C"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5 1/4</w:t>
            </w:r>
          </w:p>
        </w:tc>
      </w:tr>
      <w:tr w:rsidR="00CC388C" w:rsidRPr="00BD68BD" w14:paraId="16CD11FB" w14:textId="77777777" w:rsidTr="00BF0109">
        <w:trPr>
          <w:trHeight w:hRule="exact" w:val="230"/>
        </w:trPr>
        <w:tc>
          <w:tcPr>
            <w:tcW w:w="1773" w:type="pct"/>
            <w:tcBorders>
              <w:top w:val="nil"/>
              <w:left w:val="nil"/>
              <w:bottom w:val="nil"/>
              <w:right w:val="nil"/>
            </w:tcBorders>
            <w:shd w:val="clear" w:color="000000" w:fill="FFFFFF"/>
            <w:noWrap/>
            <w:vAlign w:val="center"/>
            <w:hideMark/>
          </w:tcPr>
          <w:p w14:paraId="10472529" w14:textId="1218C4F7" w:rsidR="00CC388C" w:rsidRPr="00673C1F" w:rsidRDefault="00CC388C" w:rsidP="00BF0109">
            <w:pPr>
              <w:spacing w:before="0" w:after="0" w:line="240" w:lineRule="auto"/>
              <w:ind w:left="340"/>
              <w:rPr>
                <w:rFonts w:ascii="Arial" w:hAnsi="Arial" w:cs="Arial"/>
                <w:sz w:val="16"/>
                <w:szCs w:val="16"/>
              </w:rPr>
            </w:pPr>
            <w:r w:rsidRPr="00673C1F">
              <w:rPr>
                <w:rFonts w:ascii="Arial" w:hAnsi="Arial" w:cs="Arial"/>
                <w:sz w:val="16"/>
                <w:szCs w:val="16"/>
              </w:rPr>
              <w:t>Change since 2023</w:t>
            </w:r>
            <w:r w:rsidR="006D727E" w:rsidRPr="00673C1F">
              <w:rPr>
                <w:rFonts w:ascii="Arial" w:hAnsi="Arial" w:cs="Arial"/>
                <w:sz w:val="16"/>
                <w:szCs w:val="16"/>
              </w:rPr>
              <w:noBreakHyphen/>
            </w:r>
            <w:r w:rsidRPr="00673C1F">
              <w:rPr>
                <w:rFonts w:ascii="Arial" w:hAnsi="Arial" w:cs="Arial"/>
                <w:sz w:val="16"/>
                <w:szCs w:val="16"/>
              </w:rPr>
              <w:t>24 MYEFO</w:t>
            </w:r>
          </w:p>
        </w:tc>
        <w:tc>
          <w:tcPr>
            <w:tcW w:w="558" w:type="pct"/>
            <w:tcBorders>
              <w:top w:val="nil"/>
              <w:left w:val="nil"/>
              <w:bottom w:val="nil"/>
              <w:right w:val="nil"/>
            </w:tcBorders>
            <w:shd w:val="clear" w:color="000000" w:fill="FFFFFF"/>
            <w:noWrap/>
            <w:vAlign w:val="center"/>
            <w:hideMark/>
          </w:tcPr>
          <w:p w14:paraId="146961F3"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c>
          <w:tcPr>
            <w:tcW w:w="154" w:type="pct"/>
            <w:tcBorders>
              <w:top w:val="nil"/>
              <w:left w:val="nil"/>
              <w:bottom w:val="nil"/>
              <w:right w:val="nil"/>
            </w:tcBorders>
            <w:shd w:val="clear" w:color="000000" w:fill="FFFFFF"/>
            <w:noWrap/>
            <w:vAlign w:val="center"/>
            <w:hideMark/>
          </w:tcPr>
          <w:p w14:paraId="29DF68C4"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c>
          <w:tcPr>
            <w:tcW w:w="502" w:type="pct"/>
            <w:tcBorders>
              <w:top w:val="nil"/>
              <w:left w:val="nil"/>
              <w:bottom w:val="nil"/>
              <w:right w:val="nil"/>
            </w:tcBorders>
            <w:shd w:val="clear" w:color="000000" w:fill="E6F2FF"/>
            <w:noWrap/>
            <w:vAlign w:val="center"/>
            <w:hideMark/>
          </w:tcPr>
          <w:p w14:paraId="7AC2F799" w14:textId="23446D76" w:rsidR="00CC388C" w:rsidRPr="00673C1F" w:rsidRDefault="00EA00F7" w:rsidP="00CC388C">
            <w:pPr>
              <w:spacing w:before="0" w:after="0" w:line="240" w:lineRule="auto"/>
              <w:jc w:val="right"/>
              <w:rPr>
                <w:rFonts w:ascii="Arial" w:hAnsi="Arial" w:cs="Arial"/>
                <w:i/>
                <w:sz w:val="16"/>
                <w:szCs w:val="16"/>
              </w:rPr>
            </w:pPr>
            <w:r w:rsidRPr="00673C1F">
              <w:rPr>
                <w:rFonts w:ascii="Arial" w:hAnsi="Arial" w:cs="Arial"/>
                <w:i/>
                <w:sz w:val="16"/>
                <w:szCs w:val="16"/>
              </w:rPr>
              <w:t>1/2</w:t>
            </w:r>
          </w:p>
        </w:tc>
        <w:tc>
          <w:tcPr>
            <w:tcW w:w="503" w:type="pct"/>
            <w:tcBorders>
              <w:top w:val="nil"/>
              <w:left w:val="nil"/>
              <w:bottom w:val="nil"/>
              <w:right w:val="nil"/>
            </w:tcBorders>
            <w:shd w:val="clear" w:color="000000" w:fill="E6F2FF"/>
            <w:noWrap/>
            <w:vAlign w:val="center"/>
            <w:hideMark/>
          </w:tcPr>
          <w:p w14:paraId="24A1A4F7" w14:textId="03EFE1F5" w:rsidR="00CC388C" w:rsidRPr="00673C1F" w:rsidRDefault="00EA00F7" w:rsidP="00CC388C">
            <w:pPr>
              <w:spacing w:before="0" w:after="0" w:line="240" w:lineRule="auto"/>
              <w:jc w:val="right"/>
              <w:rPr>
                <w:rFonts w:ascii="Arial" w:hAnsi="Arial" w:cs="Arial"/>
                <w:i/>
                <w:sz w:val="16"/>
                <w:szCs w:val="16"/>
              </w:rPr>
            </w:pPr>
            <w:r w:rsidRPr="00673C1F">
              <w:rPr>
                <w:rFonts w:ascii="Arial" w:hAnsi="Arial" w:cs="Arial"/>
                <w:i/>
                <w:sz w:val="16"/>
                <w:szCs w:val="16"/>
              </w:rPr>
              <w:t>1/2</w:t>
            </w:r>
          </w:p>
        </w:tc>
        <w:tc>
          <w:tcPr>
            <w:tcW w:w="503" w:type="pct"/>
            <w:tcBorders>
              <w:top w:val="nil"/>
              <w:left w:val="nil"/>
              <w:bottom w:val="nil"/>
              <w:right w:val="nil"/>
            </w:tcBorders>
            <w:shd w:val="clear" w:color="000000" w:fill="E6F2FF"/>
            <w:noWrap/>
            <w:vAlign w:val="center"/>
            <w:hideMark/>
          </w:tcPr>
          <w:p w14:paraId="68425F49" w14:textId="199C0919" w:rsidR="00CC388C" w:rsidRPr="00673C1F" w:rsidRDefault="006D727E" w:rsidP="00CC388C">
            <w:pPr>
              <w:spacing w:before="0" w:after="0" w:line="240" w:lineRule="auto"/>
              <w:jc w:val="right"/>
              <w:rPr>
                <w:rFonts w:ascii="Arial" w:hAnsi="Arial" w:cs="Arial"/>
                <w:i/>
                <w:sz w:val="16"/>
                <w:szCs w:val="16"/>
              </w:rPr>
            </w:pPr>
            <w:r w:rsidRPr="00673C1F">
              <w:rPr>
                <w:rFonts w:ascii="Arial" w:hAnsi="Arial" w:cs="Arial"/>
                <w:i/>
                <w:sz w:val="16"/>
                <w:szCs w:val="16"/>
              </w:rPr>
              <w:noBreakHyphen/>
            </w:r>
            <w:r w:rsidR="00CC388C" w:rsidRPr="00673C1F">
              <w:rPr>
                <w:rFonts w:ascii="Arial" w:hAnsi="Arial" w:cs="Arial"/>
                <w:i/>
                <w:sz w:val="16"/>
                <w:szCs w:val="16"/>
              </w:rPr>
              <w:t xml:space="preserve"> 1/4</w:t>
            </w:r>
          </w:p>
        </w:tc>
        <w:tc>
          <w:tcPr>
            <w:tcW w:w="503" w:type="pct"/>
            <w:tcBorders>
              <w:top w:val="nil"/>
              <w:left w:val="nil"/>
              <w:bottom w:val="nil"/>
              <w:right w:val="nil"/>
            </w:tcBorders>
            <w:shd w:val="clear" w:color="000000" w:fill="E6F2FF"/>
            <w:noWrap/>
            <w:vAlign w:val="center"/>
            <w:hideMark/>
          </w:tcPr>
          <w:p w14:paraId="554E5F44" w14:textId="68466290" w:rsidR="00CC388C" w:rsidRPr="00673C1F" w:rsidRDefault="006D727E" w:rsidP="00CC388C">
            <w:pPr>
              <w:spacing w:before="0" w:after="0" w:line="240" w:lineRule="auto"/>
              <w:jc w:val="right"/>
              <w:rPr>
                <w:rFonts w:ascii="Arial" w:hAnsi="Arial" w:cs="Arial"/>
                <w:i/>
                <w:sz w:val="16"/>
                <w:szCs w:val="16"/>
              </w:rPr>
            </w:pPr>
            <w:r w:rsidRPr="00673C1F">
              <w:rPr>
                <w:rFonts w:ascii="Arial" w:hAnsi="Arial" w:cs="Arial"/>
                <w:i/>
                <w:sz w:val="16"/>
                <w:szCs w:val="16"/>
              </w:rPr>
              <w:noBreakHyphen/>
            </w:r>
            <w:r w:rsidR="00CC388C" w:rsidRPr="00673C1F">
              <w:rPr>
                <w:rFonts w:ascii="Arial" w:hAnsi="Arial" w:cs="Arial"/>
                <w:i/>
                <w:sz w:val="16"/>
                <w:szCs w:val="16"/>
              </w:rPr>
              <w:t xml:space="preserve"> 3/4</w:t>
            </w:r>
          </w:p>
        </w:tc>
        <w:tc>
          <w:tcPr>
            <w:tcW w:w="505" w:type="pct"/>
            <w:tcBorders>
              <w:top w:val="nil"/>
              <w:left w:val="nil"/>
              <w:bottom w:val="nil"/>
              <w:right w:val="nil"/>
            </w:tcBorders>
            <w:shd w:val="clear" w:color="000000" w:fill="E6F2FF"/>
            <w:noWrap/>
            <w:vAlign w:val="center"/>
            <w:hideMark/>
          </w:tcPr>
          <w:p w14:paraId="3AA9952F" w14:textId="77777777" w:rsidR="00CC388C" w:rsidRPr="00673C1F" w:rsidRDefault="00CC388C" w:rsidP="00CC388C">
            <w:pPr>
              <w:spacing w:before="0" w:after="0" w:line="240" w:lineRule="auto"/>
              <w:jc w:val="right"/>
              <w:rPr>
                <w:rFonts w:ascii="Arial" w:hAnsi="Arial" w:cs="Arial"/>
                <w:i/>
                <w:sz w:val="16"/>
                <w:szCs w:val="16"/>
              </w:rPr>
            </w:pPr>
            <w:r w:rsidRPr="00673C1F">
              <w:rPr>
                <w:rFonts w:ascii="Arial" w:hAnsi="Arial" w:cs="Arial"/>
                <w:i/>
                <w:sz w:val="16"/>
                <w:szCs w:val="16"/>
              </w:rPr>
              <w:t> </w:t>
            </w:r>
          </w:p>
        </w:tc>
      </w:tr>
      <w:tr w:rsidR="00CC388C" w:rsidRPr="00BD68BD" w14:paraId="2DA4CF99" w14:textId="77777777" w:rsidTr="00BF0109">
        <w:trPr>
          <w:trHeight w:hRule="exact" w:val="70"/>
        </w:trPr>
        <w:tc>
          <w:tcPr>
            <w:tcW w:w="1773" w:type="pct"/>
            <w:tcBorders>
              <w:top w:val="nil"/>
              <w:left w:val="nil"/>
              <w:bottom w:val="nil"/>
              <w:right w:val="nil"/>
            </w:tcBorders>
            <w:shd w:val="clear" w:color="000000" w:fill="FFFFFF"/>
            <w:noWrap/>
            <w:vAlign w:val="center"/>
            <w:hideMark/>
          </w:tcPr>
          <w:p w14:paraId="54377EDB" w14:textId="77777777" w:rsidR="00CC388C" w:rsidRPr="00673C1F" w:rsidRDefault="00CC388C" w:rsidP="00BF0109">
            <w:pPr>
              <w:spacing w:before="0" w:after="0" w:line="240" w:lineRule="auto"/>
              <w:ind w:left="170"/>
              <w:rPr>
                <w:rFonts w:ascii="Arial" w:hAnsi="Arial" w:cs="Arial"/>
                <w:sz w:val="16"/>
                <w:szCs w:val="16"/>
              </w:rPr>
            </w:pPr>
            <w:r w:rsidRPr="00673C1F">
              <w:rPr>
                <w:rFonts w:ascii="Arial" w:hAnsi="Arial" w:cs="Arial"/>
                <w:sz w:val="16"/>
                <w:szCs w:val="16"/>
              </w:rPr>
              <w:t> </w:t>
            </w:r>
          </w:p>
        </w:tc>
        <w:tc>
          <w:tcPr>
            <w:tcW w:w="558" w:type="pct"/>
            <w:tcBorders>
              <w:top w:val="nil"/>
              <w:left w:val="nil"/>
              <w:bottom w:val="nil"/>
              <w:right w:val="nil"/>
            </w:tcBorders>
            <w:shd w:val="clear" w:color="000000" w:fill="FFFFFF"/>
            <w:noWrap/>
            <w:vAlign w:val="center"/>
            <w:hideMark/>
          </w:tcPr>
          <w:p w14:paraId="700A8BFF"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c>
          <w:tcPr>
            <w:tcW w:w="154" w:type="pct"/>
            <w:tcBorders>
              <w:top w:val="nil"/>
              <w:left w:val="nil"/>
              <w:bottom w:val="nil"/>
              <w:right w:val="nil"/>
            </w:tcBorders>
            <w:shd w:val="clear" w:color="000000" w:fill="FFFFFF"/>
            <w:noWrap/>
            <w:vAlign w:val="center"/>
            <w:hideMark/>
          </w:tcPr>
          <w:p w14:paraId="5FA999D0"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c>
          <w:tcPr>
            <w:tcW w:w="502" w:type="pct"/>
            <w:tcBorders>
              <w:top w:val="nil"/>
              <w:left w:val="nil"/>
              <w:bottom w:val="nil"/>
              <w:right w:val="nil"/>
            </w:tcBorders>
            <w:shd w:val="clear" w:color="000000" w:fill="E6F2FF"/>
            <w:noWrap/>
            <w:vAlign w:val="center"/>
            <w:hideMark/>
          </w:tcPr>
          <w:p w14:paraId="087EBB39"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c>
          <w:tcPr>
            <w:tcW w:w="503" w:type="pct"/>
            <w:tcBorders>
              <w:top w:val="nil"/>
              <w:left w:val="nil"/>
              <w:bottom w:val="nil"/>
              <w:right w:val="nil"/>
            </w:tcBorders>
            <w:shd w:val="clear" w:color="000000" w:fill="E6F2FF"/>
            <w:noWrap/>
            <w:vAlign w:val="center"/>
            <w:hideMark/>
          </w:tcPr>
          <w:p w14:paraId="00E13A73"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c>
          <w:tcPr>
            <w:tcW w:w="503" w:type="pct"/>
            <w:tcBorders>
              <w:top w:val="nil"/>
              <w:left w:val="nil"/>
              <w:bottom w:val="nil"/>
              <w:right w:val="nil"/>
            </w:tcBorders>
            <w:shd w:val="clear" w:color="000000" w:fill="E6F2FF"/>
            <w:noWrap/>
            <w:vAlign w:val="center"/>
            <w:hideMark/>
          </w:tcPr>
          <w:p w14:paraId="5B8BFEDB"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c>
          <w:tcPr>
            <w:tcW w:w="503" w:type="pct"/>
            <w:tcBorders>
              <w:top w:val="nil"/>
              <w:left w:val="nil"/>
              <w:bottom w:val="nil"/>
              <w:right w:val="nil"/>
            </w:tcBorders>
            <w:shd w:val="clear" w:color="000000" w:fill="E6F2FF"/>
            <w:noWrap/>
            <w:vAlign w:val="center"/>
            <w:hideMark/>
          </w:tcPr>
          <w:p w14:paraId="24BCF06D"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c>
          <w:tcPr>
            <w:tcW w:w="505" w:type="pct"/>
            <w:tcBorders>
              <w:top w:val="nil"/>
              <w:left w:val="nil"/>
              <w:bottom w:val="nil"/>
              <w:right w:val="nil"/>
            </w:tcBorders>
            <w:shd w:val="clear" w:color="000000" w:fill="E6F2FF"/>
            <w:noWrap/>
            <w:vAlign w:val="center"/>
            <w:hideMark/>
          </w:tcPr>
          <w:p w14:paraId="7F6054DE"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r>
      <w:tr w:rsidR="00CC388C" w:rsidRPr="00BD68BD" w14:paraId="27B252DF" w14:textId="77777777" w:rsidTr="00BF0109">
        <w:trPr>
          <w:trHeight w:hRule="exact" w:val="235"/>
        </w:trPr>
        <w:tc>
          <w:tcPr>
            <w:tcW w:w="1773" w:type="pct"/>
            <w:tcBorders>
              <w:top w:val="nil"/>
              <w:left w:val="nil"/>
              <w:bottom w:val="nil"/>
              <w:right w:val="nil"/>
            </w:tcBorders>
            <w:shd w:val="clear" w:color="000000" w:fill="FFFFFF"/>
            <w:noWrap/>
            <w:vAlign w:val="center"/>
            <w:hideMark/>
          </w:tcPr>
          <w:p w14:paraId="26BCD94E" w14:textId="77777777" w:rsidR="00CC388C" w:rsidRPr="00673C1F" w:rsidRDefault="00CC388C" w:rsidP="00BF0109">
            <w:pPr>
              <w:spacing w:before="0" w:after="0" w:line="240" w:lineRule="auto"/>
              <w:ind w:left="170"/>
              <w:rPr>
                <w:rFonts w:ascii="Arial" w:hAnsi="Arial" w:cs="Arial"/>
                <w:sz w:val="16"/>
                <w:szCs w:val="16"/>
              </w:rPr>
            </w:pPr>
            <w:r w:rsidRPr="00673C1F">
              <w:rPr>
                <w:rFonts w:ascii="Arial" w:hAnsi="Arial" w:cs="Arial"/>
                <w:sz w:val="16"/>
                <w:szCs w:val="16"/>
              </w:rPr>
              <w:t>Corporate gross operating surplus</w:t>
            </w:r>
            <w:r w:rsidRPr="00673C1F">
              <w:rPr>
                <w:rFonts w:ascii="Arial" w:hAnsi="Arial" w:cs="Arial"/>
                <w:sz w:val="16"/>
                <w:szCs w:val="16"/>
                <w:vertAlign w:val="superscript"/>
              </w:rPr>
              <w:t xml:space="preserve">(c) </w:t>
            </w:r>
          </w:p>
        </w:tc>
        <w:tc>
          <w:tcPr>
            <w:tcW w:w="558" w:type="pct"/>
            <w:tcBorders>
              <w:top w:val="nil"/>
              <w:left w:val="nil"/>
              <w:bottom w:val="nil"/>
              <w:right w:val="nil"/>
            </w:tcBorders>
            <w:shd w:val="clear" w:color="000000" w:fill="FFFFFF"/>
            <w:noWrap/>
            <w:vAlign w:val="center"/>
            <w:hideMark/>
          </w:tcPr>
          <w:p w14:paraId="35E94C12"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11.1</w:t>
            </w:r>
          </w:p>
        </w:tc>
        <w:tc>
          <w:tcPr>
            <w:tcW w:w="154" w:type="pct"/>
            <w:tcBorders>
              <w:top w:val="nil"/>
              <w:left w:val="nil"/>
              <w:bottom w:val="nil"/>
              <w:right w:val="nil"/>
            </w:tcBorders>
            <w:shd w:val="clear" w:color="000000" w:fill="FFFFFF"/>
            <w:noWrap/>
            <w:vAlign w:val="center"/>
            <w:hideMark/>
          </w:tcPr>
          <w:p w14:paraId="521813FF"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c>
          <w:tcPr>
            <w:tcW w:w="502" w:type="pct"/>
            <w:tcBorders>
              <w:top w:val="nil"/>
              <w:left w:val="nil"/>
              <w:bottom w:val="nil"/>
              <w:right w:val="nil"/>
            </w:tcBorders>
            <w:shd w:val="clear" w:color="000000" w:fill="E6F2FF"/>
            <w:noWrap/>
            <w:vAlign w:val="center"/>
            <w:hideMark/>
          </w:tcPr>
          <w:p w14:paraId="00C40617" w14:textId="0C50CF1C" w:rsidR="00CC388C" w:rsidRPr="00673C1F" w:rsidRDefault="006D727E" w:rsidP="00CC388C">
            <w:pPr>
              <w:spacing w:before="0" w:after="0" w:line="240" w:lineRule="auto"/>
              <w:jc w:val="right"/>
              <w:rPr>
                <w:rFonts w:ascii="Arial" w:hAnsi="Arial" w:cs="Arial"/>
                <w:sz w:val="16"/>
                <w:szCs w:val="16"/>
              </w:rPr>
            </w:pPr>
            <w:r w:rsidRPr="00673C1F">
              <w:rPr>
                <w:rFonts w:ascii="Arial" w:hAnsi="Arial" w:cs="Arial"/>
                <w:sz w:val="16"/>
                <w:szCs w:val="16"/>
              </w:rPr>
              <w:noBreakHyphen/>
            </w:r>
            <w:r w:rsidR="00CC388C" w:rsidRPr="00673C1F">
              <w:rPr>
                <w:rFonts w:ascii="Arial" w:hAnsi="Arial" w:cs="Arial"/>
                <w:sz w:val="16"/>
                <w:szCs w:val="16"/>
              </w:rPr>
              <w:t xml:space="preserve">1    </w:t>
            </w:r>
          </w:p>
        </w:tc>
        <w:tc>
          <w:tcPr>
            <w:tcW w:w="503" w:type="pct"/>
            <w:tcBorders>
              <w:top w:val="nil"/>
              <w:left w:val="nil"/>
              <w:bottom w:val="nil"/>
              <w:right w:val="nil"/>
            </w:tcBorders>
            <w:shd w:val="clear" w:color="000000" w:fill="E6F2FF"/>
            <w:noWrap/>
            <w:vAlign w:val="center"/>
            <w:hideMark/>
          </w:tcPr>
          <w:p w14:paraId="7B2A5BC5" w14:textId="3AC844BB" w:rsidR="00CC388C" w:rsidRPr="00673C1F" w:rsidRDefault="006D727E" w:rsidP="00CC388C">
            <w:pPr>
              <w:spacing w:before="0" w:after="0" w:line="240" w:lineRule="auto"/>
              <w:jc w:val="right"/>
              <w:rPr>
                <w:rFonts w:ascii="Arial" w:hAnsi="Arial" w:cs="Arial"/>
                <w:sz w:val="16"/>
                <w:szCs w:val="16"/>
              </w:rPr>
            </w:pPr>
            <w:r w:rsidRPr="00673C1F">
              <w:rPr>
                <w:rFonts w:ascii="Arial" w:hAnsi="Arial" w:cs="Arial"/>
                <w:sz w:val="16"/>
                <w:szCs w:val="16"/>
              </w:rPr>
              <w:noBreakHyphen/>
            </w:r>
            <w:r w:rsidR="00CC388C" w:rsidRPr="00673C1F">
              <w:rPr>
                <w:rFonts w:ascii="Arial" w:hAnsi="Arial" w:cs="Arial"/>
                <w:sz w:val="16"/>
                <w:szCs w:val="16"/>
              </w:rPr>
              <w:t>4 3/4</w:t>
            </w:r>
          </w:p>
        </w:tc>
        <w:tc>
          <w:tcPr>
            <w:tcW w:w="503" w:type="pct"/>
            <w:tcBorders>
              <w:top w:val="nil"/>
              <w:left w:val="nil"/>
              <w:bottom w:val="nil"/>
              <w:right w:val="nil"/>
            </w:tcBorders>
            <w:shd w:val="clear" w:color="000000" w:fill="E6F2FF"/>
            <w:noWrap/>
            <w:vAlign w:val="center"/>
            <w:hideMark/>
          </w:tcPr>
          <w:p w14:paraId="230F9658" w14:textId="6276FD84" w:rsidR="00CC388C" w:rsidRPr="00673C1F" w:rsidRDefault="00EA00F7" w:rsidP="00CC388C">
            <w:pPr>
              <w:spacing w:before="0" w:after="0" w:line="240" w:lineRule="auto"/>
              <w:jc w:val="right"/>
              <w:rPr>
                <w:rFonts w:ascii="Arial" w:hAnsi="Arial" w:cs="Arial"/>
                <w:sz w:val="16"/>
                <w:szCs w:val="16"/>
              </w:rPr>
            </w:pPr>
            <w:r w:rsidRPr="00673C1F">
              <w:rPr>
                <w:rFonts w:ascii="Arial" w:hAnsi="Arial" w:cs="Arial"/>
                <w:sz w:val="16"/>
                <w:szCs w:val="16"/>
              </w:rPr>
              <w:t>1/4</w:t>
            </w:r>
          </w:p>
        </w:tc>
        <w:tc>
          <w:tcPr>
            <w:tcW w:w="503" w:type="pct"/>
            <w:tcBorders>
              <w:top w:val="nil"/>
              <w:left w:val="nil"/>
              <w:bottom w:val="nil"/>
              <w:right w:val="nil"/>
            </w:tcBorders>
            <w:shd w:val="clear" w:color="000000" w:fill="E6F2FF"/>
            <w:noWrap/>
            <w:vAlign w:val="center"/>
            <w:hideMark/>
          </w:tcPr>
          <w:p w14:paraId="28078410"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xml:space="preserve">6    </w:t>
            </w:r>
          </w:p>
        </w:tc>
        <w:tc>
          <w:tcPr>
            <w:tcW w:w="505" w:type="pct"/>
            <w:tcBorders>
              <w:top w:val="nil"/>
              <w:left w:val="nil"/>
              <w:bottom w:val="nil"/>
              <w:right w:val="nil"/>
            </w:tcBorders>
            <w:shd w:val="clear" w:color="000000" w:fill="E6F2FF"/>
            <w:noWrap/>
            <w:vAlign w:val="center"/>
            <w:hideMark/>
          </w:tcPr>
          <w:p w14:paraId="43622856"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5 1/2</w:t>
            </w:r>
          </w:p>
        </w:tc>
      </w:tr>
      <w:tr w:rsidR="00CC388C" w:rsidRPr="00BD68BD" w14:paraId="1EE81F6F" w14:textId="77777777" w:rsidTr="00BF0109">
        <w:trPr>
          <w:trHeight w:hRule="exact" w:val="225"/>
        </w:trPr>
        <w:tc>
          <w:tcPr>
            <w:tcW w:w="1773" w:type="pct"/>
            <w:tcBorders>
              <w:top w:val="nil"/>
              <w:left w:val="nil"/>
              <w:bottom w:val="nil"/>
              <w:right w:val="nil"/>
            </w:tcBorders>
            <w:shd w:val="clear" w:color="000000" w:fill="FFFFFF"/>
            <w:noWrap/>
            <w:vAlign w:val="center"/>
            <w:hideMark/>
          </w:tcPr>
          <w:p w14:paraId="7F21F080" w14:textId="47D9A13D" w:rsidR="00CC388C" w:rsidRPr="00673C1F" w:rsidRDefault="00CC388C" w:rsidP="00BF0109">
            <w:pPr>
              <w:spacing w:before="0" w:after="0" w:line="240" w:lineRule="auto"/>
              <w:ind w:left="340"/>
              <w:rPr>
                <w:rFonts w:ascii="Arial" w:hAnsi="Arial" w:cs="Arial"/>
                <w:sz w:val="16"/>
                <w:szCs w:val="16"/>
              </w:rPr>
            </w:pPr>
            <w:r w:rsidRPr="00673C1F">
              <w:rPr>
                <w:rFonts w:ascii="Arial" w:hAnsi="Arial" w:cs="Arial"/>
                <w:sz w:val="16"/>
                <w:szCs w:val="16"/>
              </w:rPr>
              <w:t>Change since 2023</w:t>
            </w:r>
            <w:r w:rsidR="006D727E" w:rsidRPr="00673C1F">
              <w:rPr>
                <w:rFonts w:ascii="Arial" w:hAnsi="Arial" w:cs="Arial"/>
                <w:sz w:val="16"/>
                <w:szCs w:val="16"/>
              </w:rPr>
              <w:noBreakHyphen/>
            </w:r>
            <w:r w:rsidRPr="00673C1F">
              <w:rPr>
                <w:rFonts w:ascii="Arial" w:hAnsi="Arial" w:cs="Arial"/>
                <w:sz w:val="16"/>
                <w:szCs w:val="16"/>
              </w:rPr>
              <w:t>24 MYEFO</w:t>
            </w:r>
          </w:p>
        </w:tc>
        <w:tc>
          <w:tcPr>
            <w:tcW w:w="558" w:type="pct"/>
            <w:tcBorders>
              <w:top w:val="nil"/>
              <w:left w:val="nil"/>
              <w:bottom w:val="nil"/>
              <w:right w:val="nil"/>
            </w:tcBorders>
            <w:shd w:val="clear" w:color="000000" w:fill="FFFFFF"/>
            <w:noWrap/>
            <w:vAlign w:val="center"/>
            <w:hideMark/>
          </w:tcPr>
          <w:p w14:paraId="5414673E"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c>
          <w:tcPr>
            <w:tcW w:w="154" w:type="pct"/>
            <w:tcBorders>
              <w:top w:val="nil"/>
              <w:left w:val="nil"/>
              <w:bottom w:val="nil"/>
              <w:right w:val="nil"/>
            </w:tcBorders>
            <w:shd w:val="clear" w:color="000000" w:fill="FFFFFF"/>
            <w:noWrap/>
            <w:vAlign w:val="center"/>
            <w:hideMark/>
          </w:tcPr>
          <w:p w14:paraId="2DC9A265"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c>
          <w:tcPr>
            <w:tcW w:w="502" w:type="pct"/>
            <w:tcBorders>
              <w:top w:val="nil"/>
              <w:left w:val="nil"/>
              <w:bottom w:val="nil"/>
              <w:right w:val="nil"/>
            </w:tcBorders>
            <w:shd w:val="clear" w:color="000000" w:fill="E6F2FF"/>
            <w:noWrap/>
            <w:vAlign w:val="center"/>
            <w:hideMark/>
          </w:tcPr>
          <w:p w14:paraId="2B67D39C" w14:textId="77777777" w:rsidR="00CC388C" w:rsidRPr="00673C1F" w:rsidRDefault="00CC388C" w:rsidP="00CC388C">
            <w:pPr>
              <w:spacing w:before="0" w:after="0" w:line="240" w:lineRule="auto"/>
              <w:jc w:val="right"/>
              <w:rPr>
                <w:rFonts w:ascii="Arial" w:hAnsi="Arial" w:cs="Arial"/>
                <w:i/>
                <w:sz w:val="16"/>
                <w:szCs w:val="16"/>
              </w:rPr>
            </w:pPr>
            <w:r w:rsidRPr="00673C1F">
              <w:rPr>
                <w:rFonts w:ascii="Arial" w:hAnsi="Arial" w:cs="Arial"/>
                <w:i/>
                <w:sz w:val="16"/>
                <w:szCs w:val="16"/>
              </w:rPr>
              <w:t>2 1/4</w:t>
            </w:r>
          </w:p>
        </w:tc>
        <w:tc>
          <w:tcPr>
            <w:tcW w:w="503" w:type="pct"/>
            <w:tcBorders>
              <w:top w:val="nil"/>
              <w:left w:val="nil"/>
              <w:bottom w:val="nil"/>
              <w:right w:val="nil"/>
            </w:tcBorders>
            <w:shd w:val="clear" w:color="000000" w:fill="E6F2FF"/>
            <w:noWrap/>
            <w:vAlign w:val="center"/>
            <w:hideMark/>
          </w:tcPr>
          <w:p w14:paraId="492DD61F" w14:textId="3BF89EB3" w:rsidR="00CC388C" w:rsidRPr="00673C1F" w:rsidRDefault="00EA00F7" w:rsidP="00CC388C">
            <w:pPr>
              <w:spacing w:before="0" w:after="0" w:line="240" w:lineRule="auto"/>
              <w:jc w:val="right"/>
              <w:rPr>
                <w:rFonts w:ascii="Arial" w:hAnsi="Arial" w:cs="Arial"/>
                <w:i/>
                <w:sz w:val="16"/>
                <w:szCs w:val="16"/>
              </w:rPr>
            </w:pPr>
            <w:r w:rsidRPr="00673C1F">
              <w:rPr>
                <w:rFonts w:ascii="Arial" w:hAnsi="Arial" w:cs="Arial"/>
                <w:i/>
                <w:sz w:val="16"/>
                <w:szCs w:val="16"/>
              </w:rPr>
              <w:t>3/4</w:t>
            </w:r>
          </w:p>
        </w:tc>
        <w:tc>
          <w:tcPr>
            <w:tcW w:w="503" w:type="pct"/>
            <w:tcBorders>
              <w:top w:val="nil"/>
              <w:left w:val="nil"/>
              <w:bottom w:val="nil"/>
              <w:right w:val="nil"/>
            </w:tcBorders>
            <w:shd w:val="clear" w:color="000000" w:fill="E6F2FF"/>
            <w:noWrap/>
            <w:vAlign w:val="center"/>
            <w:hideMark/>
          </w:tcPr>
          <w:p w14:paraId="7E7C43EA" w14:textId="6B99F3BD" w:rsidR="00CC388C" w:rsidRPr="00673C1F" w:rsidRDefault="006D727E" w:rsidP="00CC388C">
            <w:pPr>
              <w:spacing w:before="0" w:after="0" w:line="240" w:lineRule="auto"/>
              <w:jc w:val="right"/>
              <w:rPr>
                <w:rFonts w:ascii="Arial" w:hAnsi="Arial" w:cs="Arial"/>
                <w:i/>
                <w:sz w:val="16"/>
                <w:szCs w:val="16"/>
              </w:rPr>
            </w:pPr>
            <w:r w:rsidRPr="00673C1F">
              <w:rPr>
                <w:rFonts w:ascii="Arial" w:hAnsi="Arial" w:cs="Arial"/>
                <w:i/>
                <w:sz w:val="16"/>
                <w:szCs w:val="16"/>
              </w:rPr>
              <w:noBreakHyphen/>
            </w:r>
            <w:r w:rsidR="00CC388C" w:rsidRPr="00673C1F">
              <w:rPr>
                <w:rFonts w:ascii="Arial" w:hAnsi="Arial" w:cs="Arial"/>
                <w:i/>
                <w:sz w:val="16"/>
                <w:szCs w:val="16"/>
              </w:rPr>
              <w:t>2 3/4</w:t>
            </w:r>
          </w:p>
        </w:tc>
        <w:tc>
          <w:tcPr>
            <w:tcW w:w="503" w:type="pct"/>
            <w:tcBorders>
              <w:top w:val="nil"/>
              <w:left w:val="nil"/>
              <w:bottom w:val="nil"/>
              <w:right w:val="nil"/>
            </w:tcBorders>
            <w:shd w:val="clear" w:color="000000" w:fill="E6F2FF"/>
            <w:noWrap/>
            <w:vAlign w:val="center"/>
            <w:hideMark/>
          </w:tcPr>
          <w:p w14:paraId="0046745A" w14:textId="77777777" w:rsidR="00CC388C" w:rsidRPr="00673C1F" w:rsidRDefault="00CC388C" w:rsidP="00CC388C">
            <w:pPr>
              <w:spacing w:before="0" w:after="0" w:line="240" w:lineRule="auto"/>
              <w:jc w:val="right"/>
              <w:rPr>
                <w:rFonts w:ascii="Arial" w:hAnsi="Arial" w:cs="Arial"/>
                <w:i/>
                <w:sz w:val="16"/>
                <w:szCs w:val="16"/>
              </w:rPr>
            </w:pPr>
            <w:r w:rsidRPr="00673C1F">
              <w:rPr>
                <w:rFonts w:ascii="Arial" w:hAnsi="Arial" w:cs="Arial"/>
                <w:i/>
                <w:sz w:val="16"/>
                <w:szCs w:val="16"/>
              </w:rPr>
              <w:t xml:space="preserve">2    </w:t>
            </w:r>
          </w:p>
        </w:tc>
        <w:tc>
          <w:tcPr>
            <w:tcW w:w="505" w:type="pct"/>
            <w:tcBorders>
              <w:top w:val="nil"/>
              <w:left w:val="nil"/>
              <w:bottom w:val="nil"/>
              <w:right w:val="nil"/>
            </w:tcBorders>
            <w:shd w:val="clear" w:color="000000" w:fill="E6F2FF"/>
            <w:noWrap/>
            <w:vAlign w:val="center"/>
            <w:hideMark/>
          </w:tcPr>
          <w:p w14:paraId="29EA5C6A" w14:textId="77777777" w:rsidR="00CC388C" w:rsidRPr="00673C1F" w:rsidRDefault="00CC388C" w:rsidP="00CC388C">
            <w:pPr>
              <w:spacing w:before="0" w:after="0" w:line="240" w:lineRule="auto"/>
              <w:jc w:val="right"/>
              <w:rPr>
                <w:rFonts w:ascii="Arial" w:hAnsi="Arial" w:cs="Arial"/>
                <w:i/>
                <w:sz w:val="16"/>
                <w:szCs w:val="16"/>
              </w:rPr>
            </w:pPr>
            <w:r w:rsidRPr="00673C1F">
              <w:rPr>
                <w:rFonts w:ascii="Arial" w:hAnsi="Arial" w:cs="Arial"/>
                <w:i/>
                <w:sz w:val="16"/>
                <w:szCs w:val="16"/>
              </w:rPr>
              <w:t> </w:t>
            </w:r>
          </w:p>
        </w:tc>
      </w:tr>
      <w:tr w:rsidR="00CC388C" w:rsidRPr="00BD68BD" w14:paraId="07822CBF" w14:textId="77777777" w:rsidTr="00BF0109">
        <w:trPr>
          <w:trHeight w:hRule="exact" w:val="70"/>
        </w:trPr>
        <w:tc>
          <w:tcPr>
            <w:tcW w:w="1773" w:type="pct"/>
            <w:tcBorders>
              <w:top w:val="nil"/>
              <w:left w:val="nil"/>
              <w:bottom w:val="nil"/>
              <w:right w:val="nil"/>
            </w:tcBorders>
            <w:shd w:val="clear" w:color="000000" w:fill="FFFFFF"/>
            <w:noWrap/>
            <w:vAlign w:val="center"/>
            <w:hideMark/>
          </w:tcPr>
          <w:p w14:paraId="4A0AADC8" w14:textId="77777777" w:rsidR="00CC388C" w:rsidRPr="00673C1F" w:rsidRDefault="00CC388C" w:rsidP="00BF0109">
            <w:pPr>
              <w:spacing w:before="0" w:after="0" w:line="240" w:lineRule="auto"/>
              <w:ind w:left="170"/>
              <w:outlineLvl w:val="0"/>
              <w:rPr>
                <w:rFonts w:ascii="Arial" w:hAnsi="Arial" w:cs="Arial"/>
                <w:sz w:val="16"/>
                <w:szCs w:val="16"/>
              </w:rPr>
            </w:pPr>
            <w:r w:rsidRPr="00673C1F">
              <w:rPr>
                <w:rFonts w:ascii="Arial" w:hAnsi="Arial" w:cs="Arial"/>
                <w:sz w:val="16"/>
                <w:szCs w:val="16"/>
              </w:rPr>
              <w:t> </w:t>
            </w:r>
          </w:p>
        </w:tc>
        <w:tc>
          <w:tcPr>
            <w:tcW w:w="558" w:type="pct"/>
            <w:tcBorders>
              <w:top w:val="nil"/>
              <w:left w:val="nil"/>
              <w:bottom w:val="nil"/>
              <w:right w:val="nil"/>
            </w:tcBorders>
            <w:shd w:val="clear" w:color="000000" w:fill="FFFFFF"/>
            <w:noWrap/>
            <w:vAlign w:val="center"/>
            <w:hideMark/>
          </w:tcPr>
          <w:p w14:paraId="16B99DF0" w14:textId="77777777" w:rsidR="00CC388C" w:rsidRPr="00673C1F" w:rsidRDefault="00CC388C" w:rsidP="00CC388C">
            <w:pPr>
              <w:spacing w:before="0" w:after="0" w:line="240" w:lineRule="auto"/>
              <w:jc w:val="right"/>
              <w:outlineLvl w:val="0"/>
              <w:rPr>
                <w:rFonts w:ascii="Arial" w:hAnsi="Arial" w:cs="Arial"/>
                <w:sz w:val="16"/>
                <w:szCs w:val="16"/>
              </w:rPr>
            </w:pPr>
            <w:r w:rsidRPr="00673C1F">
              <w:rPr>
                <w:rFonts w:ascii="Arial" w:hAnsi="Arial" w:cs="Arial"/>
                <w:sz w:val="16"/>
                <w:szCs w:val="16"/>
              </w:rPr>
              <w:t> </w:t>
            </w:r>
          </w:p>
        </w:tc>
        <w:tc>
          <w:tcPr>
            <w:tcW w:w="154" w:type="pct"/>
            <w:tcBorders>
              <w:top w:val="nil"/>
              <w:left w:val="nil"/>
              <w:bottom w:val="nil"/>
              <w:right w:val="nil"/>
            </w:tcBorders>
            <w:shd w:val="clear" w:color="000000" w:fill="FFFFFF"/>
            <w:noWrap/>
            <w:vAlign w:val="center"/>
            <w:hideMark/>
          </w:tcPr>
          <w:p w14:paraId="69ECB037" w14:textId="77777777" w:rsidR="00CC388C" w:rsidRPr="00673C1F" w:rsidRDefault="00CC388C" w:rsidP="00CC388C">
            <w:pPr>
              <w:spacing w:before="0" w:after="0" w:line="240" w:lineRule="auto"/>
              <w:jc w:val="right"/>
              <w:outlineLvl w:val="0"/>
              <w:rPr>
                <w:rFonts w:ascii="Arial" w:hAnsi="Arial" w:cs="Arial"/>
                <w:sz w:val="16"/>
                <w:szCs w:val="16"/>
              </w:rPr>
            </w:pPr>
            <w:r w:rsidRPr="00673C1F">
              <w:rPr>
                <w:rFonts w:ascii="Arial" w:hAnsi="Arial" w:cs="Arial"/>
                <w:sz w:val="16"/>
                <w:szCs w:val="16"/>
              </w:rPr>
              <w:t> </w:t>
            </w:r>
          </w:p>
        </w:tc>
        <w:tc>
          <w:tcPr>
            <w:tcW w:w="502" w:type="pct"/>
            <w:tcBorders>
              <w:top w:val="nil"/>
              <w:left w:val="nil"/>
              <w:bottom w:val="nil"/>
              <w:right w:val="nil"/>
            </w:tcBorders>
            <w:shd w:val="clear" w:color="000000" w:fill="E6F2FF"/>
            <w:noWrap/>
            <w:vAlign w:val="center"/>
            <w:hideMark/>
          </w:tcPr>
          <w:p w14:paraId="38311861" w14:textId="77777777" w:rsidR="00CC388C" w:rsidRPr="00673C1F" w:rsidRDefault="00CC388C" w:rsidP="00CC388C">
            <w:pPr>
              <w:spacing w:before="0" w:after="0" w:line="240" w:lineRule="auto"/>
              <w:jc w:val="right"/>
              <w:outlineLvl w:val="0"/>
              <w:rPr>
                <w:rFonts w:ascii="Arial" w:hAnsi="Arial" w:cs="Arial"/>
                <w:sz w:val="16"/>
                <w:szCs w:val="16"/>
              </w:rPr>
            </w:pPr>
            <w:r w:rsidRPr="00673C1F">
              <w:rPr>
                <w:rFonts w:ascii="Arial" w:hAnsi="Arial" w:cs="Arial"/>
                <w:sz w:val="16"/>
                <w:szCs w:val="16"/>
              </w:rPr>
              <w:t> </w:t>
            </w:r>
          </w:p>
        </w:tc>
        <w:tc>
          <w:tcPr>
            <w:tcW w:w="503" w:type="pct"/>
            <w:tcBorders>
              <w:top w:val="nil"/>
              <w:left w:val="nil"/>
              <w:bottom w:val="nil"/>
              <w:right w:val="nil"/>
            </w:tcBorders>
            <w:shd w:val="clear" w:color="000000" w:fill="E6F2FF"/>
            <w:noWrap/>
            <w:vAlign w:val="center"/>
            <w:hideMark/>
          </w:tcPr>
          <w:p w14:paraId="4E811861" w14:textId="77777777" w:rsidR="00CC388C" w:rsidRPr="00673C1F" w:rsidRDefault="00CC388C" w:rsidP="00CC388C">
            <w:pPr>
              <w:spacing w:before="0" w:after="0" w:line="240" w:lineRule="auto"/>
              <w:jc w:val="right"/>
              <w:outlineLvl w:val="0"/>
              <w:rPr>
                <w:rFonts w:ascii="Arial" w:hAnsi="Arial" w:cs="Arial"/>
                <w:sz w:val="16"/>
                <w:szCs w:val="16"/>
              </w:rPr>
            </w:pPr>
            <w:r w:rsidRPr="00673C1F">
              <w:rPr>
                <w:rFonts w:ascii="Arial" w:hAnsi="Arial" w:cs="Arial"/>
                <w:sz w:val="16"/>
                <w:szCs w:val="16"/>
              </w:rPr>
              <w:t> </w:t>
            </w:r>
          </w:p>
        </w:tc>
        <w:tc>
          <w:tcPr>
            <w:tcW w:w="503" w:type="pct"/>
            <w:tcBorders>
              <w:top w:val="nil"/>
              <w:left w:val="nil"/>
              <w:bottom w:val="nil"/>
              <w:right w:val="nil"/>
            </w:tcBorders>
            <w:shd w:val="clear" w:color="000000" w:fill="E6F2FF"/>
            <w:noWrap/>
            <w:vAlign w:val="center"/>
            <w:hideMark/>
          </w:tcPr>
          <w:p w14:paraId="49912498" w14:textId="77777777" w:rsidR="00CC388C" w:rsidRPr="00673C1F" w:rsidRDefault="00CC388C" w:rsidP="00CC388C">
            <w:pPr>
              <w:spacing w:before="0" w:after="0" w:line="240" w:lineRule="auto"/>
              <w:jc w:val="right"/>
              <w:outlineLvl w:val="0"/>
              <w:rPr>
                <w:rFonts w:ascii="Arial" w:hAnsi="Arial" w:cs="Arial"/>
                <w:sz w:val="16"/>
                <w:szCs w:val="16"/>
              </w:rPr>
            </w:pPr>
            <w:r w:rsidRPr="00673C1F">
              <w:rPr>
                <w:rFonts w:ascii="Arial" w:hAnsi="Arial" w:cs="Arial"/>
                <w:sz w:val="16"/>
                <w:szCs w:val="16"/>
              </w:rPr>
              <w:t> </w:t>
            </w:r>
          </w:p>
        </w:tc>
        <w:tc>
          <w:tcPr>
            <w:tcW w:w="503" w:type="pct"/>
            <w:tcBorders>
              <w:top w:val="nil"/>
              <w:left w:val="nil"/>
              <w:bottom w:val="nil"/>
              <w:right w:val="nil"/>
            </w:tcBorders>
            <w:shd w:val="clear" w:color="000000" w:fill="E6F2FF"/>
            <w:noWrap/>
            <w:vAlign w:val="center"/>
            <w:hideMark/>
          </w:tcPr>
          <w:p w14:paraId="6035AF83" w14:textId="77777777" w:rsidR="00CC388C" w:rsidRPr="00673C1F" w:rsidRDefault="00CC388C" w:rsidP="00CC388C">
            <w:pPr>
              <w:spacing w:before="0" w:after="0" w:line="240" w:lineRule="auto"/>
              <w:jc w:val="right"/>
              <w:outlineLvl w:val="0"/>
              <w:rPr>
                <w:rFonts w:ascii="Arial" w:hAnsi="Arial" w:cs="Arial"/>
                <w:sz w:val="16"/>
                <w:szCs w:val="16"/>
              </w:rPr>
            </w:pPr>
            <w:r w:rsidRPr="00673C1F">
              <w:rPr>
                <w:rFonts w:ascii="Arial" w:hAnsi="Arial" w:cs="Arial"/>
                <w:sz w:val="16"/>
                <w:szCs w:val="16"/>
              </w:rPr>
              <w:t> </w:t>
            </w:r>
          </w:p>
        </w:tc>
        <w:tc>
          <w:tcPr>
            <w:tcW w:w="505" w:type="pct"/>
            <w:tcBorders>
              <w:top w:val="nil"/>
              <w:left w:val="nil"/>
              <w:bottom w:val="nil"/>
              <w:right w:val="nil"/>
            </w:tcBorders>
            <w:shd w:val="clear" w:color="000000" w:fill="E6F2FF"/>
            <w:noWrap/>
            <w:vAlign w:val="center"/>
            <w:hideMark/>
          </w:tcPr>
          <w:p w14:paraId="069B1BB2" w14:textId="77777777" w:rsidR="00CC388C" w:rsidRPr="00673C1F" w:rsidRDefault="00CC388C" w:rsidP="00CC388C">
            <w:pPr>
              <w:spacing w:before="0" w:after="0" w:line="240" w:lineRule="auto"/>
              <w:jc w:val="right"/>
              <w:outlineLvl w:val="0"/>
              <w:rPr>
                <w:rFonts w:ascii="Arial" w:hAnsi="Arial" w:cs="Arial"/>
                <w:sz w:val="16"/>
                <w:szCs w:val="16"/>
              </w:rPr>
            </w:pPr>
            <w:r w:rsidRPr="00673C1F">
              <w:rPr>
                <w:rFonts w:ascii="Arial" w:hAnsi="Arial" w:cs="Arial"/>
                <w:sz w:val="16"/>
                <w:szCs w:val="16"/>
              </w:rPr>
              <w:t> </w:t>
            </w:r>
          </w:p>
        </w:tc>
      </w:tr>
      <w:tr w:rsidR="00CC388C" w:rsidRPr="00BD68BD" w14:paraId="0EBF2A0B" w14:textId="77777777" w:rsidTr="00BF0109">
        <w:trPr>
          <w:trHeight w:hRule="exact" w:val="235"/>
        </w:trPr>
        <w:tc>
          <w:tcPr>
            <w:tcW w:w="1773" w:type="pct"/>
            <w:tcBorders>
              <w:top w:val="nil"/>
              <w:left w:val="nil"/>
              <w:bottom w:val="nil"/>
              <w:right w:val="nil"/>
            </w:tcBorders>
            <w:shd w:val="clear" w:color="000000" w:fill="FFFFFF"/>
            <w:noWrap/>
            <w:vAlign w:val="center"/>
            <w:hideMark/>
          </w:tcPr>
          <w:p w14:paraId="27FB4DE4" w14:textId="084E0DE2" w:rsidR="00CC388C" w:rsidRPr="00673C1F" w:rsidRDefault="00CC388C" w:rsidP="00BF0109">
            <w:pPr>
              <w:spacing w:before="0" w:after="0" w:line="240" w:lineRule="auto"/>
              <w:ind w:left="170"/>
              <w:rPr>
                <w:rFonts w:ascii="Arial" w:hAnsi="Arial" w:cs="Arial"/>
                <w:sz w:val="16"/>
                <w:szCs w:val="16"/>
              </w:rPr>
            </w:pPr>
            <w:r w:rsidRPr="00673C1F">
              <w:rPr>
                <w:rFonts w:ascii="Arial" w:hAnsi="Arial" w:cs="Arial"/>
                <w:sz w:val="16"/>
                <w:szCs w:val="16"/>
              </w:rPr>
              <w:t>Non</w:t>
            </w:r>
            <w:r w:rsidR="006D727E" w:rsidRPr="00673C1F">
              <w:rPr>
                <w:rFonts w:ascii="Arial" w:hAnsi="Arial" w:cs="Arial"/>
                <w:sz w:val="16"/>
                <w:szCs w:val="16"/>
              </w:rPr>
              <w:noBreakHyphen/>
            </w:r>
            <w:r w:rsidRPr="00673C1F">
              <w:rPr>
                <w:rFonts w:ascii="Arial" w:hAnsi="Arial" w:cs="Arial"/>
                <w:sz w:val="16"/>
                <w:szCs w:val="16"/>
              </w:rPr>
              <w:t>farm gross mixed income</w:t>
            </w:r>
          </w:p>
        </w:tc>
        <w:tc>
          <w:tcPr>
            <w:tcW w:w="558" w:type="pct"/>
            <w:tcBorders>
              <w:top w:val="nil"/>
              <w:left w:val="nil"/>
              <w:bottom w:val="nil"/>
              <w:right w:val="nil"/>
            </w:tcBorders>
            <w:shd w:val="clear" w:color="000000" w:fill="FFFFFF"/>
            <w:noWrap/>
            <w:vAlign w:val="center"/>
            <w:hideMark/>
          </w:tcPr>
          <w:p w14:paraId="6EE7E7A3" w14:textId="3DB3F315" w:rsidR="00CC388C" w:rsidRPr="00673C1F" w:rsidRDefault="006D727E" w:rsidP="00CC388C">
            <w:pPr>
              <w:spacing w:before="0" w:after="0" w:line="240" w:lineRule="auto"/>
              <w:jc w:val="right"/>
              <w:rPr>
                <w:rFonts w:ascii="Arial" w:hAnsi="Arial" w:cs="Arial"/>
                <w:sz w:val="16"/>
                <w:szCs w:val="16"/>
              </w:rPr>
            </w:pPr>
            <w:r w:rsidRPr="00673C1F">
              <w:rPr>
                <w:rFonts w:ascii="Arial" w:hAnsi="Arial" w:cs="Arial"/>
                <w:sz w:val="16"/>
                <w:szCs w:val="16"/>
              </w:rPr>
              <w:noBreakHyphen/>
            </w:r>
            <w:r w:rsidR="00CC388C" w:rsidRPr="00673C1F">
              <w:rPr>
                <w:rFonts w:ascii="Arial" w:hAnsi="Arial" w:cs="Arial"/>
                <w:sz w:val="16"/>
                <w:szCs w:val="16"/>
              </w:rPr>
              <w:t>1.7</w:t>
            </w:r>
          </w:p>
        </w:tc>
        <w:tc>
          <w:tcPr>
            <w:tcW w:w="154" w:type="pct"/>
            <w:tcBorders>
              <w:top w:val="nil"/>
              <w:left w:val="nil"/>
              <w:bottom w:val="nil"/>
              <w:right w:val="nil"/>
            </w:tcBorders>
            <w:shd w:val="clear" w:color="000000" w:fill="FFFFFF"/>
            <w:noWrap/>
            <w:vAlign w:val="center"/>
            <w:hideMark/>
          </w:tcPr>
          <w:p w14:paraId="51AE40D0"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c>
          <w:tcPr>
            <w:tcW w:w="502" w:type="pct"/>
            <w:tcBorders>
              <w:top w:val="nil"/>
              <w:left w:val="nil"/>
              <w:bottom w:val="nil"/>
              <w:right w:val="nil"/>
            </w:tcBorders>
            <w:shd w:val="clear" w:color="000000" w:fill="E6F2FF"/>
            <w:noWrap/>
            <w:vAlign w:val="center"/>
            <w:hideMark/>
          </w:tcPr>
          <w:p w14:paraId="24F95B48"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2 1/4</w:t>
            </w:r>
          </w:p>
        </w:tc>
        <w:tc>
          <w:tcPr>
            <w:tcW w:w="503" w:type="pct"/>
            <w:tcBorders>
              <w:top w:val="nil"/>
              <w:left w:val="nil"/>
              <w:bottom w:val="nil"/>
              <w:right w:val="nil"/>
            </w:tcBorders>
            <w:shd w:val="clear" w:color="000000" w:fill="E6F2FF"/>
            <w:noWrap/>
            <w:vAlign w:val="center"/>
            <w:hideMark/>
          </w:tcPr>
          <w:p w14:paraId="0D2FAC55"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8 3/4</w:t>
            </w:r>
          </w:p>
        </w:tc>
        <w:tc>
          <w:tcPr>
            <w:tcW w:w="503" w:type="pct"/>
            <w:tcBorders>
              <w:top w:val="nil"/>
              <w:left w:val="nil"/>
              <w:bottom w:val="nil"/>
              <w:right w:val="nil"/>
            </w:tcBorders>
            <w:shd w:val="clear" w:color="000000" w:fill="E6F2FF"/>
            <w:noWrap/>
            <w:vAlign w:val="center"/>
            <w:hideMark/>
          </w:tcPr>
          <w:p w14:paraId="78F2DDD1"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6 1/2</w:t>
            </w:r>
          </w:p>
        </w:tc>
        <w:tc>
          <w:tcPr>
            <w:tcW w:w="503" w:type="pct"/>
            <w:tcBorders>
              <w:top w:val="nil"/>
              <w:left w:val="nil"/>
              <w:bottom w:val="nil"/>
              <w:right w:val="nil"/>
            </w:tcBorders>
            <w:shd w:val="clear" w:color="000000" w:fill="E6F2FF"/>
            <w:noWrap/>
            <w:vAlign w:val="center"/>
            <w:hideMark/>
          </w:tcPr>
          <w:p w14:paraId="183489D3"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6 1/2</w:t>
            </w:r>
          </w:p>
        </w:tc>
        <w:tc>
          <w:tcPr>
            <w:tcW w:w="505" w:type="pct"/>
            <w:tcBorders>
              <w:top w:val="nil"/>
              <w:left w:val="nil"/>
              <w:bottom w:val="nil"/>
              <w:right w:val="nil"/>
            </w:tcBorders>
            <w:shd w:val="clear" w:color="000000" w:fill="E6F2FF"/>
            <w:noWrap/>
            <w:vAlign w:val="center"/>
            <w:hideMark/>
          </w:tcPr>
          <w:p w14:paraId="32981089"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6 1/2</w:t>
            </w:r>
          </w:p>
        </w:tc>
      </w:tr>
      <w:tr w:rsidR="00CC388C" w:rsidRPr="00BD68BD" w14:paraId="53ED61B3" w14:textId="77777777" w:rsidTr="00BF0109">
        <w:trPr>
          <w:trHeight w:hRule="exact" w:val="235"/>
        </w:trPr>
        <w:tc>
          <w:tcPr>
            <w:tcW w:w="1773" w:type="pct"/>
            <w:tcBorders>
              <w:top w:val="nil"/>
              <w:left w:val="nil"/>
              <w:bottom w:val="nil"/>
              <w:right w:val="nil"/>
            </w:tcBorders>
            <w:shd w:val="clear" w:color="000000" w:fill="FFFFFF"/>
            <w:noWrap/>
            <w:vAlign w:val="center"/>
            <w:hideMark/>
          </w:tcPr>
          <w:p w14:paraId="56BCAC68" w14:textId="69D816FF" w:rsidR="00CC388C" w:rsidRPr="00673C1F" w:rsidRDefault="00CC388C" w:rsidP="00BF0109">
            <w:pPr>
              <w:spacing w:before="0" w:after="0" w:line="240" w:lineRule="auto"/>
              <w:ind w:left="340"/>
              <w:rPr>
                <w:rFonts w:ascii="Arial" w:hAnsi="Arial" w:cs="Arial"/>
                <w:sz w:val="16"/>
                <w:szCs w:val="16"/>
              </w:rPr>
            </w:pPr>
            <w:r w:rsidRPr="00673C1F">
              <w:rPr>
                <w:rFonts w:ascii="Arial" w:hAnsi="Arial" w:cs="Arial"/>
                <w:sz w:val="16"/>
                <w:szCs w:val="16"/>
              </w:rPr>
              <w:t>Change since 2023</w:t>
            </w:r>
            <w:r w:rsidR="006D727E" w:rsidRPr="00673C1F">
              <w:rPr>
                <w:rFonts w:ascii="Arial" w:hAnsi="Arial" w:cs="Arial"/>
                <w:sz w:val="16"/>
                <w:szCs w:val="16"/>
              </w:rPr>
              <w:noBreakHyphen/>
            </w:r>
            <w:r w:rsidRPr="00673C1F">
              <w:rPr>
                <w:rFonts w:ascii="Arial" w:hAnsi="Arial" w:cs="Arial"/>
                <w:sz w:val="16"/>
                <w:szCs w:val="16"/>
              </w:rPr>
              <w:t>24 MYEFO</w:t>
            </w:r>
          </w:p>
        </w:tc>
        <w:tc>
          <w:tcPr>
            <w:tcW w:w="558" w:type="pct"/>
            <w:tcBorders>
              <w:top w:val="nil"/>
              <w:left w:val="nil"/>
              <w:bottom w:val="nil"/>
              <w:right w:val="nil"/>
            </w:tcBorders>
            <w:shd w:val="clear" w:color="000000" w:fill="FFFFFF"/>
            <w:noWrap/>
            <w:vAlign w:val="center"/>
            <w:hideMark/>
          </w:tcPr>
          <w:p w14:paraId="1F2EE567"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c>
          <w:tcPr>
            <w:tcW w:w="154" w:type="pct"/>
            <w:tcBorders>
              <w:top w:val="nil"/>
              <w:left w:val="nil"/>
              <w:bottom w:val="nil"/>
              <w:right w:val="nil"/>
            </w:tcBorders>
            <w:shd w:val="clear" w:color="000000" w:fill="FFFFFF"/>
            <w:noWrap/>
            <w:vAlign w:val="center"/>
            <w:hideMark/>
          </w:tcPr>
          <w:p w14:paraId="65236F2A"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c>
          <w:tcPr>
            <w:tcW w:w="502" w:type="pct"/>
            <w:tcBorders>
              <w:top w:val="nil"/>
              <w:left w:val="nil"/>
              <w:bottom w:val="nil"/>
              <w:right w:val="nil"/>
            </w:tcBorders>
            <w:shd w:val="clear" w:color="000000" w:fill="E6F2FF"/>
            <w:noWrap/>
            <w:vAlign w:val="center"/>
            <w:hideMark/>
          </w:tcPr>
          <w:p w14:paraId="1B6C9ACB" w14:textId="207FB2A3" w:rsidR="00CC388C" w:rsidRPr="00673C1F" w:rsidRDefault="006D727E" w:rsidP="00CC388C">
            <w:pPr>
              <w:spacing w:before="0" w:after="0" w:line="240" w:lineRule="auto"/>
              <w:jc w:val="right"/>
              <w:rPr>
                <w:rFonts w:ascii="Arial" w:hAnsi="Arial" w:cs="Arial"/>
                <w:i/>
                <w:sz w:val="16"/>
                <w:szCs w:val="16"/>
              </w:rPr>
            </w:pPr>
            <w:r w:rsidRPr="00673C1F">
              <w:rPr>
                <w:rFonts w:ascii="Arial" w:hAnsi="Arial" w:cs="Arial"/>
                <w:i/>
                <w:sz w:val="16"/>
                <w:szCs w:val="16"/>
              </w:rPr>
              <w:noBreakHyphen/>
            </w:r>
            <w:r w:rsidR="00CC388C" w:rsidRPr="00673C1F">
              <w:rPr>
                <w:rFonts w:ascii="Arial" w:hAnsi="Arial" w:cs="Arial"/>
                <w:i/>
                <w:sz w:val="16"/>
                <w:szCs w:val="16"/>
              </w:rPr>
              <w:t xml:space="preserve"> 1/2</w:t>
            </w:r>
          </w:p>
        </w:tc>
        <w:tc>
          <w:tcPr>
            <w:tcW w:w="503" w:type="pct"/>
            <w:tcBorders>
              <w:top w:val="nil"/>
              <w:left w:val="nil"/>
              <w:bottom w:val="nil"/>
              <w:right w:val="nil"/>
            </w:tcBorders>
            <w:shd w:val="clear" w:color="000000" w:fill="E6F2FF"/>
            <w:noWrap/>
            <w:vAlign w:val="center"/>
            <w:hideMark/>
          </w:tcPr>
          <w:p w14:paraId="307B0CE1" w14:textId="77777777" w:rsidR="00CC388C" w:rsidRPr="00673C1F" w:rsidRDefault="00CC388C" w:rsidP="00CC388C">
            <w:pPr>
              <w:spacing w:before="0" w:after="0" w:line="240" w:lineRule="auto"/>
              <w:jc w:val="right"/>
              <w:rPr>
                <w:rFonts w:ascii="Arial" w:hAnsi="Arial" w:cs="Arial"/>
                <w:i/>
                <w:sz w:val="16"/>
                <w:szCs w:val="16"/>
              </w:rPr>
            </w:pPr>
            <w:r w:rsidRPr="00673C1F">
              <w:rPr>
                <w:rFonts w:ascii="Arial" w:hAnsi="Arial" w:cs="Arial"/>
                <w:i/>
                <w:sz w:val="16"/>
                <w:szCs w:val="16"/>
              </w:rPr>
              <w:t xml:space="preserve">0    </w:t>
            </w:r>
          </w:p>
        </w:tc>
        <w:tc>
          <w:tcPr>
            <w:tcW w:w="503" w:type="pct"/>
            <w:tcBorders>
              <w:top w:val="nil"/>
              <w:left w:val="nil"/>
              <w:bottom w:val="nil"/>
              <w:right w:val="nil"/>
            </w:tcBorders>
            <w:shd w:val="clear" w:color="000000" w:fill="E6F2FF"/>
            <w:noWrap/>
            <w:vAlign w:val="center"/>
            <w:hideMark/>
          </w:tcPr>
          <w:p w14:paraId="7BA9D0E0" w14:textId="1688F204" w:rsidR="00CC388C" w:rsidRPr="00673C1F" w:rsidRDefault="006D727E" w:rsidP="00CC388C">
            <w:pPr>
              <w:spacing w:before="0" w:after="0" w:line="240" w:lineRule="auto"/>
              <w:jc w:val="right"/>
              <w:rPr>
                <w:rFonts w:ascii="Arial" w:hAnsi="Arial" w:cs="Arial"/>
                <w:i/>
                <w:sz w:val="16"/>
                <w:szCs w:val="16"/>
              </w:rPr>
            </w:pPr>
            <w:r w:rsidRPr="00673C1F">
              <w:rPr>
                <w:rFonts w:ascii="Arial" w:hAnsi="Arial" w:cs="Arial"/>
                <w:i/>
                <w:sz w:val="16"/>
                <w:szCs w:val="16"/>
              </w:rPr>
              <w:noBreakHyphen/>
            </w:r>
            <w:r w:rsidR="00CC388C" w:rsidRPr="00673C1F">
              <w:rPr>
                <w:rFonts w:ascii="Arial" w:hAnsi="Arial" w:cs="Arial"/>
                <w:i/>
                <w:sz w:val="16"/>
                <w:szCs w:val="16"/>
              </w:rPr>
              <w:t xml:space="preserve"> 1/4</w:t>
            </w:r>
          </w:p>
        </w:tc>
        <w:tc>
          <w:tcPr>
            <w:tcW w:w="503" w:type="pct"/>
            <w:tcBorders>
              <w:top w:val="nil"/>
              <w:left w:val="nil"/>
              <w:bottom w:val="nil"/>
              <w:right w:val="nil"/>
            </w:tcBorders>
            <w:shd w:val="clear" w:color="000000" w:fill="E6F2FF"/>
            <w:noWrap/>
            <w:vAlign w:val="center"/>
            <w:hideMark/>
          </w:tcPr>
          <w:p w14:paraId="3CBF29F8" w14:textId="5FE2CCDD" w:rsidR="00CC388C" w:rsidRPr="00673C1F" w:rsidRDefault="00EA00F7" w:rsidP="00CC388C">
            <w:pPr>
              <w:spacing w:before="0" w:after="0" w:line="240" w:lineRule="auto"/>
              <w:jc w:val="right"/>
              <w:rPr>
                <w:rFonts w:ascii="Arial" w:hAnsi="Arial" w:cs="Arial"/>
                <w:i/>
                <w:sz w:val="16"/>
                <w:szCs w:val="16"/>
              </w:rPr>
            </w:pPr>
            <w:r w:rsidRPr="00673C1F">
              <w:rPr>
                <w:rFonts w:ascii="Arial" w:hAnsi="Arial" w:cs="Arial"/>
                <w:i/>
                <w:sz w:val="16"/>
                <w:szCs w:val="16"/>
              </w:rPr>
              <w:t>3/4</w:t>
            </w:r>
          </w:p>
        </w:tc>
        <w:tc>
          <w:tcPr>
            <w:tcW w:w="505" w:type="pct"/>
            <w:tcBorders>
              <w:top w:val="nil"/>
              <w:left w:val="nil"/>
              <w:bottom w:val="nil"/>
              <w:right w:val="nil"/>
            </w:tcBorders>
            <w:shd w:val="clear" w:color="000000" w:fill="E6F2FF"/>
            <w:noWrap/>
            <w:vAlign w:val="center"/>
            <w:hideMark/>
          </w:tcPr>
          <w:p w14:paraId="0CB9EE08" w14:textId="77777777" w:rsidR="00CC388C" w:rsidRPr="00673C1F" w:rsidRDefault="00CC388C" w:rsidP="00CC388C">
            <w:pPr>
              <w:spacing w:before="0" w:after="0" w:line="240" w:lineRule="auto"/>
              <w:jc w:val="right"/>
              <w:rPr>
                <w:rFonts w:ascii="Arial" w:hAnsi="Arial" w:cs="Arial"/>
                <w:i/>
                <w:sz w:val="16"/>
                <w:szCs w:val="16"/>
              </w:rPr>
            </w:pPr>
            <w:r w:rsidRPr="00673C1F">
              <w:rPr>
                <w:rFonts w:ascii="Arial" w:hAnsi="Arial" w:cs="Arial"/>
                <w:i/>
                <w:sz w:val="16"/>
                <w:szCs w:val="16"/>
              </w:rPr>
              <w:t> </w:t>
            </w:r>
          </w:p>
        </w:tc>
      </w:tr>
      <w:tr w:rsidR="00CC388C" w:rsidRPr="00BD68BD" w14:paraId="1D8D3628" w14:textId="77777777" w:rsidTr="00BF0109">
        <w:trPr>
          <w:trHeight w:hRule="exact" w:val="70"/>
        </w:trPr>
        <w:tc>
          <w:tcPr>
            <w:tcW w:w="1773" w:type="pct"/>
            <w:tcBorders>
              <w:top w:val="nil"/>
              <w:left w:val="nil"/>
              <w:bottom w:val="nil"/>
              <w:right w:val="nil"/>
            </w:tcBorders>
            <w:shd w:val="clear" w:color="000000" w:fill="FFFFFF"/>
            <w:noWrap/>
            <w:vAlign w:val="center"/>
            <w:hideMark/>
          </w:tcPr>
          <w:p w14:paraId="54CA0417" w14:textId="77777777" w:rsidR="00CC388C" w:rsidRPr="00673C1F" w:rsidRDefault="00CC388C" w:rsidP="00BF0109">
            <w:pPr>
              <w:spacing w:before="0" w:after="0" w:line="240" w:lineRule="auto"/>
              <w:ind w:left="170"/>
              <w:rPr>
                <w:rFonts w:ascii="Arial" w:hAnsi="Arial" w:cs="Arial"/>
                <w:sz w:val="16"/>
                <w:szCs w:val="16"/>
              </w:rPr>
            </w:pPr>
            <w:r w:rsidRPr="00673C1F">
              <w:rPr>
                <w:rFonts w:ascii="Arial" w:hAnsi="Arial" w:cs="Arial"/>
                <w:sz w:val="16"/>
                <w:szCs w:val="16"/>
              </w:rPr>
              <w:t> </w:t>
            </w:r>
          </w:p>
        </w:tc>
        <w:tc>
          <w:tcPr>
            <w:tcW w:w="558" w:type="pct"/>
            <w:tcBorders>
              <w:top w:val="nil"/>
              <w:left w:val="nil"/>
              <w:bottom w:val="nil"/>
              <w:right w:val="nil"/>
            </w:tcBorders>
            <w:shd w:val="clear" w:color="000000" w:fill="FFFFFF"/>
            <w:noWrap/>
            <w:vAlign w:val="center"/>
            <w:hideMark/>
          </w:tcPr>
          <w:p w14:paraId="650BCE0E"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c>
          <w:tcPr>
            <w:tcW w:w="154" w:type="pct"/>
            <w:tcBorders>
              <w:top w:val="nil"/>
              <w:left w:val="nil"/>
              <w:bottom w:val="nil"/>
              <w:right w:val="nil"/>
            </w:tcBorders>
            <w:shd w:val="clear" w:color="000000" w:fill="FFFFFF"/>
            <w:noWrap/>
            <w:vAlign w:val="center"/>
            <w:hideMark/>
          </w:tcPr>
          <w:p w14:paraId="10ECD7EA"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c>
          <w:tcPr>
            <w:tcW w:w="502" w:type="pct"/>
            <w:tcBorders>
              <w:top w:val="nil"/>
              <w:left w:val="nil"/>
              <w:bottom w:val="nil"/>
              <w:right w:val="nil"/>
            </w:tcBorders>
            <w:shd w:val="clear" w:color="000000" w:fill="E6F2FF"/>
            <w:noWrap/>
            <w:vAlign w:val="center"/>
            <w:hideMark/>
          </w:tcPr>
          <w:p w14:paraId="6923E3E7"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c>
          <w:tcPr>
            <w:tcW w:w="503" w:type="pct"/>
            <w:tcBorders>
              <w:top w:val="nil"/>
              <w:left w:val="nil"/>
              <w:bottom w:val="nil"/>
              <w:right w:val="nil"/>
            </w:tcBorders>
            <w:shd w:val="clear" w:color="000000" w:fill="E6F2FF"/>
            <w:noWrap/>
            <w:vAlign w:val="center"/>
            <w:hideMark/>
          </w:tcPr>
          <w:p w14:paraId="20EB0217"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c>
          <w:tcPr>
            <w:tcW w:w="503" w:type="pct"/>
            <w:tcBorders>
              <w:top w:val="nil"/>
              <w:left w:val="nil"/>
              <w:bottom w:val="nil"/>
              <w:right w:val="nil"/>
            </w:tcBorders>
            <w:shd w:val="clear" w:color="000000" w:fill="E6F2FF"/>
            <w:noWrap/>
            <w:vAlign w:val="center"/>
            <w:hideMark/>
          </w:tcPr>
          <w:p w14:paraId="72BBF8C8"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c>
          <w:tcPr>
            <w:tcW w:w="503" w:type="pct"/>
            <w:tcBorders>
              <w:top w:val="nil"/>
              <w:left w:val="nil"/>
              <w:bottom w:val="nil"/>
              <w:right w:val="nil"/>
            </w:tcBorders>
            <w:shd w:val="clear" w:color="000000" w:fill="E6F2FF"/>
            <w:noWrap/>
            <w:vAlign w:val="center"/>
            <w:hideMark/>
          </w:tcPr>
          <w:p w14:paraId="3043F4FD"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c>
          <w:tcPr>
            <w:tcW w:w="505" w:type="pct"/>
            <w:tcBorders>
              <w:top w:val="nil"/>
              <w:left w:val="nil"/>
              <w:bottom w:val="nil"/>
              <w:right w:val="nil"/>
            </w:tcBorders>
            <w:shd w:val="clear" w:color="000000" w:fill="E6F2FF"/>
            <w:noWrap/>
            <w:vAlign w:val="center"/>
            <w:hideMark/>
          </w:tcPr>
          <w:p w14:paraId="3A1A49C7"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r>
      <w:tr w:rsidR="00CC388C" w:rsidRPr="00BD68BD" w14:paraId="241E490A" w14:textId="77777777" w:rsidTr="00BF0109">
        <w:trPr>
          <w:trHeight w:hRule="exact" w:val="235"/>
        </w:trPr>
        <w:tc>
          <w:tcPr>
            <w:tcW w:w="1773" w:type="pct"/>
            <w:tcBorders>
              <w:top w:val="nil"/>
              <w:left w:val="nil"/>
              <w:bottom w:val="nil"/>
              <w:right w:val="nil"/>
            </w:tcBorders>
            <w:shd w:val="clear" w:color="000000" w:fill="FFFFFF"/>
            <w:noWrap/>
            <w:vAlign w:val="center"/>
            <w:hideMark/>
          </w:tcPr>
          <w:p w14:paraId="4D634E5C" w14:textId="77777777" w:rsidR="00CC388C" w:rsidRPr="00673C1F" w:rsidRDefault="00CC388C" w:rsidP="00BF0109">
            <w:pPr>
              <w:spacing w:before="0" w:after="0" w:line="240" w:lineRule="auto"/>
              <w:ind w:left="170"/>
              <w:rPr>
                <w:rFonts w:ascii="Arial" w:hAnsi="Arial" w:cs="Arial"/>
                <w:sz w:val="16"/>
                <w:szCs w:val="16"/>
              </w:rPr>
            </w:pPr>
            <w:r w:rsidRPr="00673C1F">
              <w:rPr>
                <w:rFonts w:ascii="Arial" w:hAnsi="Arial" w:cs="Arial"/>
                <w:sz w:val="16"/>
                <w:szCs w:val="16"/>
              </w:rPr>
              <w:t>Property income</w:t>
            </w:r>
            <w:r w:rsidRPr="00673C1F">
              <w:rPr>
                <w:rFonts w:ascii="Arial" w:hAnsi="Arial" w:cs="Arial"/>
                <w:sz w:val="16"/>
                <w:szCs w:val="16"/>
                <w:vertAlign w:val="superscript"/>
              </w:rPr>
              <w:t>(d)</w:t>
            </w:r>
          </w:p>
        </w:tc>
        <w:tc>
          <w:tcPr>
            <w:tcW w:w="558" w:type="pct"/>
            <w:tcBorders>
              <w:top w:val="nil"/>
              <w:left w:val="nil"/>
              <w:bottom w:val="nil"/>
              <w:right w:val="nil"/>
            </w:tcBorders>
            <w:shd w:val="clear" w:color="000000" w:fill="FFFFFF"/>
            <w:noWrap/>
            <w:vAlign w:val="center"/>
            <w:hideMark/>
          </w:tcPr>
          <w:p w14:paraId="75C1F13E"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21.5</w:t>
            </w:r>
          </w:p>
        </w:tc>
        <w:tc>
          <w:tcPr>
            <w:tcW w:w="154" w:type="pct"/>
            <w:tcBorders>
              <w:top w:val="nil"/>
              <w:left w:val="nil"/>
              <w:bottom w:val="nil"/>
              <w:right w:val="nil"/>
            </w:tcBorders>
            <w:shd w:val="clear" w:color="000000" w:fill="FFFFFF"/>
            <w:noWrap/>
            <w:vAlign w:val="center"/>
            <w:hideMark/>
          </w:tcPr>
          <w:p w14:paraId="2C50BEDA"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c>
          <w:tcPr>
            <w:tcW w:w="502" w:type="pct"/>
            <w:tcBorders>
              <w:top w:val="nil"/>
              <w:left w:val="nil"/>
              <w:bottom w:val="nil"/>
              <w:right w:val="nil"/>
            </w:tcBorders>
            <w:shd w:val="clear" w:color="000000" w:fill="E6F2FF"/>
            <w:noWrap/>
            <w:vAlign w:val="center"/>
            <w:hideMark/>
          </w:tcPr>
          <w:p w14:paraId="30B67741"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15 3/4</w:t>
            </w:r>
          </w:p>
        </w:tc>
        <w:tc>
          <w:tcPr>
            <w:tcW w:w="503" w:type="pct"/>
            <w:tcBorders>
              <w:top w:val="nil"/>
              <w:left w:val="nil"/>
              <w:bottom w:val="nil"/>
              <w:right w:val="nil"/>
            </w:tcBorders>
            <w:shd w:val="clear" w:color="000000" w:fill="E6F2FF"/>
            <w:noWrap/>
            <w:vAlign w:val="center"/>
            <w:hideMark/>
          </w:tcPr>
          <w:p w14:paraId="6309CC15"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xml:space="preserve">4    </w:t>
            </w:r>
          </w:p>
        </w:tc>
        <w:tc>
          <w:tcPr>
            <w:tcW w:w="503" w:type="pct"/>
            <w:tcBorders>
              <w:top w:val="nil"/>
              <w:left w:val="nil"/>
              <w:bottom w:val="nil"/>
              <w:right w:val="nil"/>
            </w:tcBorders>
            <w:shd w:val="clear" w:color="000000" w:fill="E6F2FF"/>
            <w:noWrap/>
            <w:vAlign w:val="center"/>
            <w:hideMark/>
          </w:tcPr>
          <w:p w14:paraId="09E728CF"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3 3/4</w:t>
            </w:r>
          </w:p>
        </w:tc>
        <w:tc>
          <w:tcPr>
            <w:tcW w:w="503" w:type="pct"/>
            <w:tcBorders>
              <w:top w:val="nil"/>
              <w:left w:val="nil"/>
              <w:bottom w:val="nil"/>
              <w:right w:val="nil"/>
            </w:tcBorders>
            <w:shd w:val="clear" w:color="000000" w:fill="E6F2FF"/>
            <w:noWrap/>
            <w:vAlign w:val="center"/>
            <w:hideMark/>
          </w:tcPr>
          <w:p w14:paraId="04154540"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xml:space="preserve">6    </w:t>
            </w:r>
          </w:p>
        </w:tc>
        <w:tc>
          <w:tcPr>
            <w:tcW w:w="505" w:type="pct"/>
            <w:tcBorders>
              <w:top w:val="nil"/>
              <w:left w:val="nil"/>
              <w:bottom w:val="nil"/>
              <w:right w:val="nil"/>
            </w:tcBorders>
            <w:shd w:val="clear" w:color="000000" w:fill="E6F2FF"/>
            <w:noWrap/>
            <w:vAlign w:val="center"/>
            <w:hideMark/>
          </w:tcPr>
          <w:p w14:paraId="3F0E56A2"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5 1/4</w:t>
            </w:r>
          </w:p>
        </w:tc>
      </w:tr>
      <w:tr w:rsidR="00CC388C" w:rsidRPr="00BD68BD" w14:paraId="5D64D3B5" w14:textId="77777777" w:rsidTr="00BF0109">
        <w:trPr>
          <w:trHeight w:hRule="exact" w:val="235"/>
        </w:trPr>
        <w:tc>
          <w:tcPr>
            <w:tcW w:w="1773" w:type="pct"/>
            <w:tcBorders>
              <w:top w:val="nil"/>
              <w:left w:val="nil"/>
              <w:bottom w:val="nil"/>
              <w:right w:val="nil"/>
            </w:tcBorders>
            <w:shd w:val="clear" w:color="000000" w:fill="FFFFFF"/>
            <w:noWrap/>
            <w:vAlign w:val="center"/>
            <w:hideMark/>
          </w:tcPr>
          <w:p w14:paraId="38E4C359" w14:textId="414F47B6" w:rsidR="00CC388C" w:rsidRPr="00673C1F" w:rsidRDefault="00CC388C" w:rsidP="00BF0109">
            <w:pPr>
              <w:spacing w:before="0" w:after="0" w:line="240" w:lineRule="auto"/>
              <w:ind w:left="340"/>
              <w:rPr>
                <w:rFonts w:ascii="Arial" w:hAnsi="Arial" w:cs="Arial"/>
                <w:sz w:val="16"/>
                <w:szCs w:val="16"/>
              </w:rPr>
            </w:pPr>
            <w:r w:rsidRPr="00673C1F">
              <w:rPr>
                <w:rFonts w:ascii="Arial" w:hAnsi="Arial" w:cs="Arial"/>
                <w:sz w:val="16"/>
                <w:szCs w:val="16"/>
              </w:rPr>
              <w:t>Change since 2023</w:t>
            </w:r>
            <w:r w:rsidR="006D727E" w:rsidRPr="00673C1F">
              <w:rPr>
                <w:rFonts w:ascii="Arial" w:hAnsi="Arial" w:cs="Arial"/>
                <w:sz w:val="16"/>
                <w:szCs w:val="16"/>
              </w:rPr>
              <w:noBreakHyphen/>
            </w:r>
            <w:r w:rsidRPr="00673C1F">
              <w:rPr>
                <w:rFonts w:ascii="Arial" w:hAnsi="Arial" w:cs="Arial"/>
                <w:sz w:val="16"/>
                <w:szCs w:val="16"/>
              </w:rPr>
              <w:t>24 MYEFO</w:t>
            </w:r>
          </w:p>
        </w:tc>
        <w:tc>
          <w:tcPr>
            <w:tcW w:w="558" w:type="pct"/>
            <w:tcBorders>
              <w:top w:val="nil"/>
              <w:left w:val="nil"/>
              <w:bottom w:val="nil"/>
              <w:right w:val="nil"/>
            </w:tcBorders>
            <w:shd w:val="clear" w:color="000000" w:fill="FFFFFF"/>
            <w:noWrap/>
            <w:vAlign w:val="center"/>
            <w:hideMark/>
          </w:tcPr>
          <w:p w14:paraId="3B270872"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c>
          <w:tcPr>
            <w:tcW w:w="154" w:type="pct"/>
            <w:tcBorders>
              <w:top w:val="nil"/>
              <w:left w:val="nil"/>
              <w:bottom w:val="nil"/>
              <w:right w:val="nil"/>
            </w:tcBorders>
            <w:shd w:val="clear" w:color="000000" w:fill="FFFFFF"/>
            <w:noWrap/>
            <w:vAlign w:val="center"/>
            <w:hideMark/>
          </w:tcPr>
          <w:p w14:paraId="637BD275"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c>
          <w:tcPr>
            <w:tcW w:w="502" w:type="pct"/>
            <w:tcBorders>
              <w:top w:val="nil"/>
              <w:left w:val="nil"/>
              <w:bottom w:val="nil"/>
              <w:right w:val="nil"/>
            </w:tcBorders>
            <w:shd w:val="clear" w:color="000000" w:fill="E6F2FF"/>
            <w:noWrap/>
            <w:vAlign w:val="center"/>
            <w:hideMark/>
          </w:tcPr>
          <w:p w14:paraId="2045B290" w14:textId="77777777" w:rsidR="00CC388C" w:rsidRPr="00673C1F" w:rsidRDefault="00CC388C" w:rsidP="00CC388C">
            <w:pPr>
              <w:spacing w:before="0" w:after="0" w:line="240" w:lineRule="auto"/>
              <w:jc w:val="right"/>
              <w:rPr>
                <w:rFonts w:ascii="Arial" w:hAnsi="Arial" w:cs="Arial"/>
                <w:i/>
                <w:sz w:val="16"/>
                <w:szCs w:val="16"/>
              </w:rPr>
            </w:pPr>
            <w:r w:rsidRPr="00673C1F">
              <w:rPr>
                <w:rFonts w:ascii="Arial" w:hAnsi="Arial" w:cs="Arial"/>
                <w:i/>
                <w:sz w:val="16"/>
                <w:szCs w:val="16"/>
              </w:rPr>
              <w:t>1 3/4</w:t>
            </w:r>
          </w:p>
        </w:tc>
        <w:tc>
          <w:tcPr>
            <w:tcW w:w="503" w:type="pct"/>
            <w:tcBorders>
              <w:top w:val="nil"/>
              <w:left w:val="nil"/>
              <w:bottom w:val="nil"/>
              <w:right w:val="nil"/>
            </w:tcBorders>
            <w:shd w:val="clear" w:color="000000" w:fill="E6F2FF"/>
            <w:noWrap/>
            <w:vAlign w:val="center"/>
            <w:hideMark/>
          </w:tcPr>
          <w:p w14:paraId="2CE012E8" w14:textId="369258F6" w:rsidR="00CC388C" w:rsidRPr="00673C1F" w:rsidRDefault="006D727E" w:rsidP="00CC388C">
            <w:pPr>
              <w:spacing w:before="0" w:after="0" w:line="240" w:lineRule="auto"/>
              <w:jc w:val="right"/>
              <w:rPr>
                <w:rFonts w:ascii="Arial" w:hAnsi="Arial" w:cs="Arial"/>
                <w:i/>
                <w:sz w:val="16"/>
                <w:szCs w:val="16"/>
              </w:rPr>
            </w:pPr>
            <w:r w:rsidRPr="00673C1F">
              <w:rPr>
                <w:rFonts w:ascii="Arial" w:hAnsi="Arial" w:cs="Arial"/>
                <w:i/>
                <w:sz w:val="16"/>
                <w:szCs w:val="16"/>
              </w:rPr>
              <w:noBreakHyphen/>
            </w:r>
            <w:r w:rsidR="00CC388C" w:rsidRPr="00673C1F">
              <w:rPr>
                <w:rFonts w:ascii="Arial" w:hAnsi="Arial" w:cs="Arial"/>
                <w:i/>
                <w:sz w:val="16"/>
                <w:szCs w:val="16"/>
              </w:rPr>
              <w:t xml:space="preserve">2    </w:t>
            </w:r>
          </w:p>
        </w:tc>
        <w:tc>
          <w:tcPr>
            <w:tcW w:w="503" w:type="pct"/>
            <w:tcBorders>
              <w:top w:val="nil"/>
              <w:left w:val="nil"/>
              <w:bottom w:val="nil"/>
              <w:right w:val="nil"/>
            </w:tcBorders>
            <w:shd w:val="clear" w:color="000000" w:fill="E6F2FF"/>
            <w:noWrap/>
            <w:vAlign w:val="center"/>
            <w:hideMark/>
          </w:tcPr>
          <w:p w14:paraId="2B422AE5" w14:textId="64FD262A" w:rsidR="00CC388C" w:rsidRPr="00673C1F" w:rsidRDefault="006D727E" w:rsidP="00CC388C">
            <w:pPr>
              <w:spacing w:before="0" w:after="0" w:line="240" w:lineRule="auto"/>
              <w:jc w:val="right"/>
              <w:rPr>
                <w:rFonts w:ascii="Arial" w:hAnsi="Arial" w:cs="Arial"/>
                <w:i/>
                <w:sz w:val="16"/>
                <w:szCs w:val="16"/>
              </w:rPr>
            </w:pPr>
            <w:r w:rsidRPr="00673C1F">
              <w:rPr>
                <w:rFonts w:ascii="Arial" w:hAnsi="Arial" w:cs="Arial"/>
                <w:i/>
                <w:sz w:val="16"/>
                <w:szCs w:val="16"/>
              </w:rPr>
              <w:noBreakHyphen/>
            </w:r>
            <w:r w:rsidR="00CC388C" w:rsidRPr="00673C1F">
              <w:rPr>
                <w:rFonts w:ascii="Arial" w:hAnsi="Arial" w:cs="Arial"/>
                <w:i/>
                <w:sz w:val="16"/>
                <w:szCs w:val="16"/>
              </w:rPr>
              <w:t>2 1/2</w:t>
            </w:r>
          </w:p>
        </w:tc>
        <w:tc>
          <w:tcPr>
            <w:tcW w:w="503" w:type="pct"/>
            <w:tcBorders>
              <w:top w:val="nil"/>
              <w:left w:val="nil"/>
              <w:bottom w:val="nil"/>
              <w:right w:val="nil"/>
            </w:tcBorders>
            <w:shd w:val="clear" w:color="000000" w:fill="E6F2FF"/>
            <w:noWrap/>
            <w:vAlign w:val="center"/>
            <w:hideMark/>
          </w:tcPr>
          <w:p w14:paraId="24745A27" w14:textId="3D9BA645" w:rsidR="00CC388C" w:rsidRPr="00673C1F" w:rsidRDefault="00EA00F7" w:rsidP="00CC388C">
            <w:pPr>
              <w:spacing w:before="0" w:after="0" w:line="240" w:lineRule="auto"/>
              <w:jc w:val="right"/>
              <w:rPr>
                <w:rFonts w:ascii="Arial" w:hAnsi="Arial" w:cs="Arial"/>
                <w:i/>
                <w:sz w:val="16"/>
                <w:szCs w:val="16"/>
              </w:rPr>
            </w:pPr>
            <w:r w:rsidRPr="00673C1F">
              <w:rPr>
                <w:rFonts w:ascii="Arial" w:hAnsi="Arial" w:cs="Arial"/>
                <w:i/>
                <w:sz w:val="16"/>
                <w:szCs w:val="16"/>
              </w:rPr>
              <w:t>3/4</w:t>
            </w:r>
          </w:p>
        </w:tc>
        <w:tc>
          <w:tcPr>
            <w:tcW w:w="505" w:type="pct"/>
            <w:tcBorders>
              <w:top w:val="nil"/>
              <w:left w:val="nil"/>
              <w:bottom w:val="nil"/>
              <w:right w:val="nil"/>
            </w:tcBorders>
            <w:shd w:val="clear" w:color="000000" w:fill="E6F2FF"/>
            <w:noWrap/>
            <w:vAlign w:val="center"/>
            <w:hideMark/>
          </w:tcPr>
          <w:p w14:paraId="1EB33E2C" w14:textId="77777777" w:rsidR="00CC388C" w:rsidRPr="00673C1F" w:rsidRDefault="00CC388C" w:rsidP="00CC388C">
            <w:pPr>
              <w:spacing w:before="0" w:after="0" w:line="240" w:lineRule="auto"/>
              <w:jc w:val="right"/>
              <w:rPr>
                <w:rFonts w:ascii="Arial" w:hAnsi="Arial" w:cs="Arial"/>
                <w:i/>
                <w:sz w:val="16"/>
                <w:szCs w:val="16"/>
              </w:rPr>
            </w:pPr>
            <w:r w:rsidRPr="00673C1F">
              <w:rPr>
                <w:rFonts w:ascii="Arial" w:hAnsi="Arial" w:cs="Arial"/>
                <w:i/>
                <w:sz w:val="16"/>
                <w:szCs w:val="16"/>
              </w:rPr>
              <w:t> </w:t>
            </w:r>
          </w:p>
        </w:tc>
      </w:tr>
      <w:tr w:rsidR="00CC388C" w:rsidRPr="00BD68BD" w14:paraId="734B74B5" w14:textId="77777777" w:rsidTr="00BF0109">
        <w:trPr>
          <w:trHeight w:hRule="exact" w:val="70"/>
        </w:trPr>
        <w:tc>
          <w:tcPr>
            <w:tcW w:w="1773" w:type="pct"/>
            <w:tcBorders>
              <w:top w:val="nil"/>
              <w:left w:val="nil"/>
              <w:bottom w:val="nil"/>
              <w:right w:val="nil"/>
            </w:tcBorders>
            <w:shd w:val="clear" w:color="000000" w:fill="FFFFFF"/>
            <w:noWrap/>
            <w:vAlign w:val="center"/>
            <w:hideMark/>
          </w:tcPr>
          <w:p w14:paraId="001AA9AA" w14:textId="77777777" w:rsidR="00CC388C" w:rsidRPr="00673C1F" w:rsidRDefault="00CC388C" w:rsidP="00BF0109">
            <w:pPr>
              <w:spacing w:before="0" w:after="0" w:line="240" w:lineRule="auto"/>
              <w:ind w:left="170"/>
              <w:rPr>
                <w:rFonts w:ascii="Arial" w:hAnsi="Arial" w:cs="Arial"/>
                <w:sz w:val="16"/>
                <w:szCs w:val="16"/>
              </w:rPr>
            </w:pPr>
            <w:r w:rsidRPr="00673C1F">
              <w:rPr>
                <w:rFonts w:ascii="Arial" w:hAnsi="Arial" w:cs="Arial"/>
                <w:sz w:val="16"/>
                <w:szCs w:val="16"/>
              </w:rPr>
              <w:t> </w:t>
            </w:r>
          </w:p>
        </w:tc>
        <w:tc>
          <w:tcPr>
            <w:tcW w:w="558" w:type="pct"/>
            <w:tcBorders>
              <w:top w:val="nil"/>
              <w:left w:val="nil"/>
              <w:bottom w:val="nil"/>
              <w:right w:val="nil"/>
            </w:tcBorders>
            <w:shd w:val="clear" w:color="000000" w:fill="FFFFFF"/>
            <w:noWrap/>
            <w:vAlign w:val="center"/>
            <w:hideMark/>
          </w:tcPr>
          <w:p w14:paraId="19EB893F"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c>
          <w:tcPr>
            <w:tcW w:w="154" w:type="pct"/>
            <w:tcBorders>
              <w:top w:val="nil"/>
              <w:left w:val="nil"/>
              <w:bottom w:val="nil"/>
              <w:right w:val="nil"/>
            </w:tcBorders>
            <w:shd w:val="clear" w:color="000000" w:fill="FFFFFF"/>
            <w:noWrap/>
            <w:vAlign w:val="center"/>
            <w:hideMark/>
          </w:tcPr>
          <w:p w14:paraId="7BFCE8FC"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c>
          <w:tcPr>
            <w:tcW w:w="502" w:type="pct"/>
            <w:tcBorders>
              <w:top w:val="nil"/>
              <w:left w:val="nil"/>
              <w:bottom w:val="nil"/>
              <w:right w:val="nil"/>
            </w:tcBorders>
            <w:shd w:val="clear" w:color="000000" w:fill="E6F2FF"/>
            <w:noWrap/>
            <w:vAlign w:val="center"/>
            <w:hideMark/>
          </w:tcPr>
          <w:p w14:paraId="30831579"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c>
          <w:tcPr>
            <w:tcW w:w="503" w:type="pct"/>
            <w:tcBorders>
              <w:top w:val="nil"/>
              <w:left w:val="nil"/>
              <w:bottom w:val="nil"/>
              <w:right w:val="nil"/>
            </w:tcBorders>
            <w:shd w:val="clear" w:color="000000" w:fill="E6F2FF"/>
            <w:noWrap/>
            <w:vAlign w:val="center"/>
            <w:hideMark/>
          </w:tcPr>
          <w:p w14:paraId="2FDB8DA9"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c>
          <w:tcPr>
            <w:tcW w:w="503" w:type="pct"/>
            <w:tcBorders>
              <w:top w:val="nil"/>
              <w:left w:val="nil"/>
              <w:bottom w:val="nil"/>
              <w:right w:val="nil"/>
            </w:tcBorders>
            <w:shd w:val="clear" w:color="000000" w:fill="E6F2FF"/>
            <w:noWrap/>
            <w:vAlign w:val="center"/>
            <w:hideMark/>
          </w:tcPr>
          <w:p w14:paraId="14D669E8"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c>
          <w:tcPr>
            <w:tcW w:w="503" w:type="pct"/>
            <w:tcBorders>
              <w:top w:val="nil"/>
              <w:left w:val="nil"/>
              <w:bottom w:val="nil"/>
              <w:right w:val="nil"/>
            </w:tcBorders>
            <w:shd w:val="clear" w:color="000000" w:fill="E6F2FF"/>
            <w:noWrap/>
            <w:vAlign w:val="center"/>
            <w:hideMark/>
          </w:tcPr>
          <w:p w14:paraId="00A9B723"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c>
          <w:tcPr>
            <w:tcW w:w="505" w:type="pct"/>
            <w:tcBorders>
              <w:top w:val="nil"/>
              <w:left w:val="nil"/>
              <w:bottom w:val="nil"/>
              <w:right w:val="nil"/>
            </w:tcBorders>
            <w:shd w:val="clear" w:color="000000" w:fill="E6F2FF"/>
            <w:noWrap/>
            <w:vAlign w:val="center"/>
            <w:hideMark/>
          </w:tcPr>
          <w:p w14:paraId="09E362A1"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r>
      <w:tr w:rsidR="00CC388C" w:rsidRPr="00BD68BD" w14:paraId="06205FC0" w14:textId="77777777" w:rsidTr="00BF0109">
        <w:trPr>
          <w:trHeight w:hRule="exact" w:val="235"/>
        </w:trPr>
        <w:tc>
          <w:tcPr>
            <w:tcW w:w="1773" w:type="pct"/>
            <w:tcBorders>
              <w:top w:val="nil"/>
              <w:left w:val="nil"/>
              <w:right w:val="nil"/>
            </w:tcBorders>
            <w:shd w:val="clear" w:color="000000" w:fill="FFFFFF"/>
            <w:noWrap/>
            <w:vAlign w:val="center"/>
            <w:hideMark/>
          </w:tcPr>
          <w:p w14:paraId="30C92E44" w14:textId="77777777" w:rsidR="00CC388C" w:rsidRPr="00673C1F" w:rsidRDefault="00CC388C" w:rsidP="00BF0109">
            <w:pPr>
              <w:spacing w:before="0" w:after="0" w:line="240" w:lineRule="auto"/>
              <w:ind w:left="170"/>
              <w:rPr>
                <w:rFonts w:ascii="Arial" w:hAnsi="Arial" w:cs="Arial"/>
                <w:sz w:val="16"/>
                <w:szCs w:val="16"/>
              </w:rPr>
            </w:pPr>
            <w:r w:rsidRPr="00673C1F">
              <w:rPr>
                <w:rFonts w:ascii="Arial" w:hAnsi="Arial" w:cs="Arial"/>
                <w:sz w:val="16"/>
                <w:szCs w:val="16"/>
              </w:rPr>
              <w:t>Consumption subject to GST</w:t>
            </w:r>
          </w:p>
        </w:tc>
        <w:tc>
          <w:tcPr>
            <w:tcW w:w="558" w:type="pct"/>
            <w:tcBorders>
              <w:top w:val="nil"/>
              <w:left w:val="nil"/>
              <w:right w:val="nil"/>
            </w:tcBorders>
            <w:shd w:val="clear" w:color="000000" w:fill="FFFFFF"/>
            <w:noWrap/>
            <w:vAlign w:val="center"/>
            <w:hideMark/>
          </w:tcPr>
          <w:p w14:paraId="3100B527"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14.4</w:t>
            </w:r>
          </w:p>
        </w:tc>
        <w:tc>
          <w:tcPr>
            <w:tcW w:w="154" w:type="pct"/>
            <w:tcBorders>
              <w:top w:val="nil"/>
              <w:left w:val="nil"/>
              <w:right w:val="nil"/>
            </w:tcBorders>
            <w:shd w:val="clear" w:color="000000" w:fill="FFFFFF"/>
            <w:noWrap/>
            <w:vAlign w:val="center"/>
            <w:hideMark/>
          </w:tcPr>
          <w:p w14:paraId="033279D4"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c>
          <w:tcPr>
            <w:tcW w:w="502" w:type="pct"/>
            <w:tcBorders>
              <w:top w:val="nil"/>
              <w:left w:val="nil"/>
              <w:right w:val="nil"/>
            </w:tcBorders>
            <w:shd w:val="clear" w:color="000000" w:fill="E6F2FF"/>
            <w:noWrap/>
            <w:vAlign w:val="center"/>
            <w:hideMark/>
          </w:tcPr>
          <w:p w14:paraId="427879A1"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xml:space="preserve">2    </w:t>
            </w:r>
          </w:p>
        </w:tc>
        <w:tc>
          <w:tcPr>
            <w:tcW w:w="503" w:type="pct"/>
            <w:tcBorders>
              <w:top w:val="nil"/>
              <w:left w:val="nil"/>
              <w:right w:val="nil"/>
            </w:tcBorders>
            <w:shd w:val="clear" w:color="000000" w:fill="E6F2FF"/>
            <w:noWrap/>
            <w:vAlign w:val="center"/>
            <w:hideMark/>
          </w:tcPr>
          <w:p w14:paraId="22DEF780"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3 3/4</w:t>
            </w:r>
          </w:p>
        </w:tc>
        <w:tc>
          <w:tcPr>
            <w:tcW w:w="503" w:type="pct"/>
            <w:tcBorders>
              <w:top w:val="nil"/>
              <w:left w:val="nil"/>
              <w:right w:val="nil"/>
            </w:tcBorders>
            <w:shd w:val="clear" w:color="000000" w:fill="E6F2FF"/>
            <w:noWrap/>
            <w:vAlign w:val="center"/>
            <w:hideMark/>
          </w:tcPr>
          <w:p w14:paraId="5EC9A418"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5 1/4</w:t>
            </w:r>
          </w:p>
        </w:tc>
        <w:tc>
          <w:tcPr>
            <w:tcW w:w="503" w:type="pct"/>
            <w:tcBorders>
              <w:top w:val="nil"/>
              <w:left w:val="nil"/>
              <w:right w:val="nil"/>
            </w:tcBorders>
            <w:shd w:val="clear" w:color="000000" w:fill="E6F2FF"/>
            <w:noWrap/>
            <w:vAlign w:val="center"/>
            <w:hideMark/>
          </w:tcPr>
          <w:p w14:paraId="78A90834"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xml:space="preserve">5    </w:t>
            </w:r>
          </w:p>
        </w:tc>
        <w:tc>
          <w:tcPr>
            <w:tcW w:w="505" w:type="pct"/>
            <w:tcBorders>
              <w:top w:val="nil"/>
              <w:left w:val="nil"/>
              <w:right w:val="nil"/>
            </w:tcBorders>
            <w:shd w:val="clear" w:color="000000" w:fill="E6F2FF"/>
            <w:noWrap/>
            <w:vAlign w:val="center"/>
            <w:hideMark/>
          </w:tcPr>
          <w:p w14:paraId="07ACAAC8"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4 3/4</w:t>
            </w:r>
          </w:p>
        </w:tc>
      </w:tr>
      <w:tr w:rsidR="00CC388C" w:rsidRPr="00BD68BD" w14:paraId="6F74EFFF" w14:textId="77777777" w:rsidTr="00BF0109">
        <w:trPr>
          <w:trHeight w:hRule="exact" w:val="235"/>
        </w:trPr>
        <w:tc>
          <w:tcPr>
            <w:tcW w:w="1773" w:type="pct"/>
            <w:tcBorders>
              <w:top w:val="nil"/>
              <w:left w:val="nil"/>
              <w:bottom w:val="single" w:sz="4" w:space="0" w:color="auto"/>
              <w:right w:val="nil"/>
            </w:tcBorders>
            <w:shd w:val="clear" w:color="000000" w:fill="FFFFFF"/>
            <w:noWrap/>
            <w:vAlign w:val="center"/>
            <w:hideMark/>
          </w:tcPr>
          <w:p w14:paraId="2305F8DB" w14:textId="52A73401" w:rsidR="00CC388C" w:rsidRPr="00673C1F" w:rsidRDefault="00CC388C" w:rsidP="00BF0109">
            <w:pPr>
              <w:spacing w:before="0" w:after="0" w:line="240" w:lineRule="auto"/>
              <w:ind w:left="340"/>
              <w:rPr>
                <w:rFonts w:ascii="Arial" w:hAnsi="Arial" w:cs="Arial"/>
                <w:sz w:val="16"/>
                <w:szCs w:val="16"/>
              </w:rPr>
            </w:pPr>
            <w:r w:rsidRPr="00673C1F">
              <w:rPr>
                <w:rFonts w:ascii="Arial" w:hAnsi="Arial" w:cs="Arial"/>
                <w:sz w:val="16"/>
                <w:szCs w:val="16"/>
              </w:rPr>
              <w:t>Change since 2023</w:t>
            </w:r>
            <w:r w:rsidR="006D727E" w:rsidRPr="00673C1F">
              <w:rPr>
                <w:rFonts w:ascii="Arial" w:hAnsi="Arial" w:cs="Arial"/>
                <w:sz w:val="16"/>
                <w:szCs w:val="16"/>
              </w:rPr>
              <w:noBreakHyphen/>
            </w:r>
            <w:r w:rsidRPr="00673C1F">
              <w:rPr>
                <w:rFonts w:ascii="Arial" w:hAnsi="Arial" w:cs="Arial"/>
                <w:sz w:val="16"/>
                <w:szCs w:val="16"/>
              </w:rPr>
              <w:t>24 MYEFO</w:t>
            </w:r>
          </w:p>
        </w:tc>
        <w:tc>
          <w:tcPr>
            <w:tcW w:w="558" w:type="pct"/>
            <w:tcBorders>
              <w:top w:val="nil"/>
              <w:left w:val="nil"/>
              <w:bottom w:val="single" w:sz="4" w:space="0" w:color="auto"/>
              <w:right w:val="nil"/>
            </w:tcBorders>
            <w:shd w:val="clear" w:color="000000" w:fill="FFFFFF"/>
            <w:noWrap/>
            <w:vAlign w:val="center"/>
            <w:hideMark/>
          </w:tcPr>
          <w:p w14:paraId="3728B490"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c>
          <w:tcPr>
            <w:tcW w:w="154" w:type="pct"/>
            <w:tcBorders>
              <w:top w:val="nil"/>
              <w:left w:val="nil"/>
              <w:bottom w:val="single" w:sz="4" w:space="0" w:color="auto"/>
              <w:right w:val="nil"/>
            </w:tcBorders>
            <w:shd w:val="clear" w:color="000000" w:fill="FFFFFF"/>
            <w:noWrap/>
            <w:vAlign w:val="center"/>
            <w:hideMark/>
          </w:tcPr>
          <w:p w14:paraId="2FA3CB56" w14:textId="77777777" w:rsidR="00CC388C" w:rsidRPr="00673C1F" w:rsidRDefault="00CC388C" w:rsidP="00CC388C">
            <w:pPr>
              <w:spacing w:before="0" w:after="0" w:line="240" w:lineRule="auto"/>
              <w:jc w:val="right"/>
              <w:rPr>
                <w:rFonts w:ascii="Arial" w:hAnsi="Arial" w:cs="Arial"/>
                <w:sz w:val="16"/>
                <w:szCs w:val="16"/>
              </w:rPr>
            </w:pPr>
            <w:r w:rsidRPr="00673C1F">
              <w:rPr>
                <w:rFonts w:ascii="Arial" w:hAnsi="Arial" w:cs="Arial"/>
                <w:sz w:val="16"/>
                <w:szCs w:val="16"/>
              </w:rPr>
              <w:t> </w:t>
            </w:r>
          </w:p>
        </w:tc>
        <w:tc>
          <w:tcPr>
            <w:tcW w:w="502" w:type="pct"/>
            <w:tcBorders>
              <w:top w:val="nil"/>
              <w:left w:val="nil"/>
              <w:bottom w:val="single" w:sz="4" w:space="0" w:color="auto"/>
              <w:right w:val="nil"/>
            </w:tcBorders>
            <w:shd w:val="clear" w:color="000000" w:fill="E6F2FF"/>
            <w:noWrap/>
            <w:vAlign w:val="center"/>
            <w:hideMark/>
          </w:tcPr>
          <w:p w14:paraId="39BC5F9C" w14:textId="7EBE98F7" w:rsidR="00CC388C" w:rsidRPr="00673C1F" w:rsidRDefault="006D727E" w:rsidP="00CC388C">
            <w:pPr>
              <w:spacing w:before="0" w:after="0" w:line="240" w:lineRule="auto"/>
              <w:jc w:val="right"/>
              <w:rPr>
                <w:rFonts w:ascii="Arial" w:hAnsi="Arial" w:cs="Arial"/>
                <w:i/>
                <w:sz w:val="16"/>
                <w:szCs w:val="16"/>
              </w:rPr>
            </w:pPr>
            <w:r w:rsidRPr="00673C1F">
              <w:rPr>
                <w:rFonts w:ascii="Arial" w:hAnsi="Arial" w:cs="Arial"/>
                <w:i/>
                <w:sz w:val="16"/>
                <w:szCs w:val="16"/>
              </w:rPr>
              <w:noBreakHyphen/>
            </w:r>
            <w:r w:rsidR="00CC388C" w:rsidRPr="00673C1F">
              <w:rPr>
                <w:rFonts w:ascii="Arial" w:hAnsi="Arial" w:cs="Arial"/>
                <w:i/>
                <w:sz w:val="16"/>
                <w:szCs w:val="16"/>
              </w:rPr>
              <w:t>1 1/2</w:t>
            </w:r>
          </w:p>
        </w:tc>
        <w:tc>
          <w:tcPr>
            <w:tcW w:w="503" w:type="pct"/>
            <w:tcBorders>
              <w:top w:val="nil"/>
              <w:left w:val="nil"/>
              <w:bottom w:val="single" w:sz="4" w:space="0" w:color="auto"/>
              <w:right w:val="nil"/>
            </w:tcBorders>
            <w:shd w:val="clear" w:color="000000" w:fill="E6F2FF"/>
            <w:noWrap/>
            <w:vAlign w:val="center"/>
            <w:hideMark/>
          </w:tcPr>
          <w:p w14:paraId="0AACB473" w14:textId="0A82D363" w:rsidR="00CC388C" w:rsidRPr="00673C1F" w:rsidRDefault="006D727E" w:rsidP="00CC388C">
            <w:pPr>
              <w:spacing w:before="0" w:after="0" w:line="240" w:lineRule="auto"/>
              <w:jc w:val="right"/>
              <w:rPr>
                <w:rFonts w:ascii="Arial" w:hAnsi="Arial" w:cs="Arial"/>
                <w:i/>
                <w:sz w:val="16"/>
                <w:szCs w:val="16"/>
              </w:rPr>
            </w:pPr>
            <w:r w:rsidRPr="00673C1F">
              <w:rPr>
                <w:rFonts w:ascii="Arial" w:hAnsi="Arial" w:cs="Arial"/>
                <w:i/>
                <w:sz w:val="16"/>
                <w:szCs w:val="16"/>
              </w:rPr>
              <w:noBreakHyphen/>
            </w:r>
            <w:r w:rsidR="00CC388C" w:rsidRPr="00673C1F">
              <w:rPr>
                <w:rFonts w:ascii="Arial" w:hAnsi="Arial" w:cs="Arial"/>
                <w:i/>
                <w:sz w:val="16"/>
                <w:szCs w:val="16"/>
              </w:rPr>
              <w:t xml:space="preserve"> 3/4</w:t>
            </w:r>
          </w:p>
        </w:tc>
        <w:tc>
          <w:tcPr>
            <w:tcW w:w="503" w:type="pct"/>
            <w:tcBorders>
              <w:top w:val="nil"/>
              <w:left w:val="nil"/>
              <w:bottom w:val="single" w:sz="4" w:space="0" w:color="auto"/>
              <w:right w:val="nil"/>
            </w:tcBorders>
            <w:shd w:val="clear" w:color="000000" w:fill="E6F2FF"/>
            <w:noWrap/>
            <w:vAlign w:val="center"/>
            <w:hideMark/>
          </w:tcPr>
          <w:p w14:paraId="1E934BEA" w14:textId="03D61A9B" w:rsidR="00CC388C" w:rsidRPr="00673C1F" w:rsidRDefault="00EA00F7" w:rsidP="00CC388C">
            <w:pPr>
              <w:spacing w:before="0" w:after="0" w:line="240" w:lineRule="auto"/>
              <w:jc w:val="right"/>
              <w:rPr>
                <w:rFonts w:ascii="Arial" w:hAnsi="Arial" w:cs="Arial"/>
                <w:i/>
                <w:sz w:val="16"/>
                <w:szCs w:val="16"/>
              </w:rPr>
            </w:pPr>
            <w:r w:rsidRPr="00673C1F">
              <w:rPr>
                <w:rFonts w:ascii="Arial" w:hAnsi="Arial" w:cs="Arial"/>
                <w:i/>
                <w:sz w:val="16"/>
                <w:szCs w:val="16"/>
              </w:rPr>
              <w:t>1/4</w:t>
            </w:r>
          </w:p>
        </w:tc>
        <w:tc>
          <w:tcPr>
            <w:tcW w:w="503" w:type="pct"/>
            <w:tcBorders>
              <w:top w:val="nil"/>
              <w:left w:val="nil"/>
              <w:bottom w:val="single" w:sz="4" w:space="0" w:color="auto"/>
              <w:right w:val="nil"/>
            </w:tcBorders>
            <w:shd w:val="clear" w:color="000000" w:fill="E6F2FF"/>
            <w:noWrap/>
            <w:vAlign w:val="center"/>
            <w:hideMark/>
          </w:tcPr>
          <w:p w14:paraId="13D402F6" w14:textId="77777777" w:rsidR="00CC388C" w:rsidRPr="00673C1F" w:rsidRDefault="00CC388C" w:rsidP="00CC388C">
            <w:pPr>
              <w:spacing w:before="0" w:after="0" w:line="240" w:lineRule="auto"/>
              <w:jc w:val="right"/>
              <w:rPr>
                <w:rFonts w:ascii="Arial" w:hAnsi="Arial" w:cs="Arial"/>
                <w:i/>
                <w:sz w:val="16"/>
                <w:szCs w:val="16"/>
              </w:rPr>
            </w:pPr>
            <w:r w:rsidRPr="00673C1F">
              <w:rPr>
                <w:rFonts w:ascii="Arial" w:hAnsi="Arial" w:cs="Arial"/>
                <w:i/>
                <w:sz w:val="16"/>
                <w:szCs w:val="16"/>
              </w:rPr>
              <w:t xml:space="preserve">0    </w:t>
            </w:r>
          </w:p>
        </w:tc>
        <w:tc>
          <w:tcPr>
            <w:tcW w:w="505" w:type="pct"/>
            <w:tcBorders>
              <w:top w:val="nil"/>
              <w:left w:val="nil"/>
              <w:bottom w:val="single" w:sz="4" w:space="0" w:color="auto"/>
              <w:right w:val="nil"/>
            </w:tcBorders>
            <w:shd w:val="clear" w:color="000000" w:fill="E6F2FF"/>
            <w:noWrap/>
            <w:vAlign w:val="center"/>
            <w:hideMark/>
          </w:tcPr>
          <w:p w14:paraId="47825EA0" w14:textId="77777777" w:rsidR="00CC388C" w:rsidRPr="00673C1F" w:rsidRDefault="00CC388C" w:rsidP="00CC388C">
            <w:pPr>
              <w:spacing w:before="0" w:after="0" w:line="240" w:lineRule="auto"/>
              <w:jc w:val="right"/>
              <w:rPr>
                <w:rFonts w:ascii="Arial" w:hAnsi="Arial" w:cs="Arial"/>
                <w:i/>
                <w:sz w:val="16"/>
                <w:szCs w:val="16"/>
              </w:rPr>
            </w:pPr>
            <w:r w:rsidRPr="00673C1F">
              <w:rPr>
                <w:rFonts w:ascii="Arial" w:hAnsi="Arial" w:cs="Arial"/>
                <w:i/>
                <w:sz w:val="16"/>
                <w:szCs w:val="16"/>
              </w:rPr>
              <w:t> </w:t>
            </w:r>
          </w:p>
        </w:tc>
      </w:tr>
    </w:tbl>
    <w:p w14:paraId="55C2C76A" w14:textId="2DF9F9C9" w:rsidR="00613482" w:rsidRPr="00673C1F" w:rsidRDefault="00613482" w:rsidP="00967AF6">
      <w:pPr>
        <w:pStyle w:val="ChartandTableFootnoteAlpha"/>
        <w:rPr>
          <w:color w:val="auto"/>
          <w:spacing w:val="-2"/>
        </w:rPr>
      </w:pPr>
      <w:r w:rsidRPr="00673C1F">
        <w:rPr>
          <w:color w:val="auto"/>
          <w:spacing w:val="-2"/>
        </w:rPr>
        <w:t>Current prices, per</w:t>
      </w:r>
      <w:r w:rsidR="002811BB" w:rsidRPr="00673C1F">
        <w:rPr>
          <w:color w:val="auto"/>
          <w:spacing w:val="-2"/>
        </w:rPr>
        <w:t> </w:t>
      </w:r>
      <w:r w:rsidRPr="00673C1F">
        <w:rPr>
          <w:color w:val="auto"/>
          <w:spacing w:val="-2"/>
        </w:rPr>
        <w:t>cent change on previous year. Changes since 2023</w:t>
      </w:r>
      <w:r w:rsidR="005C2A8E" w:rsidRPr="00673C1F">
        <w:rPr>
          <w:color w:val="auto"/>
          <w:spacing w:val="-2"/>
        </w:rPr>
        <w:t>–</w:t>
      </w:r>
      <w:r w:rsidRPr="00673C1F">
        <w:rPr>
          <w:color w:val="auto"/>
          <w:spacing w:val="-2"/>
        </w:rPr>
        <w:t>24 MYEFO are percentage points.</w:t>
      </w:r>
    </w:p>
    <w:p w14:paraId="5DF34B9B" w14:textId="26901B18" w:rsidR="00356E70" w:rsidRPr="00673C1F" w:rsidRDefault="00356E70" w:rsidP="00967AF6">
      <w:pPr>
        <w:pStyle w:val="ChartandTableFootnoteAlpha"/>
        <w:rPr>
          <w:color w:val="auto"/>
        </w:rPr>
      </w:pPr>
      <w:r w:rsidRPr="00673C1F">
        <w:rPr>
          <w:color w:val="auto"/>
        </w:rPr>
        <w:t>Compensation of employees measures total remuneration earned by employees.</w:t>
      </w:r>
    </w:p>
    <w:p w14:paraId="349CBF81" w14:textId="3AA9A3D2" w:rsidR="00356E70" w:rsidRPr="00673C1F" w:rsidRDefault="00356E70" w:rsidP="00967AF6">
      <w:pPr>
        <w:pStyle w:val="ChartandTableFootnoteAlpha"/>
        <w:rPr>
          <w:color w:val="auto"/>
        </w:rPr>
      </w:pPr>
      <w:r w:rsidRPr="00673C1F">
        <w:rPr>
          <w:color w:val="auto"/>
        </w:rPr>
        <w:t xml:space="preserve">Corporate </w:t>
      </w:r>
      <w:r w:rsidR="009D4EBB" w:rsidRPr="00673C1F">
        <w:rPr>
          <w:color w:val="auto"/>
        </w:rPr>
        <w:t>gross operating surplus</w:t>
      </w:r>
      <w:r w:rsidRPr="00673C1F">
        <w:rPr>
          <w:color w:val="auto"/>
        </w:rPr>
        <w:t xml:space="preserve"> is an Australian System of National Accounts measure of company profits, gross of depreciation.</w:t>
      </w:r>
    </w:p>
    <w:p w14:paraId="574EFAD7" w14:textId="2119EC91" w:rsidR="00356E70" w:rsidRPr="00673C1F" w:rsidRDefault="00356E70" w:rsidP="00967AF6">
      <w:pPr>
        <w:pStyle w:val="ChartandTableFootnoteAlpha"/>
        <w:rPr>
          <w:color w:val="auto"/>
        </w:rPr>
      </w:pPr>
      <w:r w:rsidRPr="00673C1F">
        <w:rPr>
          <w:color w:val="auto"/>
        </w:rPr>
        <w:t>Property income measures income derived from rent, dividends and interest.</w:t>
      </w:r>
    </w:p>
    <w:p w14:paraId="504D8680" w14:textId="69CF59A9" w:rsidR="00CE2BDA" w:rsidRPr="00673C1F" w:rsidRDefault="00BA569F" w:rsidP="00967AF6">
      <w:pPr>
        <w:pStyle w:val="ChartandTableFootnote"/>
        <w:rPr>
          <w:color w:val="auto"/>
        </w:rPr>
      </w:pPr>
      <w:r w:rsidRPr="00673C1F">
        <w:rPr>
          <w:color w:val="auto"/>
        </w:rPr>
        <w:t>Source:</w:t>
      </w:r>
      <w:r w:rsidR="0077154B" w:rsidRPr="00673C1F">
        <w:rPr>
          <w:color w:val="auto"/>
        </w:rPr>
        <w:tab/>
      </w:r>
      <w:r w:rsidRPr="00673C1F">
        <w:rPr>
          <w:color w:val="auto"/>
        </w:rPr>
        <w:t>ABS Australian National Accounts: National Income, Expenditure and Product; and Treasury.</w:t>
      </w:r>
    </w:p>
    <w:p w14:paraId="36FC45C8" w14:textId="3E6CB875" w:rsidR="00967AF6" w:rsidRPr="00673C1F" w:rsidRDefault="00967AF6" w:rsidP="00954823">
      <w:pPr>
        <w:pStyle w:val="ChartLine"/>
      </w:pPr>
    </w:p>
    <w:p w14:paraId="16AD2D74" w14:textId="36CCF448" w:rsidR="00356E70" w:rsidRPr="00673C1F" w:rsidRDefault="00356E70" w:rsidP="00356E70">
      <w:r w:rsidRPr="00673C1F">
        <w:t>Changes in the outlook for individual heads of revenue are explained in more detail below.</w:t>
      </w:r>
    </w:p>
    <w:p w14:paraId="0CB56D6C" w14:textId="77777777" w:rsidR="00356E70" w:rsidRPr="00673C1F" w:rsidRDefault="00356E70" w:rsidP="00FB4A4C">
      <w:pPr>
        <w:pStyle w:val="Heading4"/>
      </w:pPr>
      <w:r w:rsidRPr="00673C1F">
        <w:t xml:space="preserve">Individuals and other withholding taxes </w:t>
      </w:r>
    </w:p>
    <w:p w14:paraId="27337724" w14:textId="1896D007" w:rsidR="00356E70" w:rsidRPr="00673C1F" w:rsidRDefault="00356E70" w:rsidP="00341A98">
      <w:pPr>
        <w:rPr>
          <w:sz w:val="22"/>
        </w:rPr>
      </w:pPr>
      <w:r w:rsidRPr="00673C1F">
        <w:t xml:space="preserve">Since </w:t>
      </w:r>
      <w:r w:rsidR="00384EBD" w:rsidRPr="00673C1F">
        <w:t>MYEFO</w:t>
      </w:r>
      <w:r w:rsidRPr="00673C1F">
        <w:t>, total individuals and other withholding tax receipts have been revised up by $</w:t>
      </w:r>
      <w:r w:rsidR="001A211B" w:rsidRPr="00673C1F">
        <w:t>8.</w:t>
      </w:r>
      <w:r w:rsidR="00E27C14" w:rsidRPr="00673C1F">
        <w:t>0</w:t>
      </w:r>
      <w:r w:rsidR="005C2A8E" w:rsidRPr="00673C1F">
        <w:t> </w:t>
      </w:r>
      <w:r w:rsidRPr="00673C1F">
        <w:t>billion in 202</w:t>
      </w:r>
      <w:r w:rsidR="00D95374" w:rsidRPr="00673C1F">
        <w:t>4</w:t>
      </w:r>
      <w:r w:rsidRPr="00673C1F">
        <w:t>–2</w:t>
      </w:r>
      <w:r w:rsidR="00D95374" w:rsidRPr="00673C1F">
        <w:t>5</w:t>
      </w:r>
      <w:r w:rsidRPr="00673C1F">
        <w:t xml:space="preserve"> and $</w:t>
      </w:r>
      <w:r w:rsidR="0082620F" w:rsidRPr="00673C1F">
        <w:t>26.</w:t>
      </w:r>
      <w:r w:rsidR="00E27C14" w:rsidRPr="00673C1F">
        <w:t>0</w:t>
      </w:r>
      <w:r w:rsidR="005C2A8E" w:rsidRPr="00673C1F">
        <w:t> </w:t>
      </w:r>
      <w:r w:rsidRPr="00673C1F">
        <w:t xml:space="preserve">billion over the </w:t>
      </w:r>
      <w:r w:rsidR="007A22C6" w:rsidRPr="00673C1F">
        <w:t>five years</w:t>
      </w:r>
      <w:r w:rsidR="00C97D26" w:rsidRPr="00673C1F">
        <w:t xml:space="preserve"> from 2023–24 to 2027–28</w:t>
      </w:r>
      <w:r w:rsidRPr="00673C1F">
        <w:t xml:space="preserve">. </w:t>
      </w:r>
      <w:r w:rsidR="00050183" w:rsidRPr="00673C1F">
        <w:t>In</w:t>
      </w:r>
      <w:r w:rsidRPr="00673C1F">
        <w:t xml:space="preserve">dividuals and other withholding tax receipts are expected to </w:t>
      </w:r>
      <w:r w:rsidR="0082620F" w:rsidRPr="00673C1F">
        <w:t>fall</w:t>
      </w:r>
      <w:r w:rsidRPr="00673C1F">
        <w:t xml:space="preserve"> in 202</w:t>
      </w:r>
      <w:r w:rsidR="00D673BD" w:rsidRPr="00673C1F">
        <w:t>4</w:t>
      </w:r>
      <w:r w:rsidRPr="00673C1F">
        <w:t>–2</w:t>
      </w:r>
      <w:r w:rsidR="00D673BD" w:rsidRPr="00673C1F">
        <w:t>5</w:t>
      </w:r>
      <w:r w:rsidRPr="00673C1F">
        <w:t xml:space="preserve"> </w:t>
      </w:r>
      <w:r w:rsidR="00F67D9C" w:rsidRPr="00673C1F">
        <w:t xml:space="preserve">with </w:t>
      </w:r>
      <w:r w:rsidR="0076440F" w:rsidRPr="00673C1F">
        <w:t xml:space="preserve">delivery of the </w:t>
      </w:r>
      <w:r w:rsidR="00F67D9C" w:rsidRPr="00673C1F">
        <w:t>Government</w:t>
      </w:r>
      <w:r w:rsidR="006D727E" w:rsidRPr="00673C1F">
        <w:t>’</w:t>
      </w:r>
      <w:r w:rsidR="00F67D9C" w:rsidRPr="00673C1F">
        <w:t>s cost</w:t>
      </w:r>
      <w:r w:rsidR="006D727E" w:rsidRPr="00673C1F">
        <w:noBreakHyphen/>
      </w:r>
      <w:r w:rsidR="00F67D9C" w:rsidRPr="00673C1F">
        <w:t>of</w:t>
      </w:r>
      <w:r w:rsidR="006D727E" w:rsidRPr="00673C1F">
        <w:noBreakHyphen/>
      </w:r>
      <w:r w:rsidR="00F67D9C" w:rsidRPr="00673C1F">
        <w:t xml:space="preserve">living tax cut </w:t>
      </w:r>
      <w:r w:rsidR="0076440F" w:rsidRPr="00673C1F">
        <w:t xml:space="preserve">for </w:t>
      </w:r>
      <w:r w:rsidR="00F67D9C" w:rsidRPr="00673C1F">
        <w:t>every Australian taxpayer</w:t>
      </w:r>
      <w:r w:rsidRPr="00673C1F">
        <w:t>.</w:t>
      </w:r>
    </w:p>
    <w:p w14:paraId="7C6E6EAD" w14:textId="388024A7" w:rsidR="00356E70" w:rsidRPr="00673C1F" w:rsidRDefault="00356E70" w:rsidP="00341A98">
      <w:r w:rsidRPr="00673C1F">
        <w:t>Excluding new policy decisions, individuals and other withholding tax receipts have been revised up by $</w:t>
      </w:r>
      <w:r w:rsidR="004D360A" w:rsidRPr="00673C1F">
        <w:t>6.</w:t>
      </w:r>
      <w:r w:rsidR="00343360" w:rsidRPr="00673C1F">
        <w:t>7</w:t>
      </w:r>
      <w:r w:rsidRPr="00673C1F">
        <w:t> billion in 202</w:t>
      </w:r>
      <w:r w:rsidR="00D673BD" w:rsidRPr="00673C1F">
        <w:t>4</w:t>
      </w:r>
      <w:r w:rsidRPr="00673C1F">
        <w:t>–2</w:t>
      </w:r>
      <w:r w:rsidR="00D673BD" w:rsidRPr="00673C1F">
        <w:t>5</w:t>
      </w:r>
      <w:r w:rsidRPr="00673C1F">
        <w:t xml:space="preserve"> and $</w:t>
      </w:r>
      <w:r w:rsidR="004D360A" w:rsidRPr="00673C1F">
        <w:t>25.</w:t>
      </w:r>
      <w:r w:rsidR="00343360" w:rsidRPr="00673C1F">
        <w:t>1</w:t>
      </w:r>
      <w:r w:rsidRPr="00673C1F">
        <w:t xml:space="preserve"> billion </w:t>
      </w:r>
      <w:r w:rsidR="00E86A79" w:rsidRPr="00673C1F">
        <w:t>over</w:t>
      </w:r>
      <w:r w:rsidRPr="00673C1F">
        <w:t xml:space="preserve"> the </w:t>
      </w:r>
      <w:r w:rsidR="007A22C6" w:rsidRPr="00673C1F">
        <w:t>five years</w:t>
      </w:r>
      <w:r w:rsidRPr="00673C1F">
        <w:t xml:space="preserve"> from 202</w:t>
      </w:r>
      <w:r w:rsidR="00D673BD" w:rsidRPr="00673C1F">
        <w:t>3</w:t>
      </w:r>
      <w:r w:rsidRPr="00673C1F">
        <w:t>–2</w:t>
      </w:r>
      <w:r w:rsidR="00D673BD" w:rsidRPr="00673C1F">
        <w:t>4</w:t>
      </w:r>
      <w:r w:rsidRPr="00673C1F">
        <w:t xml:space="preserve"> to</w:t>
      </w:r>
      <w:r w:rsidR="00341A98" w:rsidRPr="00673C1F">
        <w:t xml:space="preserve"> </w:t>
      </w:r>
      <w:r w:rsidRPr="00673C1F">
        <w:t>202</w:t>
      </w:r>
      <w:r w:rsidR="00D673BD" w:rsidRPr="00673C1F">
        <w:t>7</w:t>
      </w:r>
      <w:r w:rsidRPr="00673C1F">
        <w:t>–2</w:t>
      </w:r>
      <w:r w:rsidR="00D673BD" w:rsidRPr="00673C1F">
        <w:t>8</w:t>
      </w:r>
      <w:r w:rsidRPr="00673C1F">
        <w:t xml:space="preserve">. </w:t>
      </w:r>
    </w:p>
    <w:p w14:paraId="3398D171" w14:textId="388975EB" w:rsidR="00356E70" w:rsidRPr="00673C1F" w:rsidRDefault="00356E70" w:rsidP="00341A98">
      <w:r w:rsidRPr="00673C1F">
        <w:t>Income tax withholding (</w:t>
      </w:r>
      <w:r w:rsidR="00920893" w:rsidRPr="00673C1F">
        <w:t xml:space="preserve">predominantly </w:t>
      </w:r>
      <w:r w:rsidRPr="00673C1F">
        <w:t>tax on salary and wages) has been revised up by $</w:t>
      </w:r>
      <w:r w:rsidR="0004251E" w:rsidRPr="00673C1F">
        <w:t>5.8</w:t>
      </w:r>
      <w:r w:rsidR="005C2A8E" w:rsidRPr="00673C1F">
        <w:t> </w:t>
      </w:r>
      <w:r w:rsidRPr="00673C1F">
        <w:t>billion in 202</w:t>
      </w:r>
      <w:r w:rsidR="002425C6" w:rsidRPr="00673C1F">
        <w:t>4</w:t>
      </w:r>
      <w:r w:rsidRPr="00673C1F">
        <w:t>–2</w:t>
      </w:r>
      <w:r w:rsidR="002425C6" w:rsidRPr="00673C1F">
        <w:t>5</w:t>
      </w:r>
      <w:r w:rsidRPr="00673C1F">
        <w:t xml:space="preserve"> and $</w:t>
      </w:r>
      <w:r w:rsidR="009A4060" w:rsidRPr="00673C1F">
        <w:t>21.6</w:t>
      </w:r>
      <w:r w:rsidR="005C2A8E" w:rsidRPr="00673C1F">
        <w:t> </w:t>
      </w:r>
      <w:r w:rsidRPr="00673C1F">
        <w:t xml:space="preserve">billion over the </w:t>
      </w:r>
      <w:r w:rsidR="007A22C6" w:rsidRPr="00673C1F">
        <w:t>five years</w:t>
      </w:r>
      <w:r w:rsidR="00C97D26" w:rsidRPr="00673C1F">
        <w:t xml:space="preserve"> from 2023–24 to 2027–28</w:t>
      </w:r>
      <w:r w:rsidRPr="00673C1F">
        <w:t xml:space="preserve"> excluding policy decisions. This reflects strength in year</w:t>
      </w:r>
      <w:r w:rsidR="006D727E" w:rsidRPr="00673C1F">
        <w:noBreakHyphen/>
      </w:r>
      <w:r w:rsidRPr="00673C1F">
        <w:t>to</w:t>
      </w:r>
      <w:r w:rsidR="006D727E" w:rsidRPr="00673C1F">
        <w:noBreakHyphen/>
      </w:r>
      <w:r w:rsidRPr="00673C1F">
        <w:t>date collections</w:t>
      </w:r>
      <w:r w:rsidR="004C478E" w:rsidRPr="00673C1F">
        <w:t>, which have been supported by stronger</w:t>
      </w:r>
      <w:r w:rsidR="006D727E" w:rsidRPr="00673C1F">
        <w:noBreakHyphen/>
      </w:r>
      <w:r w:rsidR="004C478E" w:rsidRPr="00673C1F">
        <w:t>than</w:t>
      </w:r>
      <w:r w:rsidR="006D727E" w:rsidRPr="00673C1F">
        <w:noBreakHyphen/>
      </w:r>
      <w:r w:rsidR="004C478E" w:rsidRPr="00673C1F">
        <w:t>expected employment growth</w:t>
      </w:r>
      <w:r w:rsidR="00821582" w:rsidRPr="00673C1F">
        <w:t xml:space="preserve"> and a pick</w:t>
      </w:r>
      <w:r w:rsidR="006D727E" w:rsidRPr="00673C1F">
        <w:noBreakHyphen/>
      </w:r>
      <w:r w:rsidR="00821582" w:rsidRPr="00673C1F">
        <w:t>up in wage growth</w:t>
      </w:r>
      <w:r w:rsidRPr="00673C1F">
        <w:t xml:space="preserve">. </w:t>
      </w:r>
      <w:r w:rsidR="00DA5212" w:rsidRPr="00673C1F">
        <w:t xml:space="preserve">In </w:t>
      </w:r>
      <w:r w:rsidR="00A258BA" w:rsidRPr="00673C1F">
        <w:t xml:space="preserve">annual </w:t>
      </w:r>
      <w:r w:rsidR="00DA5212" w:rsidRPr="00673C1F">
        <w:t>terms</w:t>
      </w:r>
      <w:r w:rsidR="00622EBF" w:rsidRPr="00673C1F">
        <w:t>,</w:t>
      </w:r>
      <w:r w:rsidR="00DA5212" w:rsidRPr="00673C1F">
        <w:t xml:space="preserve"> the </w:t>
      </w:r>
      <w:r w:rsidR="00AA6DE2" w:rsidRPr="00673C1F">
        <w:t>upgrade</w:t>
      </w:r>
      <w:r w:rsidR="00A258BA" w:rsidRPr="00673C1F">
        <w:t xml:space="preserve"> over the </w:t>
      </w:r>
      <w:r w:rsidRPr="00673C1F">
        <w:t>forward estimates</w:t>
      </w:r>
      <w:r w:rsidR="002A6583" w:rsidRPr="00673C1F">
        <w:t xml:space="preserve"> </w:t>
      </w:r>
      <w:r w:rsidR="00A258BA" w:rsidRPr="00673C1F">
        <w:t xml:space="preserve">peaks in </w:t>
      </w:r>
      <w:r w:rsidR="00EA74B1" w:rsidRPr="00673C1F">
        <w:t>2025</w:t>
      </w:r>
      <w:r w:rsidR="00DE421C" w:rsidRPr="00673C1F">
        <w:t>–</w:t>
      </w:r>
      <w:r w:rsidR="00EA74B1" w:rsidRPr="00673C1F">
        <w:t xml:space="preserve">26 </w:t>
      </w:r>
      <w:r w:rsidR="00920893" w:rsidRPr="00673C1F">
        <w:t>consistent with the forecast</w:t>
      </w:r>
      <w:r w:rsidR="00EA74B1" w:rsidRPr="00673C1F">
        <w:t xml:space="preserve"> </w:t>
      </w:r>
      <w:r w:rsidR="00A71112" w:rsidRPr="00673C1F">
        <w:t>moderati</w:t>
      </w:r>
      <w:r w:rsidR="00AF4A5A" w:rsidRPr="00673C1F">
        <w:t>on</w:t>
      </w:r>
      <w:r w:rsidR="005B6C31" w:rsidRPr="00673C1F">
        <w:t xml:space="preserve"> </w:t>
      </w:r>
      <w:r w:rsidR="00F95A9E" w:rsidRPr="00673C1F">
        <w:t>of</w:t>
      </w:r>
      <w:r w:rsidR="005B6C31" w:rsidRPr="00673C1F">
        <w:t xml:space="preserve"> </w:t>
      </w:r>
      <w:r w:rsidR="006F71AB" w:rsidRPr="00673C1F">
        <w:t>employment growth</w:t>
      </w:r>
      <w:r w:rsidRPr="00673C1F">
        <w:t xml:space="preserve">. </w:t>
      </w:r>
    </w:p>
    <w:p w14:paraId="54D348B6" w14:textId="49E50445" w:rsidR="003D4E14" w:rsidRPr="00673C1F" w:rsidRDefault="00356E70" w:rsidP="00341A98">
      <w:r w:rsidRPr="00673C1F">
        <w:lastRenderedPageBreak/>
        <w:t>Net other individuals</w:t>
      </w:r>
      <w:r w:rsidR="003D28E1" w:rsidRPr="00673C1F">
        <w:t xml:space="preserve"> (</w:t>
      </w:r>
      <w:r w:rsidR="00A71112" w:rsidRPr="00673C1F">
        <w:t>g</w:t>
      </w:r>
      <w:r w:rsidR="003D28E1" w:rsidRPr="00673C1F">
        <w:t xml:space="preserve">ross </w:t>
      </w:r>
      <w:r w:rsidR="00A71112" w:rsidRPr="00673C1F">
        <w:t>o</w:t>
      </w:r>
      <w:r w:rsidR="003D28E1" w:rsidRPr="00673C1F">
        <w:t xml:space="preserve">ther </w:t>
      </w:r>
      <w:r w:rsidR="00A71112" w:rsidRPr="00673C1F">
        <w:t>i</w:t>
      </w:r>
      <w:r w:rsidR="003D28E1" w:rsidRPr="00673C1F">
        <w:t xml:space="preserve">ndividuals less </w:t>
      </w:r>
      <w:r w:rsidR="00A71112" w:rsidRPr="00673C1F">
        <w:t>r</w:t>
      </w:r>
      <w:r w:rsidR="003D28E1" w:rsidRPr="00673C1F">
        <w:t>efunds)</w:t>
      </w:r>
      <w:r w:rsidRPr="00673C1F">
        <w:t xml:space="preserve"> has been revised up by $</w:t>
      </w:r>
      <w:r w:rsidR="005F055B" w:rsidRPr="00673C1F">
        <w:t>8</w:t>
      </w:r>
      <w:r w:rsidR="00E06575" w:rsidRPr="00673C1F">
        <w:t>55</w:t>
      </w:r>
      <w:r w:rsidR="00CD6041" w:rsidRPr="00673C1F">
        <w:t>.</w:t>
      </w:r>
      <w:r w:rsidR="00274E09" w:rsidRPr="00673C1F">
        <w:t>2</w:t>
      </w:r>
      <w:r w:rsidR="00341A98" w:rsidRPr="00673C1F">
        <w:t> </w:t>
      </w:r>
      <w:r w:rsidR="00E06575" w:rsidRPr="00673C1F">
        <w:t>m</w:t>
      </w:r>
      <w:r w:rsidRPr="00673C1F">
        <w:t>illion in 202</w:t>
      </w:r>
      <w:r w:rsidR="002425C6" w:rsidRPr="00673C1F">
        <w:t>4</w:t>
      </w:r>
      <w:r w:rsidRPr="00673C1F">
        <w:t>–2</w:t>
      </w:r>
      <w:r w:rsidR="002425C6" w:rsidRPr="00673C1F">
        <w:t>5</w:t>
      </w:r>
      <w:r w:rsidRPr="00673C1F">
        <w:t xml:space="preserve"> and</w:t>
      </w:r>
      <w:r w:rsidR="00E06575" w:rsidRPr="00673C1F">
        <w:t xml:space="preserve"> up</w:t>
      </w:r>
      <w:r w:rsidRPr="00673C1F">
        <w:t xml:space="preserve"> $</w:t>
      </w:r>
      <w:r w:rsidR="0031775F" w:rsidRPr="00673C1F">
        <w:t>3.</w:t>
      </w:r>
      <w:r w:rsidR="00B85C75" w:rsidRPr="00673C1F">
        <w:t>5</w:t>
      </w:r>
      <w:r w:rsidR="005C2A8E" w:rsidRPr="00673C1F">
        <w:t> </w:t>
      </w:r>
      <w:r w:rsidRPr="00673C1F">
        <w:t xml:space="preserve">billion over the </w:t>
      </w:r>
      <w:r w:rsidR="007A22C6" w:rsidRPr="00673C1F">
        <w:t>five years</w:t>
      </w:r>
      <w:r w:rsidR="00C97D26" w:rsidRPr="00673C1F">
        <w:t xml:space="preserve"> from 2023–24 to 2027–28</w:t>
      </w:r>
      <w:r w:rsidRPr="00673C1F">
        <w:t xml:space="preserve"> excluding policy decisions. </w:t>
      </w:r>
      <w:r w:rsidR="00AC64FD" w:rsidRPr="00673C1F">
        <w:t>T</w:t>
      </w:r>
      <w:r w:rsidRPr="00673C1F">
        <w:t>his</w:t>
      </w:r>
      <w:r w:rsidR="00CC728E" w:rsidRPr="00673C1F">
        <w:t xml:space="preserve"> largely</w:t>
      </w:r>
      <w:r w:rsidRPr="00673C1F">
        <w:t xml:space="preserve"> reflects </w:t>
      </w:r>
      <w:r w:rsidR="00AB4E8C" w:rsidRPr="00673C1F">
        <w:t xml:space="preserve">moderately higher than expected income on </w:t>
      </w:r>
      <w:r w:rsidR="00EB11A7" w:rsidRPr="00673C1F">
        <w:t>tax</w:t>
      </w:r>
      <w:r w:rsidR="009B5A3C" w:rsidRPr="00673C1F">
        <w:t xml:space="preserve"> returns t</w:t>
      </w:r>
      <w:r w:rsidR="00AB4E8C" w:rsidRPr="00673C1F">
        <w:t xml:space="preserve">hat </w:t>
      </w:r>
      <w:r w:rsidR="00DE3D31" w:rsidRPr="00673C1F">
        <w:t xml:space="preserve">boosts receipts </w:t>
      </w:r>
      <w:r w:rsidR="009A730A" w:rsidRPr="00673C1F">
        <w:t xml:space="preserve">in the </w:t>
      </w:r>
      <w:r w:rsidR="008304ED" w:rsidRPr="00673C1F">
        <w:t>first part</w:t>
      </w:r>
      <w:r w:rsidR="009A730A" w:rsidRPr="00673C1F">
        <w:t xml:space="preserve"> of the forward estimates</w:t>
      </w:r>
      <w:r w:rsidR="00BD6503" w:rsidRPr="00673C1F">
        <w:t xml:space="preserve">. This </w:t>
      </w:r>
      <w:r w:rsidR="00AB4E8C" w:rsidRPr="00673C1F">
        <w:t xml:space="preserve">is </w:t>
      </w:r>
      <w:r w:rsidR="004D7EE5" w:rsidRPr="00673C1F">
        <w:t xml:space="preserve">then </w:t>
      </w:r>
      <w:r w:rsidR="00AB4E8C" w:rsidRPr="00673C1F">
        <w:t xml:space="preserve">expected to unwind </w:t>
      </w:r>
      <w:r w:rsidR="00BA237F" w:rsidRPr="00673C1F">
        <w:t>from 2025–26</w:t>
      </w:r>
      <w:r w:rsidR="009F0B28" w:rsidRPr="00673C1F">
        <w:t xml:space="preserve"> </w:t>
      </w:r>
      <w:r w:rsidR="00F831FE" w:rsidRPr="00673C1F">
        <w:t>in line with a</w:t>
      </w:r>
      <w:r w:rsidR="00E435C1" w:rsidRPr="00673C1F">
        <w:t xml:space="preserve"> weaker</w:t>
      </w:r>
      <w:r w:rsidR="00C046AD" w:rsidRPr="00673C1F">
        <w:t xml:space="preserve"> </w:t>
      </w:r>
      <w:r w:rsidR="00E435C1" w:rsidRPr="00673C1F">
        <w:t xml:space="preserve">outlook for </w:t>
      </w:r>
      <w:r w:rsidR="00D90773" w:rsidRPr="00673C1F">
        <w:t>income</w:t>
      </w:r>
      <w:r w:rsidR="00C046AD" w:rsidRPr="00673C1F">
        <w:t xml:space="preserve"> flowing to individuals from unincorporated businesses and investments</w:t>
      </w:r>
      <w:r w:rsidR="00B95601" w:rsidRPr="00673C1F">
        <w:t>.</w:t>
      </w:r>
      <w:r w:rsidR="00E435C1" w:rsidRPr="00673C1F">
        <w:t xml:space="preserve"> </w:t>
      </w:r>
    </w:p>
    <w:p w14:paraId="258F36C7" w14:textId="40E3C3A5" w:rsidR="00356E70" w:rsidRPr="00673C1F" w:rsidRDefault="00356E70" w:rsidP="00341A98">
      <w:r w:rsidRPr="00673C1F">
        <w:t xml:space="preserve">New tax policy measures announced since </w:t>
      </w:r>
      <w:r w:rsidR="00384EBD" w:rsidRPr="00673C1F">
        <w:t>MYEFO</w:t>
      </w:r>
      <w:r w:rsidRPr="00673C1F">
        <w:t xml:space="preserve"> are expected to </w:t>
      </w:r>
      <w:r w:rsidR="00023C28" w:rsidRPr="00673C1F">
        <w:t>increase</w:t>
      </w:r>
      <w:r w:rsidRPr="00673C1F">
        <w:t xml:space="preserve"> individuals and other withholding tax receipts by $</w:t>
      </w:r>
      <w:r w:rsidR="00A11301" w:rsidRPr="00673C1F">
        <w:t>1.3</w:t>
      </w:r>
      <w:r w:rsidR="005C2A8E" w:rsidRPr="00673C1F">
        <w:t> </w:t>
      </w:r>
      <w:r w:rsidR="00A11301" w:rsidRPr="00673C1F">
        <w:t>b</w:t>
      </w:r>
      <w:r w:rsidRPr="00673C1F">
        <w:t>illion in 202</w:t>
      </w:r>
      <w:r w:rsidR="009E4D1E" w:rsidRPr="00673C1F">
        <w:t>4</w:t>
      </w:r>
      <w:r w:rsidRPr="00673C1F">
        <w:t>–2</w:t>
      </w:r>
      <w:r w:rsidR="009E4D1E" w:rsidRPr="00673C1F">
        <w:t>5</w:t>
      </w:r>
      <w:r w:rsidRPr="00673C1F">
        <w:t xml:space="preserve"> </w:t>
      </w:r>
      <w:r w:rsidR="00A11301" w:rsidRPr="00673C1F">
        <w:t>and</w:t>
      </w:r>
      <w:r w:rsidRPr="00673C1F">
        <w:t xml:space="preserve"> $</w:t>
      </w:r>
      <w:r w:rsidR="00A11301" w:rsidRPr="00673C1F">
        <w:t>85</w:t>
      </w:r>
      <w:r w:rsidR="00614AD5" w:rsidRPr="00673C1F">
        <w:t>7.7</w:t>
      </w:r>
      <w:r w:rsidR="00341A98" w:rsidRPr="00673C1F">
        <w:t> </w:t>
      </w:r>
      <w:r w:rsidR="00A11301" w:rsidRPr="00673C1F">
        <w:t>m</w:t>
      </w:r>
      <w:r w:rsidRPr="00673C1F">
        <w:t xml:space="preserve">illion over the </w:t>
      </w:r>
      <w:r w:rsidR="007A22C6" w:rsidRPr="00673C1F">
        <w:t>five years</w:t>
      </w:r>
      <w:r w:rsidR="00C97D26" w:rsidRPr="00673C1F">
        <w:t xml:space="preserve"> from 2023</w:t>
      </w:r>
      <w:r w:rsidR="00A11301" w:rsidRPr="00673C1F">
        <w:t>–</w:t>
      </w:r>
      <w:r w:rsidR="00C97D26" w:rsidRPr="00673C1F">
        <w:t>24 to 2027–28</w:t>
      </w:r>
      <w:r w:rsidRPr="00673C1F">
        <w:t xml:space="preserve">. </w:t>
      </w:r>
    </w:p>
    <w:p w14:paraId="43F07739" w14:textId="77777777" w:rsidR="00356E70" w:rsidRPr="00673C1F" w:rsidRDefault="00356E70" w:rsidP="00474843">
      <w:pPr>
        <w:pStyle w:val="Heading4"/>
      </w:pPr>
      <w:bookmarkStart w:id="21" w:name="_Toc512338381"/>
      <w:bookmarkStart w:id="22" w:name="_Toc67658748"/>
      <w:bookmarkStart w:id="23" w:name="_Hlk115166590"/>
      <w:r w:rsidRPr="00673C1F">
        <w:t>Fringe benefits tax</w:t>
      </w:r>
      <w:bookmarkEnd w:id="21"/>
      <w:bookmarkEnd w:id="22"/>
    </w:p>
    <w:p w14:paraId="7B1A8BD6" w14:textId="31FD45B2" w:rsidR="00356E70" w:rsidRPr="00673C1F" w:rsidRDefault="00356E70" w:rsidP="00356E70">
      <w:r w:rsidRPr="00673C1F">
        <w:t>Since</w:t>
      </w:r>
      <w:r w:rsidR="00384EBD" w:rsidRPr="00673C1F">
        <w:t xml:space="preserve"> MYEFO</w:t>
      </w:r>
      <w:r w:rsidRPr="00673C1F">
        <w:t>, fringe benefits tax receipts have been revised up by $</w:t>
      </w:r>
      <w:r w:rsidR="00320068" w:rsidRPr="00673C1F">
        <w:t>80</w:t>
      </w:r>
      <w:r w:rsidR="005954A9" w:rsidRPr="00673C1F">
        <w:t>.0</w:t>
      </w:r>
      <w:r w:rsidR="005C2A8E" w:rsidRPr="00673C1F">
        <w:rPr>
          <w:rFonts w:ascii="Times New Roman" w:hAnsi="Times New Roman"/>
        </w:rPr>
        <w:t> </w:t>
      </w:r>
      <w:r w:rsidRPr="00673C1F">
        <w:t>million in 202</w:t>
      </w:r>
      <w:r w:rsidR="00391E84" w:rsidRPr="00673C1F">
        <w:t>4</w:t>
      </w:r>
      <w:r w:rsidRPr="00673C1F">
        <w:t>–</w:t>
      </w:r>
      <w:r w:rsidR="00180A4A" w:rsidRPr="00673C1F">
        <w:t>‍</w:t>
      </w:r>
      <w:r w:rsidRPr="00673C1F">
        <w:t>2</w:t>
      </w:r>
      <w:r w:rsidR="00391E84" w:rsidRPr="00673C1F">
        <w:t>5</w:t>
      </w:r>
      <w:r w:rsidRPr="00673C1F">
        <w:rPr>
          <w:rFonts w:ascii="Times New Roman" w:hAnsi="Times New Roman"/>
        </w:rPr>
        <w:t> </w:t>
      </w:r>
      <w:r w:rsidRPr="00673C1F">
        <w:t>and $</w:t>
      </w:r>
      <w:r w:rsidR="00A45784" w:rsidRPr="00673C1F">
        <w:t>470</w:t>
      </w:r>
      <w:r w:rsidR="005954A9" w:rsidRPr="00673C1F">
        <w:t>.0</w:t>
      </w:r>
      <w:r w:rsidR="0077154B" w:rsidRPr="00673C1F">
        <w:rPr>
          <w:rFonts w:ascii="Times New Roman" w:hAnsi="Times New Roman"/>
        </w:rPr>
        <w:t> </w:t>
      </w:r>
      <w:r w:rsidRPr="00673C1F">
        <w:t xml:space="preserve">million over the </w:t>
      </w:r>
      <w:r w:rsidR="007A22C6" w:rsidRPr="00673C1F">
        <w:t>five years</w:t>
      </w:r>
      <w:r w:rsidR="00C97D26" w:rsidRPr="00673C1F">
        <w:t xml:space="preserve"> from 2023–24 to 2027–28</w:t>
      </w:r>
      <w:r w:rsidRPr="00673C1F">
        <w:t xml:space="preserve">. This reflects </w:t>
      </w:r>
      <w:r w:rsidR="00F95A9E" w:rsidRPr="00673C1F">
        <w:t>continuing strength in the labour market</w:t>
      </w:r>
      <w:r w:rsidRPr="00673C1F">
        <w:t xml:space="preserve">. </w:t>
      </w:r>
    </w:p>
    <w:p w14:paraId="20A364A1" w14:textId="3F1E43C3" w:rsidR="00356E70" w:rsidRPr="00673C1F" w:rsidRDefault="00356E70" w:rsidP="00474843">
      <w:pPr>
        <w:pStyle w:val="Heading4"/>
      </w:pPr>
      <w:bookmarkStart w:id="24" w:name="_Toc512338382"/>
      <w:bookmarkStart w:id="25" w:name="_Toc67658749"/>
      <w:bookmarkEnd w:id="23"/>
      <w:r w:rsidRPr="00673C1F">
        <w:t>Company tax</w:t>
      </w:r>
      <w:bookmarkEnd w:id="24"/>
      <w:bookmarkEnd w:id="25"/>
    </w:p>
    <w:p w14:paraId="375833E1" w14:textId="0AA73DEC" w:rsidR="00356E70" w:rsidRPr="00673C1F" w:rsidRDefault="00356E70" w:rsidP="00356E70">
      <w:r w:rsidRPr="00673C1F">
        <w:t xml:space="preserve">Since </w:t>
      </w:r>
      <w:r w:rsidR="00384EBD" w:rsidRPr="00673C1F">
        <w:t>MYEFO</w:t>
      </w:r>
      <w:r w:rsidRPr="00673C1F">
        <w:t>, company tax receipts have been revised up to be $</w:t>
      </w:r>
      <w:r w:rsidR="00B64B6A" w:rsidRPr="00673C1F">
        <w:t>5.5</w:t>
      </w:r>
      <w:r w:rsidRPr="00673C1F">
        <w:t> billion higher in 202</w:t>
      </w:r>
      <w:r w:rsidR="006E164C" w:rsidRPr="00673C1F">
        <w:t>4</w:t>
      </w:r>
      <w:r w:rsidRPr="00673C1F">
        <w:t>–</w:t>
      </w:r>
      <w:r w:rsidR="00EE088E" w:rsidRPr="00673C1F">
        <w:t>‍</w:t>
      </w:r>
      <w:r w:rsidRPr="00673C1F">
        <w:t>2</w:t>
      </w:r>
      <w:r w:rsidR="006E164C" w:rsidRPr="00673C1F">
        <w:t>5</w:t>
      </w:r>
      <w:r w:rsidRPr="00673C1F" w:rsidDel="005A0AF7">
        <w:t xml:space="preserve"> </w:t>
      </w:r>
      <w:r w:rsidRPr="00673C1F">
        <w:t>and $</w:t>
      </w:r>
      <w:r w:rsidR="00541CB7" w:rsidRPr="00673C1F">
        <w:t>26.2</w:t>
      </w:r>
      <w:r w:rsidRPr="00673C1F">
        <w:t xml:space="preserve"> billion higher over the </w:t>
      </w:r>
      <w:r w:rsidR="007A22C6" w:rsidRPr="00673C1F">
        <w:t>five years</w:t>
      </w:r>
      <w:r w:rsidR="00C97D26" w:rsidRPr="00673C1F">
        <w:t xml:space="preserve"> from 2023–24 to 2027–28</w:t>
      </w:r>
      <w:r w:rsidRPr="00673C1F">
        <w:t>.</w:t>
      </w:r>
    </w:p>
    <w:p w14:paraId="4DCB0BD7" w14:textId="085DC796" w:rsidR="00356E70" w:rsidRPr="00673C1F" w:rsidRDefault="00356E70" w:rsidP="00356E70">
      <w:r w:rsidRPr="00673C1F">
        <w:t>Excluding new policy decisions, company tax has been revised up by $</w:t>
      </w:r>
      <w:r w:rsidR="00CA4AC8" w:rsidRPr="00673C1F">
        <w:t>5.6</w:t>
      </w:r>
      <w:r w:rsidR="0077154B" w:rsidRPr="00673C1F">
        <w:t> </w:t>
      </w:r>
      <w:r w:rsidRPr="00673C1F">
        <w:t>billion in</w:t>
      </w:r>
      <w:r w:rsidR="00445111" w:rsidRPr="00673C1F">
        <w:t xml:space="preserve"> </w:t>
      </w:r>
      <w:r w:rsidR="00445111" w:rsidRPr="00673C1F">
        <w:br/>
      </w:r>
      <w:r w:rsidRPr="00673C1F">
        <w:t>202</w:t>
      </w:r>
      <w:r w:rsidR="003E3C17" w:rsidRPr="00673C1F">
        <w:t>4</w:t>
      </w:r>
      <w:r w:rsidRPr="00673C1F">
        <w:t>–2</w:t>
      </w:r>
      <w:r w:rsidR="003E3C17" w:rsidRPr="00673C1F">
        <w:t>5</w:t>
      </w:r>
      <w:r w:rsidRPr="00673C1F">
        <w:t xml:space="preserve"> and $</w:t>
      </w:r>
      <w:r w:rsidR="00FD23DA" w:rsidRPr="00673C1F">
        <w:t>23.8</w:t>
      </w:r>
      <w:r w:rsidR="0077154B" w:rsidRPr="00673C1F">
        <w:t> </w:t>
      </w:r>
      <w:r w:rsidRPr="00673C1F">
        <w:t xml:space="preserve">billion over the </w:t>
      </w:r>
      <w:r w:rsidR="007A22C6" w:rsidRPr="00673C1F">
        <w:t>five years</w:t>
      </w:r>
      <w:r w:rsidR="00C97D26" w:rsidRPr="00673C1F">
        <w:t xml:space="preserve"> from 2023–24 to 2027–28</w:t>
      </w:r>
      <w:r w:rsidRPr="00673C1F">
        <w:t xml:space="preserve">. </w:t>
      </w:r>
    </w:p>
    <w:p w14:paraId="5B19CBAA" w14:textId="75924E7A" w:rsidR="00356E70" w:rsidRPr="00673C1F" w:rsidRDefault="00356E70" w:rsidP="00356E70">
      <w:r w:rsidRPr="00673C1F">
        <w:t xml:space="preserve">The </w:t>
      </w:r>
      <w:r w:rsidR="00483C59" w:rsidRPr="00673C1F">
        <w:t>upgra</w:t>
      </w:r>
      <w:r w:rsidR="0075315C" w:rsidRPr="00673C1F">
        <w:t>de</w:t>
      </w:r>
      <w:r w:rsidRPr="00673C1F">
        <w:t xml:space="preserve"> across the forward estimates reflects </w:t>
      </w:r>
      <w:r w:rsidR="005E4BB3" w:rsidRPr="00673C1F">
        <w:t>strong corporate profits</w:t>
      </w:r>
      <w:r w:rsidR="00977C58" w:rsidRPr="00673C1F">
        <w:t xml:space="preserve"> flowing through to </w:t>
      </w:r>
      <w:r w:rsidR="00EC606E" w:rsidRPr="00673C1F">
        <w:t>higher</w:t>
      </w:r>
      <w:r w:rsidR="00877E0A" w:rsidRPr="00673C1F">
        <w:t xml:space="preserve"> pay</w:t>
      </w:r>
      <w:r w:rsidR="006D727E" w:rsidRPr="00673C1F">
        <w:noBreakHyphen/>
      </w:r>
      <w:r w:rsidR="00877E0A" w:rsidRPr="00673C1F">
        <w:t>as</w:t>
      </w:r>
      <w:r w:rsidR="006D727E" w:rsidRPr="00673C1F">
        <w:noBreakHyphen/>
      </w:r>
      <w:r w:rsidR="00877E0A" w:rsidRPr="00673C1F">
        <w:t>you</w:t>
      </w:r>
      <w:r w:rsidR="006D727E" w:rsidRPr="00673C1F">
        <w:noBreakHyphen/>
      </w:r>
      <w:r w:rsidR="00877E0A" w:rsidRPr="00673C1F">
        <w:t>go</w:t>
      </w:r>
      <w:r w:rsidR="00BA26A6" w:rsidRPr="00673C1F">
        <w:t xml:space="preserve"> </w:t>
      </w:r>
      <w:r w:rsidRPr="00673C1F">
        <w:t xml:space="preserve">instalments. </w:t>
      </w:r>
      <w:r w:rsidR="001B1640" w:rsidRPr="00673C1F">
        <w:t>M</w:t>
      </w:r>
      <w:r w:rsidR="0057167C" w:rsidRPr="00673C1F">
        <w:t xml:space="preserve">ining </w:t>
      </w:r>
      <w:r w:rsidR="00E9352A" w:rsidRPr="00673C1F">
        <w:t xml:space="preserve">company profits </w:t>
      </w:r>
      <w:r w:rsidR="005B748C" w:rsidRPr="00673C1F">
        <w:t>are</w:t>
      </w:r>
      <w:r w:rsidR="00E9352A" w:rsidRPr="00673C1F">
        <w:t xml:space="preserve"> </w:t>
      </w:r>
      <w:r w:rsidR="00EA3574" w:rsidRPr="00673C1F">
        <w:t>relatively unchanged</w:t>
      </w:r>
      <w:r w:rsidR="00E9352A" w:rsidRPr="00673C1F">
        <w:t xml:space="preserve"> </w:t>
      </w:r>
      <w:r w:rsidR="00692354" w:rsidRPr="00673C1F">
        <w:t xml:space="preserve">in aggregate </w:t>
      </w:r>
      <w:r w:rsidR="00E9352A" w:rsidRPr="00673C1F">
        <w:t>over the forward estimates</w:t>
      </w:r>
      <w:r w:rsidR="00AF0504" w:rsidRPr="00673C1F">
        <w:t>,</w:t>
      </w:r>
      <w:r w:rsidR="00EA3574" w:rsidRPr="00673C1F">
        <w:t xml:space="preserve"> </w:t>
      </w:r>
      <w:r w:rsidR="001C7FDB" w:rsidRPr="00673C1F">
        <w:t xml:space="preserve">with </w:t>
      </w:r>
      <w:r w:rsidR="008C34C8" w:rsidRPr="00673C1F">
        <w:t>higher commodity prices in the near</w:t>
      </w:r>
      <w:r w:rsidRPr="00673C1F">
        <w:t xml:space="preserve"> term </w:t>
      </w:r>
      <w:r w:rsidR="007F047D" w:rsidRPr="00673C1F">
        <w:t>offset</w:t>
      </w:r>
      <w:r w:rsidRPr="00673C1F">
        <w:t xml:space="preserve"> by </w:t>
      </w:r>
      <w:r w:rsidR="001C7FDB" w:rsidRPr="00673C1F">
        <w:t xml:space="preserve">lower </w:t>
      </w:r>
      <w:r w:rsidR="00A75220" w:rsidRPr="00673C1F">
        <w:t xml:space="preserve">export </w:t>
      </w:r>
      <w:r w:rsidR="001C7FDB" w:rsidRPr="00673C1F">
        <w:t>volume</w:t>
      </w:r>
      <w:r w:rsidR="00D47AB2" w:rsidRPr="00673C1F">
        <w:t>s</w:t>
      </w:r>
      <w:r w:rsidR="003220AE" w:rsidRPr="00673C1F">
        <w:t xml:space="preserve"> in all years</w:t>
      </w:r>
      <w:r w:rsidR="003C4650" w:rsidRPr="00673C1F">
        <w:t>.</w:t>
      </w:r>
      <w:r w:rsidR="00540F1B" w:rsidRPr="00673C1F">
        <w:t xml:space="preserve"> Despite </w:t>
      </w:r>
      <w:r w:rsidR="00D5183E" w:rsidRPr="00673C1F">
        <w:t>t</w:t>
      </w:r>
      <w:r w:rsidR="00540F1B" w:rsidRPr="00673C1F">
        <w:t xml:space="preserve">his, </w:t>
      </w:r>
      <w:r w:rsidRPr="00673C1F">
        <w:t>the resources sector</w:t>
      </w:r>
      <w:r w:rsidR="007A6B77" w:rsidRPr="00673C1F">
        <w:t xml:space="preserve"> </w:t>
      </w:r>
      <w:r w:rsidR="00AC5B0D" w:rsidRPr="00673C1F">
        <w:t>contributes to</w:t>
      </w:r>
      <w:r w:rsidR="002F278D" w:rsidRPr="00673C1F">
        <w:t xml:space="preserve"> the company tax </w:t>
      </w:r>
      <w:r w:rsidR="00FB738D" w:rsidRPr="00673C1F">
        <w:t xml:space="preserve">upgrade </w:t>
      </w:r>
      <w:r w:rsidR="006C7D99" w:rsidRPr="00673C1F">
        <w:t>due to</w:t>
      </w:r>
      <w:r w:rsidR="00523B0B" w:rsidRPr="00673C1F">
        <w:t xml:space="preserve"> </w:t>
      </w:r>
      <w:r w:rsidR="00BF1979" w:rsidRPr="00673C1F">
        <w:t>large</w:t>
      </w:r>
      <w:r w:rsidRPr="00673C1F">
        <w:t xml:space="preserve"> </w:t>
      </w:r>
      <w:r w:rsidR="00976642" w:rsidRPr="00673C1F">
        <w:t xml:space="preserve">companies moving </w:t>
      </w:r>
      <w:r w:rsidR="00EC12F4" w:rsidRPr="00673C1F">
        <w:t>to a tax paying position after exhausting</w:t>
      </w:r>
      <w:r w:rsidR="000407C6" w:rsidRPr="00673C1F">
        <w:t xml:space="preserve"> </w:t>
      </w:r>
      <w:r w:rsidR="00242AA5" w:rsidRPr="00673C1F">
        <w:t xml:space="preserve">prior year losses </w:t>
      </w:r>
      <w:r w:rsidR="00777F82" w:rsidRPr="00673C1F">
        <w:t>(</w:t>
      </w:r>
      <w:r w:rsidR="00A322A6" w:rsidRPr="00673C1F">
        <w:t xml:space="preserve">see </w:t>
      </w:r>
      <w:r w:rsidR="00666942" w:rsidRPr="00673C1F">
        <w:t>Box</w:t>
      </w:r>
      <w:r w:rsidR="003D1755" w:rsidRPr="00673C1F">
        <w:t> </w:t>
      </w:r>
      <w:r w:rsidR="00A322A6" w:rsidRPr="00673C1F">
        <w:t>5.2).</w:t>
      </w:r>
      <w:r w:rsidRPr="00673C1F">
        <w:t xml:space="preserve"> </w:t>
      </w:r>
      <w:r w:rsidR="00613589" w:rsidRPr="00673C1F">
        <w:t xml:space="preserve">Strength in company </w:t>
      </w:r>
      <w:r w:rsidR="009166EE" w:rsidRPr="00673C1F">
        <w:t xml:space="preserve">tax receipts in later years of the forward estimates is </w:t>
      </w:r>
      <w:r w:rsidR="00613B29" w:rsidRPr="00673C1F">
        <w:t xml:space="preserve">also </w:t>
      </w:r>
      <w:r w:rsidR="009166EE" w:rsidRPr="00673C1F">
        <w:t xml:space="preserve">supported by </w:t>
      </w:r>
      <w:r w:rsidR="0002264D" w:rsidRPr="00673C1F">
        <w:t>an</w:t>
      </w:r>
      <w:r w:rsidRPr="00673C1F">
        <w:t xml:space="preserve"> improved outlook </w:t>
      </w:r>
      <w:r w:rsidR="00613B29" w:rsidRPr="00673C1F">
        <w:t>for</w:t>
      </w:r>
      <w:r w:rsidRPr="00673C1F">
        <w:t xml:space="preserve"> the non</w:t>
      </w:r>
      <w:r w:rsidR="006D727E" w:rsidRPr="00673C1F">
        <w:noBreakHyphen/>
      </w:r>
      <w:r w:rsidRPr="00673C1F">
        <w:t>mining sector.</w:t>
      </w:r>
    </w:p>
    <w:p w14:paraId="07A71407" w14:textId="392206B4" w:rsidR="00356E70" w:rsidRPr="00673C1F" w:rsidRDefault="00356E70" w:rsidP="00356E70">
      <w:r w:rsidRPr="00673C1F">
        <w:t>New tax policy measures announced since</w:t>
      </w:r>
      <w:r w:rsidR="00955761" w:rsidRPr="00673C1F">
        <w:t xml:space="preserve"> </w:t>
      </w:r>
      <w:r w:rsidR="00384EBD" w:rsidRPr="00673C1F">
        <w:t>MYEFO</w:t>
      </w:r>
      <w:r w:rsidRPr="00673C1F">
        <w:t xml:space="preserve"> are expected to decrease company tax receipts by $</w:t>
      </w:r>
      <w:r w:rsidR="003B1307" w:rsidRPr="00673C1F">
        <w:t>68.5</w:t>
      </w:r>
      <w:r w:rsidR="0077154B" w:rsidRPr="00673C1F">
        <w:t> </w:t>
      </w:r>
      <w:r w:rsidRPr="00673C1F">
        <w:t>million in 202</w:t>
      </w:r>
      <w:r w:rsidR="00614AD5" w:rsidRPr="00673C1F">
        <w:t>4</w:t>
      </w:r>
      <w:r w:rsidRPr="00673C1F">
        <w:t>–2</w:t>
      </w:r>
      <w:r w:rsidR="00614AD5" w:rsidRPr="00673C1F">
        <w:t>5</w:t>
      </w:r>
      <w:r w:rsidRPr="00673C1F">
        <w:t xml:space="preserve"> but increase company tax receipts by $</w:t>
      </w:r>
      <w:r w:rsidR="003E6956" w:rsidRPr="00673C1F">
        <w:t>2.4</w:t>
      </w:r>
      <w:r w:rsidR="00F34742" w:rsidRPr="00673C1F">
        <w:t> </w:t>
      </w:r>
      <w:r w:rsidR="003E6956" w:rsidRPr="00673C1F">
        <w:t>b</w:t>
      </w:r>
      <w:r w:rsidRPr="00673C1F">
        <w:t xml:space="preserve">illion over the </w:t>
      </w:r>
      <w:r w:rsidR="007A22C6" w:rsidRPr="00673C1F">
        <w:t>five years</w:t>
      </w:r>
      <w:r w:rsidR="00C97D26" w:rsidRPr="00673C1F">
        <w:t xml:space="preserve"> from 2023–24 to 2027–28</w:t>
      </w:r>
      <w:r w:rsidRPr="00673C1F">
        <w:t xml:space="preserve">. </w:t>
      </w:r>
    </w:p>
    <w:p w14:paraId="3FE3732C" w14:textId="78C154CE" w:rsidR="00356E70" w:rsidRPr="00673C1F" w:rsidRDefault="00356E70" w:rsidP="00B1373F">
      <w:pPr>
        <w:pStyle w:val="SingleParagraph"/>
      </w:pP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304949" w:rsidRPr="00BD68BD" w14:paraId="40B0C4BE" w14:textId="77777777" w:rsidTr="007913DD">
        <w:trPr>
          <w:cantSplit/>
        </w:trPr>
        <w:tc>
          <w:tcPr>
            <w:tcW w:w="5000" w:type="pct"/>
            <w:shd w:val="clear" w:color="auto" w:fill="E6F2FF"/>
          </w:tcPr>
          <w:p w14:paraId="710849E2" w14:textId="7EC74710" w:rsidR="00304949" w:rsidRPr="00673C1F" w:rsidRDefault="00304949" w:rsidP="00BA312F">
            <w:pPr>
              <w:pStyle w:val="BoxHeading"/>
            </w:pPr>
            <w:bookmarkStart w:id="26" w:name="_Toc67658750"/>
            <w:r w:rsidRPr="00673C1F">
              <w:lastRenderedPageBreak/>
              <w:t>Box 5.</w:t>
            </w:r>
            <w:r w:rsidR="001A0F36" w:rsidRPr="00673C1F">
              <w:t>2</w:t>
            </w:r>
            <w:r w:rsidRPr="00673C1F">
              <w:t xml:space="preserve"> </w:t>
            </w:r>
            <w:r w:rsidR="004B69E8" w:rsidRPr="00673C1F">
              <w:t>C</w:t>
            </w:r>
            <w:r w:rsidR="00FD3A9E" w:rsidRPr="00673C1F">
              <w:t>ontribution to company income tax from the oil and gas sector</w:t>
            </w:r>
          </w:p>
          <w:p w14:paraId="643615E9" w14:textId="30197B4D" w:rsidR="00166E7F" w:rsidRPr="00673C1F" w:rsidRDefault="00166E7F" w:rsidP="00341A98">
            <w:pPr>
              <w:pStyle w:val="BoxText"/>
            </w:pPr>
            <w:r w:rsidRPr="00673C1F">
              <w:t>The mining sector is a significant contributor to company income tax (company tax)</w:t>
            </w:r>
            <w:r w:rsidR="00593175" w:rsidRPr="00673C1F">
              <w:t>;</w:t>
            </w:r>
            <w:r w:rsidRPr="00673C1F">
              <w:t xml:space="preserve"> </w:t>
            </w:r>
            <w:r w:rsidR="00C31463" w:rsidRPr="00673C1F">
              <w:t xml:space="preserve">estimated </w:t>
            </w:r>
            <w:r w:rsidRPr="00673C1F">
              <w:t>to contribute two</w:t>
            </w:r>
            <w:r w:rsidR="006D727E" w:rsidRPr="00673C1F">
              <w:noBreakHyphen/>
            </w:r>
            <w:r w:rsidRPr="00673C1F">
              <w:t>fifths of company tax payable in 2022</w:t>
            </w:r>
            <w:r w:rsidR="001161BF" w:rsidRPr="00673C1F">
              <w:t>–</w:t>
            </w:r>
            <w:r w:rsidRPr="00673C1F">
              <w:t>23. Mining sector profits are closely tied to volatile commodity prices, which poses significant challenges for forecasting near</w:t>
            </w:r>
            <w:r w:rsidR="006D727E" w:rsidRPr="00673C1F">
              <w:noBreakHyphen/>
            </w:r>
            <w:r w:rsidRPr="00673C1F">
              <w:t xml:space="preserve">term company tax receipts. </w:t>
            </w:r>
            <w:r w:rsidR="003C08AA" w:rsidRPr="00673C1F">
              <w:t>After mining, t</w:t>
            </w:r>
            <w:r w:rsidR="00346383" w:rsidRPr="00673C1F">
              <w:t xml:space="preserve">he next </w:t>
            </w:r>
            <w:r w:rsidR="00672CA9" w:rsidRPr="00673C1F">
              <w:t>largest</w:t>
            </w:r>
            <w:r w:rsidR="00346383" w:rsidRPr="00673C1F">
              <w:t xml:space="preserve"> </w:t>
            </w:r>
            <w:r w:rsidR="003C08AA" w:rsidRPr="00673C1F">
              <w:t xml:space="preserve">contribution to </w:t>
            </w:r>
            <w:r w:rsidR="00672CA9" w:rsidRPr="00673C1F">
              <w:t xml:space="preserve">total </w:t>
            </w:r>
            <w:r w:rsidR="003C08AA" w:rsidRPr="00673C1F">
              <w:t xml:space="preserve">company tax </w:t>
            </w:r>
            <w:r w:rsidR="001F7AE9" w:rsidRPr="00673C1F">
              <w:t xml:space="preserve">is </w:t>
            </w:r>
            <w:r w:rsidR="003C08AA" w:rsidRPr="00673C1F">
              <w:t xml:space="preserve">from the </w:t>
            </w:r>
            <w:r w:rsidR="00672CA9" w:rsidRPr="00673C1F">
              <w:t>f</w:t>
            </w:r>
            <w:r w:rsidR="003C08AA" w:rsidRPr="00673C1F">
              <w:t>inance industry.</w:t>
            </w:r>
          </w:p>
          <w:p w14:paraId="4525885B" w14:textId="5BF14122" w:rsidR="002D5C34" w:rsidRPr="00673C1F" w:rsidRDefault="00C760F2" w:rsidP="00341A98">
            <w:pPr>
              <w:pStyle w:val="BoxText"/>
            </w:pPr>
            <w:r w:rsidRPr="00673C1F">
              <w:t>S</w:t>
            </w:r>
            <w:r w:rsidR="002D5C34" w:rsidRPr="00673C1F">
              <w:t>ustained high export prices</w:t>
            </w:r>
            <w:r w:rsidR="00157051" w:rsidRPr="00673C1F">
              <w:t>, particularly in 2022,</w:t>
            </w:r>
            <w:r w:rsidR="002D5C34" w:rsidRPr="00673C1F">
              <w:t xml:space="preserve"> </w:t>
            </w:r>
            <w:r w:rsidR="00EB6D55" w:rsidRPr="00673C1F">
              <w:t>spiked</w:t>
            </w:r>
            <w:r w:rsidR="002D5C34" w:rsidRPr="00673C1F">
              <w:t xml:space="preserve"> income</w:t>
            </w:r>
            <w:r w:rsidR="00BA2D0E" w:rsidRPr="00673C1F">
              <w:t xml:space="preserve"> for mining</w:t>
            </w:r>
            <w:r w:rsidR="002D5C34" w:rsidRPr="00673C1F">
              <w:t xml:space="preserve"> companies</w:t>
            </w:r>
            <w:r w:rsidR="00BA2D0E" w:rsidRPr="00673C1F">
              <w:t>, which led to</w:t>
            </w:r>
            <w:r w:rsidR="002D5C34" w:rsidRPr="00673C1F">
              <w:t xml:space="preserve"> several large oil and gas extraction companies </w:t>
            </w:r>
            <w:r w:rsidR="00BA2D0E" w:rsidRPr="00673C1F">
              <w:t>making</w:t>
            </w:r>
            <w:r w:rsidR="002D5C34" w:rsidRPr="00673C1F">
              <w:t xml:space="preserve"> large</w:t>
            </w:r>
            <w:r w:rsidR="00BA2D0E" w:rsidRPr="00673C1F">
              <w:t xml:space="preserve"> company</w:t>
            </w:r>
            <w:r w:rsidR="002D5C34" w:rsidRPr="00673C1F">
              <w:t xml:space="preserve"> tax payments on 1</w:t>
            </w:r>
            <w:r w:rsidR="00594D57" w:rsidRPr="00673C1F">
              <w:t> </w:t>
            </w:r>
            <w:r w:rsidR="002D5C34" w:rsidRPr="00673C1F">
              <w:t>June</w:t>
            </w:r>
            <w:r w:rsidR="00594D57" w:rsidRPr="00673C1F">
              <w:t> </w:t>
            </w:r>
            <w:r w:rsidR="002D5C34" w:rsidRPr="00673C1F">
              <w:t xml:space="preserve">2023. In many cases, these companies had never </w:t>
            </w:r>
            <w:r w:rsidR="00431406" w:rsidRPr="00673C1F">
              <w:t xml:space="preserve">previously </w:t>
            </w:r>
            <w:r w:rsidR="002D5C34" w:rsidRPr="00673C1F">
              <w:t>paid company tax, and were not expected to pay</w:t>
            </w:r>
            <w:r w:rsidR="00BD1475" w:rsidRPr="00673C1F">
              <w:t xml:space="preserve"> any tax</w:t>
            </w:r>
            <w:r w:rsidR="002D5C34" w:rsidRPr="00673C1F">
              <w:t xml:space="preserve"> in the near term.</w:t>
            </w:r>
          </w:p>
          <w:p w14:paraId="2124099D" w14:textId="760B36CF" w:rsidR="002D5C34" w:rsidRPr="00673C1F" w:rsidRDefault="002D5C34" w:rsidP="00341A98">
            <w:pPr>
              <w:pStyle w:val="BoxText"/>
            </w:pPr>
            <w:r w:rsidRPr="00673C1F">
              <w:t xml:space="preserve">Significant </w:t>
            </w:r>
            <w:r w:rsidR="00C00990" w:rsidRPr="00673C1F">
              <w:t xml:space="preserve">capital </w:t>
            </w:r>
            <w:r w:rsidRPr="00673C1F">
              <w:t xml:space="preserve">investments in liquified natural gas (LNG) projects in Australia were made between 2010 and 2019. LNG projects are </w:t>
            </w:r>
            <w:r w:rsidR="001D7F27" w:rsidRPr="00673C1F">
              <w:t xml:space="preserve">highly </w:t>
            </w:r>
            <w:r w:rsidRPr="00673C1F">
              <w:t xml:space="preserve">capital intensive due to the requirements for processing and liquefaction in addition to field and pipeline costs. As a result, LNG exporting companies accrued a significant stock of tax losses that have been carried forward to offset income in later years, which has kept </w:t>
            </w:r>
            <w:r w:rsidR="00D54CA4" w:rsidRPr="00673C1F">
              <w:t>company tax liabilities low (see Chart</w:t>
            </w:r>
            <w:r w:rsidR="000C54BA" w:rsidRPr="00673C1F">
              <w:t> </w:t>
            </w:r>
            <w:r w:rsidR="00F211DE" w:rsidRPr="00673C1F">
              <w:t>5.4</w:t>
            </w:r>
            <w:r w:rsidR="00D54CA4" w:rsidRPr="00673C1F">
              <w:t>).</w:t>
            </w:r>
            <w:r w:rsidRPr="00673C1F">
              <w:t xml:space="preserve"> </w:t>
            </w:r>
          </w:p>
          <w:p w14:paraId="2E59B186" w14:textId="41A901FE" w:rsidR="002D5C34" w:rsidRPr="00673C1F" w:rsidRDefault="002D5C34" w:rsidP="00341A98">
            <w:pPr>
              <w:pStyle w:val="BoxText"/>
              <w:rPr>
                <w:spacing w:val="-2"/>
              </w:rPr>
            </w:pPr>
            <w:r w:rsidRPr="00673C1F">
              <w:rPr>
                <w:spacing w:val="-2"/>
              </w:rPr>
              <w:t xml:space="preserve">However, the unprecedented shock to the global LNG market from the war in Ukraine caused total income for the oil and gas sector in 2022–23 to increase </w:t>
            </w:r>
            <w:r w:rsidR="00DA3C30" w:rsidRPr="00673C1F">
              <w:rPr>
                <w:spacing w:val="-2"/>
              </w:rPr>
              <w:t xml:space="preserve">by </w:t>
            </w:r>
            <w:r w:rsidRPr="00673C1F">
              <w:rPr>
                <w:spacing w:val="-2"/>
              </w:rPr>
              <w:t xml:space="preserve">67 per cent. For some large LNG exporting companies in 2022–23, elevated profits exceeded their stock of </w:t>
            </w:r>
            <w:r w:rsidR="00D54CA4" w:rsidRPr="00673C1F">
              <w:rPr>
                <w:spacing w:val="-2"/>
              </w:rPr>
              <w:t>company tax losses. These companies, who were previously expected to individually enter the tax system over several years, now had significant company</w:t>
            </w:r>
            <w:r w:rsidRPr="00673C1F">
              <w:rPr>
                <w:spacing w:val="-2"/>
              </w:rPr>
              <w:t xml:space="preserve"> tax liabilities for the 2022–23 income year (see Chart</w:t>
            </w:r>
            <w:r w:rsidR="000C54BA" w:rsidRPr="00673C1F">
              <w:rPr>
                <w:spacing w:val="-2"/>
              </w:rPr>
              <w:t> </w:t>
            </w:r>
            <w:r w:rsidR="00F211DE" w:rsidRPr="00673C1F">
              <w:rPr>
                <w:spacing w:val="-2"/>
              </w:rPr>
              <w:t>5.5</w:t>
            </w:r>
            <w:r w:rsidRPr="00673C1F">
              <w:rPr>
                <w:spacing w:val="-2"/>
              </w:rPr>
              <w:t xml:space="preserve">). </w:t>
            </w:r>
          </w:p>
          <w:tbl>
            <w:tblPr>
              <w:tblW w:w="5000" w:type="pct"/>
              <w:tblCellMar>
                <w:left w:w="0" w:type="dxa"/>
                <w:right w:w="0" w:type="dxa"/>
              </w:tblCellMar>
              <w:tblLook w:val="0000" w:firstRow="0" w:lastRow="0" w:firstColumn="0" w:lastColumn="0" w:noHBand="0" w:noVBand="0"/>
            </w:tblPr>
            <w:tblGrid>
              <w:gridCol w:w="3571"/>
              <w:gridCol w:w="3571"/>
            </w:tblGrid>
            <w:tr w:rsidR="007303F7" w:rsidRPr="00BD68BD" w14:paraId="159C5205" w14:textId="77777777" w:rsidTr="00CD5502">
              <w:trPr>
                <w:cantSplit/>
              </w:trPr>
              <w:tc>
                <w:tcPr>
                  <w:tcW w:w="5000" w:type="pct"/>
                  <w:gridSpan w:val="2"/>
                </w:tcPr>
                <w:p w14:paraId="6B040E0F" w14:textId="77777777" w:rsidR="007303F7" w:rsidRPr="00673C1F" w:rsidRDefault="007303F7" w:rsidP="00BA07CE">
                  <w:pPr>
                    <w:pStyle w:val="ChartHeading"/>
                    <w:spacing w:before="0"/>
                  </w:pPr>
                  <w:r w:rsidRPr="00673C1F">
                    <w:br w:type="page"/>
                    <w:t>Oil and gas extraction companies</w:t>
                  </w:r>
                </w:p>
              </w:tc>
            </w:tr>
            <w:tr w:rsidR="007303F7" w:rsidRPr="00BD68BD" w14:paraId="1F145A93" w14:textId="77777777" w:rsidTr="00CD5502">
              <w:trPr>
                <w:cantSplit/>
              </w:trPr>
              <w:tc>
                <w:tcPr>
                  <w:tcW w:w="2500" w:type="pct"/>
                </w:tcPr>
                <w:p w14:paraId="3941FF0F" w14:textId="73169233" w:rsidR="00CD5502" w:rsidRPr="00673C1F" w:rsidRDefault="007303F7" w:rsidP="00CD75BC">
                  <w:pPr>
                    <w:pStyle w:val="ChartHeading"/>
                    <w:spacing w:before="0" w:after="0"/>
                  </w:pPr>
                  <w:r w:rsidRPr="00673C1F">
                    <w:t xml:space="preserve">Chart </w:t>
                  </w:r>
                  <w:r w:rsidR="00F211DE" w:rsidRPr="00673C1F">
                    <w:t>5.4</w:t>
                  </w:r>
                  <w:r w:rsidRPr="00673C1F">
                    <w:t>: Total income, new investment and company tax losses</w:t>
                  </w:r>
                </w:p>
                <w:p w14:paraId="29034FBA" w14:textId="22FBB921" w:rsidR="007303F7" w:rsidRPr="00673C1F" w:rsidRDefault="00D42EF7" w:rsidP="00CD5502">
                  <w:pPr>
                    <w:pStyle w:val="ChartGraphic"/>
                  </w:pPr>
                  <w:r>
                    <w:pict w14:anchorId="78B3C0E3">
                      <v:shape id="_x0000_i1028" type="#_x0000_t75" alt="This chart shows total income, new investment and company tax losses carried forward for oil and gas extraction companies from 2006-07 to 2022-23. New investment peaks at $52.6 billion in 2016-17 and tax losses carried forward grow to $78.1 billion in 2020-21. Total income grows from $65.2 billion in 2006-07 to $123.9 billion in 2021-22, before spiking to $207.5 billion in 2022-23. There is a corresponding fall in tax losses carried forward to $47.3 billion in 2022-23." style="width:180pt;height:180pt">
                        <v:imagedata r:id="rId24" o:title=""/>
                      </v:shape>
                    </w:pict>
                  </w:r>
                </w:p>
                <w:p w14:paraId="7F16581A" w14:textId="186599EE" w:rsidR="007303F7" w:rsidRPr="00673C1F" w:rsidRDefault="007303F7" w:rsidP="007303F7">
                  <w:pPr>
                    <w:pStyle w:val="ChartandTableFootnote"/>
                    <w:rPr>
                      <w:color w:val="auto"/>
                    </w:rPr>
                  </w:pPr>
                  <w:r w:rsidRPr="00673C1F">
                    <w:rPr>
                      <w:color w:val="auto"/>
                    </w:rPr>
                    <w:t>Source:</w:t>
                  </w:r>
                  <w:r w:rsidR="0077154B" w:rsidRPr="00673C1F">
                    <w:rPr>
                      <w:color w:val="auto"/>
                    </w:rPr>
                    <w:tab/>
                  </w:r>
                  <w:r w:rsidRPr="00673C1F">
                    <w:rPr>
                      <w:color w:val="auto"/>
                    </w:rPr>
                    <w:t>Treasury analysis of ATO data</w:t>
                  </w:r>
                  <w:r w:rsidR="006B29D0" w:rsidRPr="00673C1F">
                    <w:rPr>
                      <w:color w:val="auto"/>
                    </w:rPr>
                    <w:t>.</w:t>
                  </w:r>
                </w:p>
              </w:tc>
              <w:tc>
                <w:tcPr>
                  <w:tcW w:w="2500" w:type="pct"/>
                </w:tcPr>
                <w:p w14:paraId="051D2CA4" w14:textId="75079EC0" w:rsidR="00CD5502" w:rsidRPr="00673C1F" w:rsidRDefault="007303F7" w:rsidP="00CD75BC">
                  <w:pPr>
                    <w:pStyle w:val="ChartHeading"/>
                    <w:spacing w:before="0" w:after="0"/>
                    <w:rPr>
                      <w:rFonts w:ascii="Arial Bold" w:hAnsi="Arial Bold"/>
                      <w:spacing w:val="-2"/>
                    </w:rPr>
                  </w:pPr>
                  <w:r w:rsidRPr="00673C1F">
                    <w:rPr>
                      <w:rFonts w:ascii="Arial Bold" w:hAnsi="Arial Bold"/>
                      <w:spacing w:val="-2"/>
                    </w:rPr>
                    <w:t xml:space="preserve">Chart </w:t>
                  </w:r>
                  <w:r w:rsidR="00F211DE" w:rsidRPr="00673C1F">
                    <w:rPr>
                      <w:rFonts w:ascii="Arial Bold" w:hAnsi="Arial Bold"/>
                      <w:spacing w:val="-2"/>
                    </w:rPr>
                    <w:t>5.</w:t>
                  </w:r>
                  <w:r w:rsidR="00386685" w:rsidRPr="00673C1F">
                    <w:rPr>
                      <w:rFonts w:ascii="Arial Bold" w:hAnsi="Arial Bold"/>
                      <w:spacing w:val="-2"/>
                    </w:rPr>
                    <w:t>5</w:t>
                  </w:r>
                  <w:r w:rsidRPr="00673C1F">
                    <w:rPr>
                      <w:rFonts w:ascii="Arial Bold" w:hAnsi="Arial Bold"/>
                      <w:spacing w:val="-2"/>
                    </w:rPr>
                    <w:t>: Company tax losses deducted and company tax payable</w:t>
                  </w:r>
                </w:p>
                <w:p w14:paraId="173ECCDE" w14:textId="54189663" w:rsidR="007303F7" w:rsidRPr="00673C1F" w:rsidRDefault="00D42EF7" w:rsidP="00CD5502">
                  <w:pPr>
                    <w:pStyle w:val="ChartGraphic"/>
                  </w:pPr>
                  <w:r>
                    <w:pict w14:anchorId="674EC641">
                      <v:shape id="_x0000_i1029" type="#_x0000_t75" alt="This chart shows company tax losses deducted and tax payable for oil and gas extraction companies from 2006-07 to 2022-23. Tax losses deducted remain low between 2006-07 and 2020-21, peaking at $5.8 billion in 2019-20. Tax losses deducted increase to $12.1 billion in 2021-22 and $22.0 billion in 2022-23. Similarly, tax payable remains low between 2006-07 and 2021-22, peaking at $3.3 billion in 2012-13. Tax payable increases dramatically to $11.6 billion in 2022-23." style="width:180pt;height:180pt">
                        <v:imagedata r:id="rId25" o:title=""/>
                      </v:shape>
                    </w:pict>
                  </w:r>
                </w:p>
                <w:p w14:paraId="5F461805" w14:textId="68FB1D70" w:rsidR="007303F7" w:rsidRPr="00673C1F" w:rsidRDefault="007303F7" w:rsidP="007303F7">
                  <w:pPr>
                    <w:pStyle w:val="ChartandTableFootnote"/>
                    <w:rPr>
                      <w:color w:val="auto"/>
                    </w:rPr>
                  </w:pPr>
                  <w:r w:rsidRPr="00673C1F">
                    <w:rPr>
                      <w:color w:val="auto"/>
                    </w:rPr>
                    <w:t>Source:</w:t>
                  </w:r>
                  <w:r w:rsidR="0077154B" w:rsidRPr="00673C1F">
                    <w:rPr>
                      <w:color w:val="auto"/>
                    </w:rPr>
                    <w:tab/>
                  </w:r>
                  <w:r w:rsidRPr="00673C1F">
                    <w:rPr>
                      <w:color w:val="auto"/>
                    </w:rPr>
                    <w:t>Treasury analysis of ATO data</w:t>
                  </w:r>
                  <w:r w:rsidR="006B29D0" w:rsidRPr="00673C1F">
                    <w:rPr>
                      <w:color w:val="auto"/>
                    </w:rPr>
                    <w:t>.</w:t>
                  </w:r>
                </w:p>
              </w:tc>
            </w:tr>
          </w:tbl>
          <w:p w14:paraId="62C7B310" w14:textId="77777777" w:rsidR="00502199" w:rsidRPr="00673C1F" w:rsidRDefault="00502199" w:rsidP="00954823">
            <w:pPr>
              <w:pStyle w:val="ChartLine"/>
            </w:pPr>
          </w:p>
          <w:p w14:paraId="66074A0D" w14:textId="12A86F6F" w:rsidR="00304949" w:rsidRPr="00673C1F" w:rsidRDefault="002B3216" w:rsidP="00BA312F">
            <w:pPr>
              <w:pStyle w:val="Box-continuedon"/>
              <w:spacing w:before="120" w:after="0" w:line="160" w:lineRule="exact"/>
            </w:pPr>
            <w:r w:rsidRPr="00673C1F">
              <w:t>continued on next page</w:t>
            </w:r>
          </w:p>
        </w:tc>
      </w:tr>
      <w:tr w:rsidR="00D54CA4" w:rsidRPr="00BD68BD" w14:paraId="565CEBDD" w14:textId="77777777">
        <w:trPr>
          <w:cantSplit/>
        </w:trPr>
        <w:tc>
          <w:tcPr>
            <w:tcW w:w="5000" w:type="pct"/>
            <w:shd w:val="clear" w:color="auto" w:fill="E6F2FF"/>
          </w:tcPr>
          <w:p w14:paraId="663F0F25" w14:textId="77777777" w:rsidR="00D54CA4" w:rsidRPr="00673C1F" w:rsidRDefault="00D54CA4" w:rsidP="0043393D">
            <w:pPr>
              <w:pStyle w:val="BoxHeading"/>
            </w:pPr>
            <w:bookmarkStart w:id="27" w:name="_Hlk115171063"/>
            <w:bookmarkStart w:id="28" w:name="_Toc512338385"/>
            <w:bookmarkStart w:id="29" w:name="_Toc67658752"/>
            <w:bookmarkStart w:id="30" w:name="_Hlk115172079"/>
            <w:bookmarkEnd w:id="26"/>
            <w:r w:rsidRPr="00673C1F">
              <w:lastRenderedPageBreak/>
              <w:t xml:space="preserve">Box 5.2 Contribution to company income tax from the oil and gas sector </w:t>
            </w:r>
            <w:r w:rsidRPr="00673C1F">
              <w:rPr>
                <w:rStyle w:val="BoxHeading-Continued"/>
              </w:rPr>
              <w:t>(continued)</w:t>
            </w:r>
          </w:p>
          <w:p w14:paraId="1C34F9B3" w14:textId="0D7FCC88" w:rsidR="00D54CA4" w:rsidRPr="00673C1F" w:rsidRDefault="00D54CA4" w:rsidP="000E6838">
            <w:pPr>
              <w:pStyle w:val="BoxText"/>
            </w:pPr>
            <w:r w:rsidRPr="00673C1F">
              <w:t>Based on the current price outlook, these companies are expected to continue paying company tax</w:t>
            </w:r>
            <w:r w:rsidRPr="00673C1F" w:rsidDel="009828ED">
              <w:t xml:space="preserve"> </w:t>
            </w:r>
            <w:r w:rsidR="009828ED" w:rsidRPr="00673C1F">
              <w:t xml:space="preserve">given </w:t>
            </w:r>
            <w:r w:rsidRPr="00673C1F">
              <w:t xml:space="preserve">their stock of tax losses has been exhausted, leading to </w:t>
            </w:r>
            <w:r w:rsidR="00191667" w:rsidRPr="00673C1F">
              <w:t xml:space="preserve">a </w:t>
            </w:r>
            <w:r w:rsidRPr="00673C1F">
              <w:t>sustained increase in the company tax base.</w:t>
            </w:r>
          </w:p>
          <w:p w14:paraId="1CA3E38A" w14:textId="6B009D98" w:rsidR="00D54CA4" w:rsidRPr="00673C1F" w:rsidRDefault="00BD5B51" w:rsidP="00E11678">
            <w:pPr>
              <w:pStyle w:val="BoxText"/>
            </w:pPr>
            <w:r w:rsidRPr="00673C1F">
              <w:t xml:space="preserve">Some </w:t>
            </w:r>
            <w:r w:rsidR="00F636DC" w:rsidRPr="00673C1F">
              <w:t xml:space="preserve">of these companies also operate </w:t>
            </w:r>
            <w:r w:rsidR="00091EA5" w:rsidRPr="00673C1F">
              <w:t xml:space="preserve">projects </w:t>
            </w:r>
            <w:r w:rsidR="005F3CC1" w:rsidRPr="00673C1F">
              <w:t xml:space="preserve">subject to the Petroleum Resource </w:t>
            </w:r>
            <w:r w:rsidR="0042465B" w:rsidRPr="00673C1F">
              <w:t>R</w:t>
            </w:r>
            <w:r w:rsidR="005F3CC1" w:rsidRPr="00673C1F">
              <w:t xml:space="preserve">ent </w:t>
            </w:r>
            <w:r w:rsidR="0042465B" w:rsidRPr="00673C1F">
              <w:t>T</w:t>
            </w:r>
            <w:r w:rsidR="005F3CC1" w:rsidRPr="00673C1F">
              <w:t>ax (PRRT</w:t>
            </w:r>
            <w:r w:rsidR="00A27C1C" w:rsidRPr="00673C1F">
              <w:t>)</w:t>
            </w:r>
            <w:r w:rsidR="00476C3E" w:rsidRPr="00673C1F">
              <w:t xml:space="preserve"> which</w:t>
            </w:r>
            <w:r w:rsidR="004C4D2C" w:rsidRPr="00673C1F">
              <w:t xml:space="preserve"> imposes an additional tax on</w:t>
            </w:r>
            <w:r w:rsidR="00476C3E" w:rsidRPr="00673C1F">
              <w:t xml:space="preserve"> </w:t>
            </w:r>
            <w:r w:rsidR="0016169F" w:rsidRPr="00673C1F">
              <w:t>profits f</w:t>
            </w:r>
            <w:r w:rsidR="00ED7E6D" w:rsidRPr="00673C1F">
              <w:t xml:space="preserve">rom the sale of </w:t>
            </w:r>
            <w:r w:rsidR="00864892" w:rsidRPr="00673C1F">
              <w:t xml:space="preserve">offshore </w:t>
            </w:r>
            <w:r w:rsidR="004C4D2C" w:rsidRPr="00673C1F">
              <w:t xml:space="preserve">petroleum </w:t>
            </w:r>
            <w:r w:rsidR="004C4D2C" w:rsidRPr="00E11678">
              <w:t>products</w:t>
            </w:r>
            <w:r w:rsidR="00A27C1C" w:rsidRPr="00673C1F">
              <w:t>.</w:t>
            </w:r>
            <w:r w:rsidR="00BA6328" w:rsidRPr="00673C1F">
              <w:t xml:space="preserve"> </w:t>
            </w:r>
            <w:r w:rsidR="00302E55" w:rsidRPr="00673C1F">
              <w:t xml:space="preserve">The Government has introduced to Parliament further changes to the PRRT to deliver a fairer return to the Australian community from the offshore gas sector, including a cap on the use of deductions. These changes </w:t>
            </w:r>
            <w:r w:rsidR="00B72D70" w:rsidRPr="00673C1F">
              <w:t>will ensure</w:t>
            </w:r>
            <w:r w:rsidR="00302E55" w:rsidRPr="00673C1F">
              <w:t xml:space="preserve"> the offshore LNG industry </w:t>
            </w:r>
            <w:r w:rsidR="00B72D70" w:rsidRPr="00673C1F">
              <w:t>pays</w:t>
            </w:r>
            <w:r w:rsidR="00B96877" w:rsidRPr="00673C1F">
              <w:t xml:space="preserve"> </w:t>
            </w:r>
            <w:r w:rsidR="00302E55" w:rsidRPr="00673C1F">
              <w:t xml:space="preserve">more tax, sooner, </w:t>
            </w:r>
            <w:r w:rsidR="00B72D70" w:rsidRPr="00673C1F">
              <w:t>while</w:t>
            </w:r>
            <w:r w:rsidR="00302E55" w:rsidRPr="00673C1F">
              <w:t xml:space="preserve"> </w:t>
            </w:r>
            <w:r w:rsidR="00B96877" w:rsidRPr="00673C1F">
              <w:t xml:space="preserve">providing </w:t>
            </w:r>
            <w:r w:rsidR="00302E55" w:rsidRPr="00673C1F">
              <w:t xml:space="preserve">industry and investors policy certainty to allow the sufficient supply of domestic gas, and </w:t>
            </w:r>
            <w:r w:rsidR="00B96877" w:rsidRPr="00673C1F">
              <w:t>ensuring</w:t>
            </w:r>
            <w:r w:rsidR="00302E55" w:rsidRPr="00673C1F">
              <w:t xml:space="preserve"> Australia remains a reliable international energy supplier and investment partner.</w:t>
            </w:r>
          </w:p>
        </w:tc>
      </w:tr>
    </w:tbl>
    <w:p w14:paraId="24C02DF1" w14:textId="2ABCECC9" w:rsidR="00D54CA4" w:rsidRPr="00673C1F" w:rsidRDefault="00D54CA4" w:rsidP="00B1373F">
      <w:pPr>
        <w:pStyle w:val="SingleParagraph"/>
      </w:pPr>
    </w:p>
    <w:p w14:paraId="1C25B4B9" w14:textId="34C92C95" w:rsidR="00D54CA4" w:rsidRPr="00673C1F" w:rsidRDefault="00D54CA4" w:rsidP="00474843">
      <w:pPr>
        <w:pStyle w:val="Heading4"/>
      </w:pPr>
      <w:r w:rsidRPr="00673C1F">
        <w:t>Superannuation fund taxes</w:t>
      </w:r>
    </w:p>
    <w:p w14:paraId="6D92EBA8" w14:textId="31398CA8" w:rsidR="00D54CA4" w:rsidRPr="00673C1F" w:rsidRDefault="00D54CA4" w:rsidP="00BA312F">
      <w:r w:rsidRPr="00673C1F">
        <w:t xml:space="preserve">Since </w:t>
      </w:r>
      <w:r w:rsidR="00E467C5" w:rsidRPr="00673C1F">
        <w:t>MYEFO</w:t>
      </w:r>
      <w:r w:rsidRPr="00673C1F">
        <w:t>, superannuation fund tax receipts have been revised down by $3.</w:t>
      </w:r>
      <w:r w:rsidR="000D2B55" w:rsidRPr="00673C1F">
        <w:t>4</w:t>
      </w:r>
      <w:r w:rsidRPr="00673C1F" w:rsidDel="00A44EC8">
        <w:t> </w:t>
      </w:r>
      <w:r w:rsidRPr="00673C1F">
        <w:t>billion in 202</w:t>
      </w:r>
      <w:r w:rsidR="005524B9" w:rsidRPr="00673C1F">
        <w:t>4</w:t>
      </w:r>
      <w:r w:rsidRPr="00673C1F">
        <w:t>–2</w:t>
      </w:r>
      <w:r w:rsidR="005524B9" w:rsidRPr="00673C1F">
        <w:t>5</w:t>
      </w:r>
      <w:r w:rsidRPr="00673C1F">
        <w:t xml:space="preserve"> and $</w:t>
      </w:r>
      <w:r w:rsidR="008533CE" w:rsidRPr="00673C1F">
        <w:t>12</w:t>
      </w:r>
      <w:r w:rsidRPr="00673C1F">
        <w:t>.</w:t>
      </w:r>
      <w:r w:rsidR="008533CE" w:rsidRPr="00673C1F">
        <w:t>6</w:t>
      </w:r>
      <w:r w:rsidRPr="00673C1F">
        <w:t xml:space="preserve"> billion across the </w:t>
      </w:r>
      <w:r w:rsidR="007A22C6" w:rsidRPr="00673C1F">
        <w:t>five years</w:t>
      </w:r>
      <w:r w:rsidRPr="00673C1F" w:rsidDel="00AA1DBC">
        <w:t xml:space="preserve"> </w:t>
      </w:r>
      <w:r w:rsidRPr="00673C1F">
        <w:t>from 202</w:t>
      </w:r>
      <w:r w:rsidR="005524B9" w:rsidRPr="00673C1F">
        <w:t>3</w:t>
      </w:r>
      <w:r w:rsidRPr="00673C1F">
        <w:t>–2</w:t>
      </w:r>
      <w:r w:rsidR="005524B9" w:rsidRPr="00673C1F">
        <w:t>4</w:t>
      </w:r>
      <w:r w:rsidRPr="00673C1F">
        <w:t xml:space="preserve"> </w:t>
      </w:r>
      <w:r w:rsidRPr="00673C1F" w:rsidDel="00AA1DBC">
        <w:t xml:space="preserve">to </w:t>
      </w:r>
      <w:r w:rsidRPr="00673C1F">
        <w:t>202</w:t>
      </w:r>
      <w:r w:rsidR="005524B9" w:rsidRPr="00673C1F">
        <w:t>7</w:t>
      </w:r>
      <w:r w:rsidRPr="00673C1F">
        <w:t>–2</w:t>
      </w:r>
      <w:r w:rsidR="005524B9" w:rsidRPr="00673C1F">
        <w:t>8</w:t>
      </w:r>
      <w:r w:rsidRPr="00673C1F">
        <w:t>.</w:t>
      </w:r>
      <w:r w:rsidR="00513366" w:rsidRPr="00673C1F">
        <w:t xml:space="preserve"> </w:t>
      </w:r>
      <w:r w:rsidR="00EA210F" w:rsidRPr="00673C1F">
        <w:t xml:space="preserve">Excluding new policy </w:t>
      </w:r>
      <w:r w:rsidR="00871601" w:rsidRPr="00673C1F">
        <w:t>decisions, the downgrade is $3.4</w:t>
      </w:r>
      <w:r w:rsidR="00092775" w:rsidRPr="00673C1F">
        <w:t> </w:t>
      </w:r>
      <w:r w:rsidR="00871601" w:rsidRPr="00673C1F">
        <w:t>billion in 2024–25 and $12.8 billion over the five years from 2023–24 to 2027–28.</w:t>
      </w:r>
    </w:p>
    <w:p w14:paraId="38676CB1" w14:textId="43EC0BE1" w:rsidR="00D54CA4" w:rsidRPr="00673C1F" w:rsidRDefault="00D54CA4" w:rsidP="00BA312F">
      <w:r w:rsidRPr="00673C1F">
        <w:t>Superannuation fund taxes have been revised down in 202</w:t>
      </w:r>
      <w:r w:rsidR="00266237" w:rsidRPr="00673C1F">
        <w:t>3</w:t>
      </w:r>
      <w:r w:rsidRPr="00673C1F">
        <w:t>–2</w:t>
      </w:r>
      <w:r w:rsidR="00266237" w:rsidRPr="00673C1F">
        <w:t>4</w:t>
      </w:r>
      <w:r w:rsidRPr="00673C1F">
        <w:t xml:space="preserve"> in line with weaker fund earnings and higher</w:t>
      </w:r>
      <w:r w:rsidR="006D727E" w:rsidRPr="00673C1F">
        <w:noBreakHyphen/>
      </w:r>
      <w:r w:rsidRPr="00673C1F">
        <w:t>than</w:t>
      </w:r>
      <w:r w:rsidR="006D727E" w:rsidRPr="00673C1F">
        <w:noBreakHyphen/>
      </w:r>
      <w:r w:rsidRPr="00673C1F">
        <w:t xml:space="preserve">expected refunds. </w:t>
      </w:r>
      <w:r w:rsidR="00473075" w:rsidRPr="00673C1F">
        <w:t xml:space="preserve">Weakness in </w:t>
      </w:r>
      <w:r w:rsidR="00205C17" w:rsidRPr="00673C1F">
        <w:t>tax</w:t>
      </w:r>
      <w:r w:rsidR="00DB7BD0" w:rsidRPr="00673C1F">
        <w:t xml:space="preserve"> from</w:t>
      </w:r>
      <w:r w:rsidR="00205C17" w:rsidRPr="00673C1F">
        <w:t xml:space="preserve"> </w:t>
      </w:r>
      <w:r w:rsidR="00473075" w:rsidRPr="00673C1F">
        <w:t>fund earnings is expected to persist over the forward estimates, with a</w:t>
      </w:r>
      <w:r w:rsidR="00D37BBF" w:rsidRPr="00673C1F">
        <w:t>n</w:t>
      </w:r>
      <w:r w:rsidR="00ED392C" w:rsidRPr="00673C1F">
        <w:t xml:space="preserve"> </w:t>
      </w:r>
      <w:r w:rsidR="00D37BBF" w:rsidRPr="00673C1F">
        <w:t>updated</w:t>
      </w:r>
      <w:r w:rsidR="00ED392C" w:rsidRPr="00673C1F">
        <w:t xml:space="preserve"> outlook for </w:t>
      </w:r>
      <w:r w:rsidR="000E2C4F" w:rsidRPr="00673C1F">
        <w:t>net foreign income</w:t>
      </w:r>
      <w:r w:rsidR="002D0950" w:rsidRPr="00673C1F">
        <w:t>, capital gains and foreign exchange gains and losses contributing to the downgrade</w:t>
      </w:r>
      <w:r w:rsidRPr="00673C1F">
        <w:t>.</w:t>
      </w:r>
      <w:r w:rsidR="00370A67" w:rsidRPr="00673C1F">
        <w:t xml:space="preserve"> Strength in the labour market </w:t>
      </w:r>
      <w:r w:rsidR="00AE1005" w:rsidRPr="00673C1F">
        <w:t>drives</w:t>
      </w:r>
      <w:r w:rsidR="00547320" w:rsidRPr="00673C1F">
        <w:t xml:space="preserve"> </w:t>
      </w:r>
      <w:r w:rsidR="00AE1005" w:rsidRPr="00673C1F">
        <w:t>a</w:t>
      </w:r>
      <w:r w:rsidR="00547320" w:rsidRPr="00673C1F">
        <w:t xml:space="preserve"> part</w:t>
      </w:r>
      <w:r w:rsidR="00F15F5A" w:rsidRPr="00673C1F">
        <w:t>ial</w:t>
      </w:r>
      <w:r w:rsidR="00547320" w:rsidRPr="00673C1F">
        <w:t xml:space="preserve">ly offsetting </w:t>
      </w:r>
      <w:r w:rsidR="00E15EC3" w:rsidRPr="00673C1F">
        <w:t xml:space="preserve">improvement to </w:t>
      </w:r>
      <w:r w:rsidR="00F364B4" w:rsidRPr="00673C1F">
        <w:t xml:space="preserve">superannuation </w:t>
      </w:r>
      <w:r w:rsidR="0079474D" w:rsidRPr="00673C1F">
        <w:t>contributions</w:t>
      </w:r>
      <w:r w:rsidR="00AE1005" w:rsidRPr="00673C1F">
        <w:t xml:space="preserve"> </w:t>
      </w:r>
      <w:r w:rsidR="00DF689E" w:rsidRPr="00673C1F">
        <w:t>taxes</w:t>
      </w:r>
      <w:r w:rsidR="005A6305" w:rsidRPr="00673C1F">
        <w:t>,</w:t>
      </w:r>
      <w:r w:rsidR="00DF689E" w:rsidRPr="00673C1F">
        <w:t xml:space="preserve"> </w:t>
      </w:r>
      <w:r w:rsidR="00A34E00" w:rsidRPr="00673C1F">
        <w:t xml:space="preserve">although the </w:t>
      </w:r>
      <w:r w:rsidR="00265E18" w:rsidRPr="00673C1F">
        <w:t>extent of this</w:t>
      </w:r>
      <w:r w:rsidR="007F4C94" w:rsidRPr="00673C1F">
        <w:t xml:space="preserve"> improvement</w:t>
      </w:r>
      <w:r w:rsidR="00A34E00" w:rsidRPr="00673C1F">
        <w:t xml:space="preserve"> </w:t>
      </w:r>
      <w:r w:rsidR="00AE1005" w:rsidRPr="00673C1F">
        <w:t>diminishes</w:t>
      </w:r>
      <w:r w:rsidR="009C678C" w:rsidRPr="00673C1F">
        <w:t xml:space="preserve"> </w:t>
      </w:r>
      <w:r w:rsidR="00962029" w:rsidRPr="00673C1F">
        <w:t xml:space="preserve">over the forward </w:t>
      </w:r>
      <w:r w:rsidR="009C36B3" w:rsidRPr="00673C1F">
        <w:t>estimates</w:t>
      </w:r>
      <w:r w:rsidRPr="00673C1F">
        <w:t>.</w:t>
      </w:r>
      <w:r w:rsidRPr="00673C1F" w:rsidDel="00F93772">
        <w:t xml:space="preserve"> </w:t>
      </w:r>
    </w:p>
    <w:p w14:paraId="04A78FC2" w14:textId="0CE9EBD8" w:rsidR="00D54CA4" w:rsidRPr="00673C1F" w:rsidRDefault="00D54CA4" w:rsidP="00254FB2">
      <w:r w:rsidRPr="00673C1F">
        <w:t xml:space="preserve">New tax policy measures announced since </w:t>
      </w:r>
      <w:r w:rsidR="00DA0FEE" w:rsidRPr="00673C1F">
        <w:t>MYEFO</w:t>
      </w:r>
      <w:r w:rsidRPr="00673C1F">
        <w:t xml:space="preserve"> are expected to</w:t>
      </w:r>
      <w:r w:rsidR="00FC4DF1" w:rsidRPr="00673C1F">
        <w:t xml:space="preserve"> have a</w:t>
      </w:r>
      <w:r w:rsidR="005C2A8E" w:rsidRPr="00673C1F">
        <w:t> </w:t>
      </w:r>
      <w:r w:rsidR="00FC4DF1" w:rsidRPr="00673C1F">
        <w:t xml:space="preserve">negligible increase to </w:t>
      </w:r>
      <w:r w:rsidRPr="00673C1F">
        <w:t>superannuation fund taxes receipts in 202</w:t>
      </w:r>
      <w:r w:rsidR="0008004C" w:rsidRPr="00673C1F">
        <w:t>4</w:t>
      </w:r>
      <w:r w:rsidRPr="00673C1F">
        <w:t>–2</w:t>
      </w:r>
      <w:r w:rsidR="0008004C" w:rsidRPr="00673C1F">
        <w:t>5</w:t>
      </w:r>
      <w:r w:rsidRPr="00673C1F">
        <w:t xml:space="preserve"> but increase superannuation fund taxes receipts by $</w:t>
      </w:r>
      <w:r w:rsidR="004039EE" w:rsidRPr="00673C1F">
        <w:t>177</w:t>
      </w:r>
      <w:r w:rsidR="00560440" w:rsidRPr="00673C1F">
        <w:t>.0</w:t>
      </w:r>
      <w:r w:rsidR="005C2A8E" w:rsidRPr="00673C1F">
        <w:t> </w:t>
      </w:r>
      <w:r w:rsidRPr="00673C1F">
        <w:t xml:space="preserve">million over the </w:t>
      </w:r>
      <w:r w:rsidR="007A22C6" w:rsidRPr="00673C1F">
        <w:t>five years</w:t>
      </w:r>
      <w:r w:rsidRPr="00673C1F">
        <w:t xml:space="preserve"> from 202</w:t>
      </w:r>
      <w:r w:rsidR="0062398D" w:rsidRPr="00673C1F">
        <w:t>3</w:t>
      </w:r>
      <w:r w:rsidRPr="00673C1F">
        <w:t>–2</w:t>
      </w:r>
      <w:r w:rsidR="0062398D" w:rsidRPr="00673C1F">
        <w:t>4</w:t>
      </w:r>
      <w:r w:rsidRPr="00673C1F">
        <w:t xml:space="preserve"> to 202</w:t>
      </w:r>
      <w:r w:rsidR="0062398D" w:rsidRPr="00673C1F">
        <w:t>7</w:t>
      </w:r>
      <w:r w:rsidRPr="00673C1F">
        <w:t>–2</w:t>
      </w:r>
      <w:r w:rsidR="0062398D" w:rsidRPr="00673C1F">
        <w:t>8</w:t>
      </w:r>
      <w:r w:rsidRPr="00673C1F">
        <w:t xml:space="preserve">. </w:t>
      </w:r>
    </w:p>
    <w:p w14:paraId="2B42C757" w14:textId="77777777" w:rsidR="00D54CA4" w:rsidRPr="00673C1F" w:rsidRDefault="00D54CA4" w:rsidP="00474843">
      <w:pPr>
        <w:pStyle w:val="Heading4"/>
      </w:pPr>
      <w:bookmarkStart w:id="31" w:name="_Toc67658751"/>
      <w:bookmarkStart w:id="32" w:name="_Toc512338384"/>
      <w:bookmarkEnd w:id="27"/>
      <w:r w:rsidRPr="00673C1F">
        <w:t>Petroleum resource rent tax (PRRT)</w:t>
      </w:r>
      <w:bookmarkEnd w:id="31"/>
    </w:p>
    <w:bookmarkEnd w:id="32"/>
    <w:p w14:paraId="3BE6217C" w14:textId="1ED3356B" w:rsidR="00D54CA4" w:rsidRPr="00673C1F" w:rsidRDefault="00D54CA4" w:rsidP="00D54CA4">
      <w:r w:rsidRPr="00673C1F">
        <w:t>Since</w:t>
      </w:r>
      <w:r w:rsidR="0062398D" w:rsidRPr="00673C1F">
        <w:t xml:space="preserve"> </w:t>
      </w:r>
      <w:r w:rsidR="009959B0" w:rsidRPr="00673C1F">
        <w:t>MYEFO</w:t>
      </w:r>
      <w:r w:rsidRPr="00673C1F">
        <w:t>, PRRT receipts have been revised up by $</w:t>
      </w:r>
      <w:r w:rsidR="001525DA" w:rsidRPr="00673C1F">
        <w:t>400</w:t>
      </w:r>
      <w:r w:rsidRPr="00673C1F">
        <w:t>.0</w:t>
      </w:r>
      <w:r w:rsidR="005C2A8E" w:rsidRPr="00673C1F">
        <w:t> </w:t>
      </w:r>
      <w:r w:rsidRPr="00673C1F">
        <w:t>million in 202</w:t>
      </w:r>
      <w:r w:rsidR="0062398D" w:rsidRPr="00673C1F">
        <w:t>4</w:t>
      </w:r>
      <w:r w:rsidR="00445111" w:rsidRPr="00673C1F">
        <w:t>–</w:t>
      </w:r>
      <w:r w:rsidRPr="00673C1F">
        <w:t>2</w:t>
      </w:r>
      <w:r w:rsidR="0062398D" w:rsidRPr="00673C1F">
        <w:t>5</w:t>
      </w:r>
      <w:r w:rsidRPr="00673C1F">
        <w:t xml:space="preserve"> and </w:t>
      </w:r>
      <w:r w:rsidR="00C5696D" w:rsidRPr="00673C1F">
        <w:t>revised down by</w:t>
      </w:r>
      <w:r w:rsidRPr="00673C1F">
        <w:t xml:space="preserve"> $</w:t>
      </w:r>
      <w:r w:rsidR="000955E0" w:rsidRPr="00673C1F">
        <w:t>750.0</w:t>
      </w:r>
      <w:r w:rsidRPr="00673C1F">
        <w:t> </w:t>
      </w:r>
      <w:r w:rsidR="000955E0" w:rsidRPr="00673C1F">
        <w:t xml:space="preserve">million </w:t>
      </w:r>
      <w:r w:rsidRPr="00673C1F">
        <w:t xml:space="preserve">over the </w:t>
      </w:r>
      <w:r w:rsidR="007A22C6" w:rsidRPr="00673C1F">
        <w:t>five years</w:t>
      </w:r>
      <w:r w:rsidRPr="00673C1F">
        <w:t xml:space="preserve"> from 202</w:t>
      </w:r>
      <w:r w:rsidR="0062398D" w:rsidRPr="00673C1F">
        <w:t>3</w:t>
      </w:r>
      <w:r w:rsidRPr="00673C1F">
        <w:t>–2</w:t>
      </w:r>
      <w:r w:rsidR="0062398D" w:rsidRPr="00673C1F">
        <w:t>4</w:t>
      </w:r>
      <w:r w:rsidRPr="00673C1F">
        <w:t xml:space="preserve"> to 202</w:t>
      </w:r>
      <w:r w:rsidR="0062398D" w:rsidRPr="00673C1F">
        <w:t>7</w:t>
      </w:r>
      <w:r w:rsidRPr="00673C1F">
        <w:t>–2</w:t>
      </w:r>
      <w:r w:rsidR="0062398D" w:rsidRPr="00673C1F">
        <w:t>8</w:t>
      </w:r>
      <w:r w:rsidRPr="00673C1F">
        <w:t xml:space="preserve">. </w:t>
      </w:r>
      <w:r w:rsidR="003C41F7" w:rsidRPr="00673C1F">
        <w:t>The</w:t>
      </w:r>
      <w:r w:rsidR="004D6E5A" w:rsidRPr="00673C1F">
        <w:t xml:space="preserve"> </w:t>
      </w:r>
      <w:r w:rsidR="003C41F7" w:rsidRPr="00673C1F">
        <w:t xml:space="preserve">downgrade over the forward </w:t>
      </w:r>
      <w:r w:rsidR="009F4396" w:rsidRPr="00673C1F">
        <w:t xml:space="preserve">estimates </w:t>
      </w:r>
      <w:r w:rsidR="003C41F7" w:rsidRPr="00673C1F">
        <w:t xml:space="preserve">is </w:t>
      </w:r>
      <w:r w:rsidR="00A976EB" w:rsidRPr="00673C1F">
        <w:t>driven by lower</w:t>
      </w:r>
      <w:r w:rsidRPr="00673C1F">
        <w:t xml:space="preserve"> </w:t>
      </w:r>
      <w:r w:rsidR="00EB49EC" w:rsidRPr="00673C1F">
        <w:t>oil prices than assumed at MYEFO.</w:t>
      </w:r>
      <w:r w:rsidRPr="00673C1F">
        <w:t xml:space="preserve"> </w:t>
      </w:r>
    </w:p>
    <w:p w14:paraId="5D8BA38C" w14:textId="49238C69" w:rsidR="00696BD3" w:rsidRPr="00673C1F" w:rsidRDefault="00D54CA4">
      <w:pPr>
        <w:rPr>
          <w:i/>
        </w:rPr>
      </w:pPr>
      <w:r w:rsidRPr="00673C1F">
        <w:t xml:space="preserve">The </w:t>
      </w:r>
      <w:r w:rsidR="00031A09" w:rsidRPr="00673C1F">
        <w:t>downgrade to PRRT receipts in 2023</w:t>
      </w:r>
      <w:r w:rsidR="00FB4D11" w:rsidRPr="00673C1F">
        <w:t>–</w:t>
      </w:r>
      <w:r w:rsidR="00031A09" w:rsidRPr="00673C1F">
        <w:t>24</w:t>
      </w:r>
      <w:r w:rsidR="005E085A" w:rsidRPr="00673C1F">
        <w:t xml:space="preserve">, and subsequent </w:t>
      </w:r>
      <w:r w:rsidR="009E3CF0" w:rsidRPr="00673C1F">
        <w:t>upgrade</w:t>
      </w:r>
      <w:r w:rsidR="00254380" w:rsidRPr="00673C1F">
        <w:t xml:space="preserve"> </w:t>
      </w:r>
      <w:r w:rsidR="009E3CF0" w:rsidRPr="00673C1F">
        <w:t>in 2024</w:t>
      </w:r>
      <w:r w:rsidR="00DE421C" w:rsidRPr="00673C1F">
        <w:t>–</w:t>
      </w:r>
      <w:r w:rsidR="009E3CF0" w:rsidRPr="00673C1F">
        <w:t>25</w:t>
      </w:r>
      <w:r w:rsidR="00627D85" w:rsidRPr="00673C1F">
        <w:t>,</w:t>
      </w:r>
      <w:r w:rsidR="009E3CF0" w:rsidRPr="00673C1F">
        <w:t xml:space="preserve"> </w:t>
      </w:r>
      <w:r w:rsidR="009A5B16" w:rsidRPr="00673C1F">
        <w:t>reflect</w:t>
      </w:r>
      <w:r w:rsidR="00C472FB" w:rsidRPr="00673C1F">
        <w:t>s</w:t>
      </w:r>
      <w:r w:rsidR="009A5B16" w:rsidRPr="00673C1F">
        <w:t xml:space="preserve"> the </w:t>
      </w:r>
      <w:r w:rsidR="00627D85" w:rsidRPr="00673C1F">
        <w:t>delay in</w:t>
      </w:r>
      <w:r w:rsidR="007373D4" w:rsidRPr="00673C1F">
        <w:t xml:space="preserve"> the passage of</w:t>
      </w:r>
      <w:r w:rsidR="009A5B16" w:rsidRPr="00673C1F">
        <w:t xml:space="preserve"> legislation</w:t>
      </w:r>
      <w:r w:rsidR="000A58AD" w:rsidRPr="00673C1F">
        <w:t xml:space="preserve"> </w:t>
      </w:r>
      <w:r w:rsidR="000B30F5" w:rsidRPr="00673C1F">
        <w:t>for the 2023</w:t>
      </w:r>
      <w:r w:rsidR="00DE421C" w:rsidRPr="00673C1F">
        <w:t>–</w:t>
      </w:r>
      <w:r w:rsidR="000B30F5" w:rsidRPr="00673C1F">
        <w:t xml:space="preserve">24 Budget measure </w:t>
      </w:r>
      <w:r w:rsidR="000B30F5" w:rsidRPr="00673C1F">
        <w:rPr>
          <w:rStyle w:val="Emphasis"/>
        </w:rPr>
        <w:t xml:space="preserve">Petroleum Resource Rent Tax </w:t>
      </w:r>
      <w:r w:rsidR="00333A47" w:rsidRPr="00673C1F">
        <w:rPr>
          <w:rStyle w:val="Emphasis"/>
        </w:rPr>
        <w:t>–</w:t>
      </w:r>
      <w:r w:rsidR="00D817B5" w:rsidRPr="00673C1F">
        <w:rPr>
          <w:rStyle w:val="Emphasis"/>
        </w:rPr>
        <w:t xml:space="preserve"> </w:t>
      </w:r>
      <w:r w:rsidR="000B30F5" w:rsidRPr="00673C1F">
        <w:rPr>
          <w:rStyle w:val="Emphasis"/>
        </w:rPr>
        <w:t>Government Response to the Review of the PRRT Gas Transfer Pricing arrangement</w:t>
      </w:r>
      <w:r w:rsidR="00FD6B35" w:rsidRPr="00673C1F">
        <w:rPr>
          <w:rStyle w:val="Emphasis"/>
        </w:rPr>
        <w:t>.</w:t>
      </w:r>
      <w:r w:rsidR="00FD6B35" w:rsidRPr="00673C1F">
        <w:t xml:space="preserve"> </w:t>
      </w:r>
      <w:r w:rsidR="00FD6B35" w:rsidRPr="00673C1F">
        <w:lastRenderedPageBreak/>
        <w:t>The</w:t>
      </w:r>
      <w:r w:rsidR="00C65FFD" w:rsidRPr="00673C1F">
        <w:t> </w:t>
      </w:r>
      <w:r w:rsidR="00043656" w:rsidRPr="00673C1F">
        <w:t xml:space="preserve">first </w:t>
      </w:r>
      <w:r w:rsidR="0058407C" w:rsidRPr="00673C1F">
        <w:t>tax payments</w:t>
      </w:r>
      <w:r w:rsidR="00043656" w:rsidRPr="00673C1F">
        <w:t xml:space="preserve"> from this measure </w:t>
      </w:r>
      <w:r w:rsidR="006D7C93" w:rsidRPr="00673C1F">
        <w:t>are</w:t>
      </w:r>
      <w:r w:rsidR="00733FE2" w:rsidRPr="00673C1F">
        <w:t xml:space="preserve"> </w:t>
      </w:r>
      <w:r w:rsidR="00043656" w:rsidRPr="00673C1F">
        <w:t>now expected in 2024</w:t>
      </w:r>
      <w:r w:rsidR="003D1755" w:rsidRPr="00673C1F">
        <w:t>–</w:t>
      </w:r>
      <w:r w:rsidR="00043656" w:rsidRPr="00673C1F">
        <w:t>25 rather than 2023</w:t>
      </w:r>
      <w:r w:rsidR="003D1755" w:rsidRPr="00673C1F">
        <w:t>–</w:t>
      </w:r>
      <w:r w:rsidR="00043656" w:rsidRPr="00673C1F">
        <w:t>24</w:t>
      </w:r>
      <w:r w:rsidR="00382380" w:rsidRPr="00673C1F">
        <w:t xml:space="preserve">. </w:t>
      </w:r>
      <w:r w:rsidR="00672CA9" w:rsidRPr="00673C1F">
        <w:t xml:space="preserve">This </w:t>
      </w:r>
      <w:r w:rsidR="00796F71" w:rsidRPr="00673C1F">
        <w:t xml:space="preserve">is only a </w:t>
      </w:r>
      <w:r w:rsidR="00914336" w:rsidRPr="00673C1F">
        <w:t xml:space="preserve">change in </w:t>
      </w:r>
      <w:r w:rsidR="00796F71" w:rsidRPr="00673C1F">
        <w:t>timing and</w:t>
      </w:r>
      <w:r w:rsidR="00672CA9" w:rsidRPr="00673C1F">
        <w:t xml:space="preserve"> does not </w:t>
      </w:r>
      <w:r w:rsidR="006A77DD" w:rsidRPr="00673C1F">
        <w:t>change</w:t>
      </w:r>
      <w:r w:rsidR="00672CA9" w:rsidRPr="00673C1F">
        <w:t xml:space="preserve"> the total expected receipts from this measure of $2.4 billion </w:t>
      </w:r>
      <w:r w:rsidR="0036419C" w:rsidRPr="00673C1F">
        <w:t>from 2023</w:t>
      </w:r>
      <w:r w:rsidR="003D1755" w:rsidRPr="00673C1F">
        <w:t>–</w:t>
      </w:r>
      <w:r w:rsidR="0036419C" w:rsidRPr="00673C1F">
        <w:t>24</w:t>
      </w:r>
      <w:r w:rsidR="003543D7" w:rsidRPr="00673C1F">
        <w:t xml:space="preserve"> </w:t>
      </w:r>
      <w:r w:rsidR="008925F3" w:rsidRPr="00673C1F">
        <w:t>to 2026</w:t>
      </w:r>
      <w:r w:rsidR="003D1755" w:rsidRPr="00673C1F">
        <w:t>–</w:t>
      </w:r>
      <w:r w:rsidR="008925F3" w:rsidRPr="00673C1F">
        <w:t>27</w:t>
      </w:r>
      <w:r w:rsidR="00672CA9" w:rsidRPr="00673C1F">
        <w:t>.</w:t>
      </w:r>
    </w:p>
    <w:p w14:paraId="27D5B272" w14:textId="1FC3B316" w:rsidR="00356E70" w:rsidRPr="00673C1F" w:rsidRDefault="00356E70" w:rsidP="00696BD3">
      <w:pPr>
        <w:pStyle w:val="Heading4"/>
      </w:pPr>
      <w:r w:rsidRPr="00673C1F">
        <w:t>Goods and services tax</w:t>
      </w:r>
      <w:bookmarkEnd w:id="28"/>
      <w:r w:rsidRPr="00673C1F">
        <w:t xml:space="preserve"> (GST)</w:t>
      </w:r>
      <w:bookmarkEnd w:id="29"/>
    </w:p>
    <w:p w14:paraId="4C2B9193" w14:textId="76BA9BB4" w:rsidR="00356E70" w:rsidRPr="00673C1F" w:rsidRDefault="00356E70" w:rsidP="00356E70">
      <w:r w:rsidRPr="00673C1F">
        <w:t xml:space="preserve">Since </w:t>
      </w:r>
      <w:r w:rsidR="00384EBD" w:rsidRPr="00673C1F">
        <w:t>MYEFO</w:t>
      </w:r>
      <w:r w:rsidRPr="00673C1F">
        <w:t xml:space="preserve">, GST receipts have been revised </w:t>
      </w:r>
      <w:r w:rsidR="0057081E" w:rsidRPr="00673C1F">
        <w:t xml:space="preserve">down </w:t>
      </w:r>
      <w:r w:rsidRPr="00673C1F">
        <w:t>by $</w:t>
      </w:r>
      <w:r w:rsidR="00A750DF" w:rsidRPr="00673C1F">
        <w:t>9</w:t>
      </w:r>
      <w:r w:rsidR="000D1E0C" w:rsidRPr="00673C1F">
        <w:t>19</w:t>
      </w:r>
      <w:r w:rsidR="009A12B0" w:rsidRPr="00673C1F">
        <w:t>.</w:t>
      </w:r>
      <w:r w:rsidR="000D1E0C" w:rsidRPr="00673C1F">
        <w:t>4</w:t>
      </w:r>
      <w:r w:rsidR="005C2A8E" w:rsidRPr="00673C1F">
        <w:t> </w:t>
      </w:r>
      <w:r w:rsidRPr="00673C1F">
        <w:t xml:space="preserve">million in </w:t>
      </w:r>
      <w:r w:rsidR="00341278" w:rsidRPr="00673C1F">
        <w:t>2024–</w:t>
      </w:r>
      <w:r w:rsidR="00E953D7" w:rsidRPr="00673C1F">
        <w:t>‍</w:t>
      </w:r>
      <w:r w:rsidR="00341278" w:rsidRPr="00673C1F">
        <w:t>25</w:t>
      </w:r>
      <w:r w:rsidRPr="00673C1F" w:rsidDel="00ED64B9">
        <w:t xml:space="preserve"> </w:t>
      </w:r>
      <w:r w:rsidRPr="00673C1F">
        <w:t>and $</w:t>
      </w:r>
      <w:r w:rsidR="0057081E" w:rsidRPr="00673C1F">
        <w:t>5.</w:t>
      </w:r>
      <w:r w:rsidR="00E42284" w:rsidRPr="00673C1F">
        <w:t>5</w:t>
      </w:r>
      <w:r w:rsidRPr="00673C1F">
        <w:t xml:space="preserve"> billion over the </w:t>
      </w:r>
      <w:r w:rsidR="007A22C6" w:rsidRPr="00673C1F">
        <w:t>five years</w:t>
      </w:r>
      <w:r w:rsidR="00C97D26" w:rsidRPr="00673C1F">
        <w:t xml:space="preserve"> from 2023–24 to 2027–28</w:t>
      </w:r>
      <w:r w:rsidRPr="00673C1F">
        <w:t xml:space="preserve">. </w:t>
      </w:r>
    </w:p>
    <w:p w14:paraId="3E7C818B" w14:textId="4FC82485" w:rsidR="00356E70" w:rsidRPr="00673C1F" w:rsidRDefault="00356E70" w:rsidP="00356E70">
      <w:r w:rsidRPr="00673C1F">
        <w:t>Excluding new policy decisions, GST has been revised down by $</w:t>
      </w:r>
      <w:r w:rsidR="002D1C43" w:rsidRPr="00673C1F">
        <w:t>9</w:t>
      </w:r>
      <w:r w:rsidR="000859CA" w:rsidRPr="00673C1F">
        <w:t>1</w:t>
      </w:r>
      <w:r w:rsidR="008C497C" w:rsidRPr="00673C1F">
        <w:t>4</w:t>
      </w:r>
      <w:r w:rsidR="002D1C43" w:rsidRPr="00673C1F">
        <w:t>.</w:t>
      </w:r>
      <w:r w:rsidR="008C497C" w:rsidRPr="00673C1F">
        <w:t>4</w:t>
      </w:r>
      <w:r w:rsidR="00F968E3" w:rsidRPr="00673C1F">
        <w:t> </w:t>
      </w:r>
      <w:r w:rsidRPr="00673C1F">
        <w:t xml:space="preserve">million in </w:t>
      </w:r>
      <w:r w:rsidR="00341278" w:rsidRPr="00673C1F">
        <w:t>2024–25</w:t>
      </w:r>
      <w:r w:rsidRPr="00673C1F">
        <w:t xml:space="preserve"> </w:t>
      </w:r>
      <w:r w:rsidR="00502B6F" w:rsidRPr="00673C1F">
        <w:t xml:space="preserve">and </w:t>
      </w:r>
      <w:r w:rsidRPr="00673C1F">
        <w:t>$</w:t>
      </w:r>
      <w:r w:rsidR="00E4719C" w:rsidRPr="00673C1F">
        <w:t>5.9</w:t>
      </w:r>
      <w:r w:rsidR="005C2A8E" w:rsidRPr="00673C1F">
        <w:t> </w:t>
      </w:r>
      <w:r w:rsidRPr="00673C1F">
        <w:t xml:space="preserve">billion over the </w:t>
      </w:r>
      <w:r w:rsidR="007A22C6" w:rsidRPr="00673C1F">
        <w:t>five years</w:t>
      </w:r>
      <w:r w:rsidR="00C97D26" w:rsidRPr="00673C1F">
        <w:t xml:space="preserve"> from 2023–24 to 2027–28</w:t>
      </w:r>
      <w:r w:rsidRPr="00673C1F">
        <w:t xml:space="preserve">. GST receipts have been </w:t>
      </w:r>
      <w:r w:rsidR="00C23B89" w:rsidRPr="00673C1F">
        <w:t xml:space="preserve">upgraded </w:t>
      </w:r>
      <w:r w:rsidRPr="00673C1F">
        <w:t xml:space="preserve">in </w:t>
      </w:r>
      <w:r w:rsidR="00C23B89" w:rsidRPr="00673C1F">
        <w:t>2023</w:t>
      </w:r>
      <w:r w:rsidR="00DE421C" w:rsidRPr="00673C1F">
        <w:t>–</w:t>
      </w:r>
      <w:r w:rsidR="00C23B89" w:rsidRPr="00673C1F">
        <w:t>24</w:t>
      </w:r>
      <w:r w:rsidRPr="00673C1F">
        <w:t xml:space="preserve"> due to </w:t>
      </w:r>
      <w:r w:rsidR="00C23B89" w:rsidRPr="00673C1F">
        <w:t>stronger</w:t>
      </w:r>
      <w:r w:rsidR="006D727E" w:rsidRPr="00673C1F">
        <w:noBreakHyphen/>
      </w:r>
      <w:r w:rsidRPr="00673C1F">
        <w:t>than</w:t>
      </w:r>
      <w:r w:rsidR="006D727E" w:rsidRPr="00673C1F">
        <w:noBreakHyphen/>
      </w:r>
      <w:r w:rsidRPr="00673C1F">
        <w:t xml:space="preserve">expected </w:t>
      </w:r>
      <w:r w:rsidR="000173EE" w:rsidRPr="00673C1F">
        <w:t>year</w:t>
      </w:r>
      <w:r w:rsidR="006D727E" w:rsidRPr="00673C1F">
        <w:noBreakHyphen/>
      </w:r>
      <w:r w:rsidR="000173EE" w:rsidRPr="00673C1F">
        <w:t>to</w:t>
      </w:r>
      <w:r w:rsidR="006D727E" w:rsidRPr="00673C1F">
        <w:noBreakHyphen/>
      </w:r>
      <w:r w:rsidR="000173EE" w:rsidRPr="00673C1F">
        <w:t xml:space="preserve">date </w:t>
      </w:r>
      <w:r w:rsidRPr="00673C1F">
        <w:t>collections</w:t>
      </w:r>
      <w:r w:rsidR="009F75CA" w:rsidRPr="00673C1F">
        <w:t xml:space="preserve">. </w:t>
      </w:r>
      <w:r w:rsidR="004E6553" w:rsidRPr="00673C1F">
        <w:t xml:space="preserve">From 2024–25 the downgrade is driven by </w:t>
      </w:r>
      <w:r w:rsidR="00C244AD" w:rsidRPr="00673C1F">
        <w:t>the lower outlook for</w:t>
      </w:r>
      <w:r w:rsidRPr="00673C1F">
        <w:t xml:space="preserve"> </w:t>
      </w:r>
      <w:r w:rsidR="00617091" w:rsidRPr="00673C1F">
        <w:t xml:space="preserve">nominal </w:t>
      </w:r>
      <w:r w:rsidRPr="00673C1F">
        <w:t>consumption subject to GST</w:t>
      </w:r>
      <w:r w:rsidR="00C244AD" w:rsidRPr="00673C1F">
        <w:t xml:space="preserve">, </w:t>
      </w:r>
      <w:r w:rsidR="001C5290" w:rsidRPr="00673C1F">
        <w:t>partially offset by higher nominal dwelling investment</w:t>
      </w:r>
      <w:r w:rsidRPr="00673C1F">
        <w:t>.</w:t>
      </w:r>
    </w:p>
    <w:p w14:paraId="5CAC237F" w14:textId="434C36C3" w:rsidR="00356E70" w:rsidRPr="00673C1F" w:rsidRDefault="00356E70" w:rsidP="00254FB2">
      <w:r w:rsidRPr="00673C1F">
        <w:t>New tax policy measures announced since</w:t>
      </w:r>
      <w:r w:rsidR="00955761" w:rsidRPr="00673C1F">
        <w:t xml:space="preserve"> </w:t>
      </w:r>
      <w:r w:rsidR="00384EBD" w:rsidRPr="00673C1F">
        <w:t>MYEFO</w:t>
      </w:r>
      <w:r w:rsidRPr="00673C1F">
        <w:t xml:space="preserve"> are expected to </w:t>
      </w:r>
      <w:r w:rsidR="007E375F" w:rsidRPr="00673C1F">
        <w:t>decrease</w:t>
      </w:r>
      <w:r w:rsidRPr="00673C1F">
        <w:t xml:space="preserve"> GST receipts by $</w:t>
      </w:r>
      <w:r w:rsidR="00DF3EFE" w:rsidRPr="00673C1F">
        <w:t>5</w:t>
      </w:r>
      <w:r w:rsidRPr="00673C1F">
        <w:t>.0</w:t>
      </w:r>
      <w:r w:rsidR="005C2A8E" w:rsidRPr="00673C1F">
        <w:t> </w:t>
      </w:r>
      <w:r w:rsidRPr="00673C1F">
        <w:t>million in 202</w:t>
      </w:r>
      <w:r w:rsidR="00341278" w:rsidRPr="00673C1F">
        <w:t>4</w:t>
      </w:r>
      <w:r w:rsidRPr="00673C1F" w:rsidDel="0008004C">
        <w:t>–</w:t>
      </w:r>
      <w:r w:rsidRPr="00673C1F">
        <w:t>2</w:t>
      </w:r>
      <w:r w:rsidR="00341278" w:rsidRPr="00673C1F">
        <w:t>5</w:t>
      </w:r>
      <w:r w:rsidRPr="00673C1F">
        <w:t xml:space="preserve"> </w:t>
      </w:r>
      <w:r w:rsidR="00117566" w:rsidRPr="00673C1F">
        <w:t>but increase GST receipts by</w:t>
      </w:r>
      <w:r w:rsidRPr="00673C1F">
        <w:t xml:space="preserve"> $4</w:t>
      </w:r>
      <w:r w:rsidR="007C0264" w:rsidRPr="00673C1F">
        <w:t>00</w:t>
      </w:r>
      <w:r w:rsidRPr="00673C1F">
        <w:t>.</w:t>
      </w:r>
      <w:r w:rsidR="007C0264" w:rsidRPr="00673C1F">
        <w:t>1</w:t>
      </w:r>
      <w:r w:rsidR="005C2A8E" w:rsidRPr="00673C1F">
        <w:t> </w:t>
      </w:r>
      <w:r w:rsidR="00B3286B" w:rsidRPr="00673C1F">
        <w:t>m</w:t>
      </w:r>
      <w:r w:rsidRPr="00673C1F">
        <w:t xml:space="preserve">illion over the </w:t>
      </w:r>
      <w:r w:rsidR="007A22C6" w:rsidRPr="00673C1F">
        <w:t>five years</w:t>
      </w:r>
      <w:r w:rsidRPr="00673C1F">
        <w:t xml:space="preserve"> from 202</w:t>
      </w:r>
      <w:r w:rsidR="0079721F" w:rsidRPr="00673C1F">
        <w:t>3</w:t>
      </w:r>
      <w:r w:rsidRPr="00673C1F" w:rsidDel="0008004C">
        <w:t>–</w:t>
      </w:r>
      <w:r w:rsidRPr="00673C1F">
        <w:t>2</w:t>
      </w:r>
      <w:r w:rsidR="0079721F" w:rsidRPr="00673C1F">
        <w:t>4</w:t>
      </w:r>
      <w:r w:rsidRPr="00673C1F">
        <w:t xml:space="preserve"> to 202</w:t>
      </w:r>
      <w:r w:rsidR="0008004C" w:rsidRPr="00673C1F">
        <w:t>7</w:t>
      </w:r>
      <w:r w:rsidRPr="00673C1F">
        <w:t>–2</w:t>
      </w:r>
      <w:r w:rsidR="0008004C" w:rsidRPr="00673C1F">
        <w:t>8</w:t>
      </w:r>
      <w:r w:rsidR="00045D39" w:rsidRPr="00673C1F">
        <w:t>.</w:t>
      </w:r>
      <w:r w:rsidRPr="00673C1F">
        <w:t xml:space="preserve"> </w:t>
      </w:r>
    </w:p>
    <w:p w14:paraId="52DAA02B" w14:textId="084C1430" w:rsidR="00356E70" w:rsidRPr="00673C1F" w:rsidRDefault="00356E70" w:rsidP="00474843">
      <w:pPr>
        <w:pStyle w:val="Heading4"/>
      </w:pPr>
      <w:bookmarkStart w:id="33" w:name="_Toc512338386"/>
      <w:bookmarkStart w:id="34" w:name="_Toc67658753"/>
      <w:bookmarkStart w:id="35" w:name="_Hlk115173958"/>
      <w:bookmarkEnd w:id="30"/>
      <w:r w:rsidRPr="00673C1F">
        <w:t>Excise and customs duty</w:t>
      </w:r>
      <w:bookmarkEnd w:id="33"/>
      <w:bookmarkEnd w:id="34"/>
    </w:p>
    <w:p w14:paraId="283F7414" w14:textId="25352A80" w:rsidR="00356E70" w:rsidRPr="00673C1F" w:rsidRDefault="00356E70" w:rsidP="00356E70">
      <w:r w:rsidRPr="00673C1F">
        <w:t>Since</w:t>
      </w:r>
      <w:r w:rsidR="00955761" w:rsidRPr="00673C1F">
        <w:t xml:space="preserve"> </w:t>
      </w:r>
      <w:r w:rsidR="00384EBD" w:rsidRPr="00673C1F">
        <w:t>MYEFO</w:t>
      </w:r>
      <w:r w:rsidRPr="00673C1F">
        <w:t xml:space="preserve">, total excise and customs duty receipts have been revised </w:t>
      </w:r>
      <w:r w:rsidR="0060163B" w:rsidRPr="00673C1F">
        <w:t xml:space="preserve">down </w:t>
      </w:r>
      <w:r w:rsidRPr="00673C1F">
        <w:t>by $</w:t>
      </w:r>
      <w:r w:rsidR="0060163B" w:rsidRPr="00673C1F">
        <w:t>1.8</w:t>
      </w:r>
      <w:r w:rsidRPr="00673C1F">
        <w:t xml:space="preserve"> billion in </w:t>
      </w:r>
      <w:r w:rsidR="00341278" w:rsidRPr="00673C1F">
        <w:t>2024–25</w:t>
      </w:r>
      <w:r w:rsidRPr="00673C1F">
        <w:t xml:space="preserve"> and $</w:t>
      </w:r>
      <w:r w:rsidR="00D81E56" w:rsidRPr="00673C1F">
        <w:t>11.</w:t>
      </w:r>
      <w:r w:rsidR="00D140F9" w:rsidRPr="00673C1F">
        <w:t>9</w:t>
      </w:r>
      <w:r w:rsidR="005C2A8E" w:rsidRPr="00673C1F">
        <w:t> </w:t>
      </w:r>
      <w:r w:rsidRPr="00673C1F">
        <w:t xml:space="preserve">billion over the </w:t>
      </w:r>
      <w:r w:rsidR="007A22C6" w:rsidRPr="00673C1F">
        <w:t>five years</w:t>
      </w:r>
      <w:r w:rsidR="00C97D26" w:rsidRPr="00673C1F">
        <w:t xml:space="preserve"> from 2023–24 to 2027–28</w:t>
      </w:r>
      <w:r w:rsidRPr="00673C1F">
        <w:t xml:space="preserve">. </w:t>
      </w:r>
    </w:p>
    <w:p w14:paraId="2554F0AB" w14:textId="2CB70ADA" w:rsidR="00356E70" w:rsidRPr="00673C1F" w:rsidRDefault="00356E70" w:rsidP="00356E70">
      <w:r w:rsidRPr="00673C1F">
        <w:t xml:space="preserve">Excluding new policy decisions, excise and customs duty receipts have been revised </w:t>
      </w:r>
      <w:r w:rsidR="00242590" w:rsidRPr="00673C1F">
        <w:t>down</w:t>
      </w:r>
      <w:r w:rsidRPr="00673C1F">
        <w:t xml:space="preserve"> by $</w:t>
      </w:r>
      <w:r w:rsidR="002F01E1" w:rsidRPr="00673C1F">
        <w:t>1.</w:t>
      </w:r>
      <w:r w:rsidR="00242590" w:rsidRPr="00673C1F">
        <w:t>9</w:t>
      </w:r>
      <w:r w:rsidR="009005E0" w:rsidRPr="00673C1F">
        <w:t> </w:t>
      </w:r>
      <w:r w:rsidR="00242590" w:rsidRPr="00673C1F">
        <w:t>b</w:t>
      </w:r>
      <w:r w:rsidRPr="00673C1F">
        <w:t xml:space="preserve">illion in </w:t>
      </w:r>
      <w:r w:rsidR="00341278" w:rsidRPr="00673C1F">
        <w:t>2024–25</w:t>
      </w:r>
      <w:r w:rsidRPr="00673C1F">
        <w:t xml:space="preserve"> and $</w:t>
      </w:r>
      <w:r w:rsidR="002F01E1" w:rsidRPr="00673C1F">
        <w:t>11.</w:t>
      </w:r>
      <w:r w:rsidR="00F90C1F" w:rsidRPr="00673C1F">
        <w:t>5</w:t>
      </w:r>
      <w:r w:rsidR="00304F63" w:rsidRPr="00673C1F">
        <w:t> </w:t>
      </w:r>
      <w:r w:rsidR="00242590" w:rsidRPr="00673C1F">
        <w:t>b</w:t>
      </w:r>
      <w:r w:rsidRPr="00673C1F">
        <w:t xml:space="preserve">illion over the </w:t>
      </w:r>
      <w:r w:rsidR="007A22C6" w:rsidRPr="00673C1F">
        <w:t>five years</w:t>
      </w:r>
      <w:r w:rsidR="00C97D26" w:rsidRPr="00673C1F">
        <w:t xml:space="preserve"> from 2023–24 to 2027–28</w:t>
      </w:r>
      <w:r w:rsidRPr="00673C1F">
        <w:t xml:space="preserve">. This </w:t>
      </w:r>
      <w:r w:rsidR="008C0C14" w:rsidRPr="00673C1F">
        <w:t xml:space="preserve">overwhelmingly </w:t>
      </w:r>
      <w:r w:rsidRPr="00673C1F">
        <w:t xml:space="preserve">reflects </w:t>
      </w:r>
      <w:r w:rsidR="008C0C14" w:rsidRPr="00673C1F">
        <w:t xml:space="preserve">the </w:t>
      </w:r>
      <w:r w:rsidR="0064720A" w:rsidRPr="00673C1F">
        <w:t xml:space="preserve">significant </w:t>
      </w:r>
      <w:r w:rsidR="008C0C14" w:rsidRPr="00673C1F">
        <w:t xml:space="preserve">downward </w:t>
      </w:r>
      <w:r w:rsidRPr="00673C1F">
        <w:t xml:space="preserve">revision to </w:t>
      </w:r>
      <w:r w:rsidR="008C0C14" w:rsidRPr="00673C1F">
        <w:t>tobacco</w:t>
      </w:r>
      <w:r w:rsidRPr="00673C1F">
        <w:t xml:space="preserve"> excise</w:t>
      </w:r>
      <w:r w:rsidR="0039425A" w:rsidRPr="00673C1F">
        <w:t xml:space="preserve"> receipts</w:t>
      </w:r>
      <w:r w:rsidRPr="00673C1F">
        <w:t>.</w:t>
      </w:r>
      <w:r w:rsidR="004A08CB" w:rsidRPr="00673C1F">
        <w:t xml:space="preserve"> This revision is due to a combination of weaker</w:t>
      </w:r>
      <w:r w:rsidR="006D727E" w:rsidRPr="00673C1F">
        <w:noBreakHyphen/>
      </w:r>
      <w:r w:rsidR="004A08CB" w:rsidRPr="00673C1F">
        <w:t>than</w:t>
      </w:r>
      <w:r w:rsidR="006D727E" w:rsidRPr="00673C1F">
        <w:noBreakHyphen/>
      </w:r>
      <w:r w:rsidR="004A08CB" w:rsidRPr="00673C1F">
        <w:t>expected</w:t>
      </w:r>
      <w:r w:rsidR="00D1641B" w:rsidRPr="00673C1F">
        <w:t xml:space="preserve"> </w:t>
      </w:r>
      <w:r w:rsidR="0087473C" w:rsidRPr="00673C1F">
        <w:t>tobacco</w:t>
      </w:r>
      <w:r w:rsidR="00E248AB" w:rsidRPr="00673C1F">
        <w:t xml:space="preserve"> </w:t>
      </w:r>
      <w:r w:rsidR="00D1641B" w:rsidRPr="00673C1F">
        <w:t>imports in 2023</w:t>
      </w:r>
      <w:r w:rsidR="00DE421C" w:rsidRPr="00673C1F">
        <w:t>–</w:t>
      </w:r>
      <w:r w:rsidR="00D1641B" w:rsidRPr="00673C1F">
        <w:t>24 and a larger</w:t>
      </w:r>
      <w:r w:rsidR="00783213" w:rsidRPr="00673C1F">
        <w:t xml:space="preserve"> expected decline in tobacco consumption over the forward estimates</w:t>
      </w:r>
      <w:r w:rsidRPr="00673C1F">
        <w:t>.</w:t>
      </w:r>
    </w:p>
    <w:p w14:paraId="40E88C39" w14:textId="0D98FC9C" w:rsidR="00356E70" w:rsidRPr="00673C1F" w:rsidRDefault="00356E70" w:rsidP="00254FB2">
      <w:pPr>
        <w:rPr>
          <w:rFonts w:asciiTheme="minorHAnsi" w:hAnsiTheme="minorHAnsi"/>
          <w:szCs w:val="19"/>
        </w:rPr>
      </w:pPr>
      <w:r w:rsidRPr="00673C1F">
        <w:t xml:space="preserve">Policy decisions are expected to </w:t>
      </w:r>
      <w:r w:rsidR="009C2CF6" w:rsidRPr="00673C1F">
        <w:t>increase</w:t>
      </w:r>
      <w:r w:rsidRPr="00673C1F">
        <w:t xml:space="preserve"> excise and customs duty receipts by $</w:t>
      </w:r>
      <w:r w:rsidR="004034F0" w:rsidRPr="00673C1F">
        <w:t>123</w:t>
      </w:r>
      <w:r w:rsidRPr="00673C1F">
        <w:t>.</w:t>
      </w:r>
      <w:r w:rsidR="004034F0" w:rsidRPr="00673C1F">
        <w:t>3</w:t>
      </w:r>
      <w:r w:rsidR="00304F63" w:rsidRPr="00673C1F">
        <w:t> </w:t>
      </w:r>
      <w:r w:rsidRPr="00673C1F">
        <w:t>million in 202</w:t>
      </w:r>
      <w:r w:rsidR="00CD55DC" w:rsidRPr="00673C1F">
        <w:t>4</w:t>
      </w:r>
      <w:r w:rsidRPr="00673C1F">
        <w:rPr>
          <w:rFonts w:ascii="Calibri" w:hAnsi="Calibri" w:cs="Calibri"/>
        </w:rPr>
        <w:t>–</w:t>
      </w:r>
      <w:r w:rsidRPr="00673C1F">
        <w:t>2</w:t>
      </w:r>
      <w:r w:rsidR="00CD55DC" w:rsidRPr="00673C1F">
        <w:t>5</w:t>
      </w:r>
      <w:r w:rsidR="009C2CF6" w:rsidRPr="00673C1F">
        <w:t xml:space="preserve"> but decrease </w:t>
      </w:r>
      <w:r w:rsidR="00D700C0" w:rsidRPr="00673C1F">
        <w:t>by</w:t>
      </w:r>
      <w:r w:rsidRPr="00673C1F">
        <w:t xml:space="preserve"> $3</w:t>
      </w:r>
      <w:r w:rsidR="004034F0" w:rsidRPr="00673C1F">
        <w:t>88</w:t>
      </w:r>
      <w:r w:rsidRPr="00673C1F">
        <w:t>.</w:t>
      </w:r>
      <w:r w:rsidR="004034F0" w:rsidRPr="00673C1F">
        <w:t>7</w:t>
      </w:r>
      <w:r w:rsidR="00304F63" w:rsidRPr="00673C1F">
        <w:t> </w:t>
      </w:r>
      <w:r w:rsidR="004034F0" w:rsidRPr="00673C1F">
        <w:t>m</w:t>
      </w:r>
      <w:r w:rsidRPr="00673C1F">
        <w:t xml:space="preserve">illion over the </w:t>
      </w:r>
      <w:r w:rsidR="007A22C6" w:rsidRPr="00673C1F">
        <w:t>five years</w:t>
      </w:r>
      <w:r w:rsidR="00C97D26" w:rsidRPr="00673C1F">
        <w:t xml:space="preserve"> from 2023–24 to 2027–28</w:t>
      </w:r>
      <w:r w:rsidRPr="00673C1F">
        <w:t xml:space="preserve">. </w:t>
      </w:r>
      <w:r w:rsidR="00B06A28" w:rsidRPr="00673C1F">
        <w:t xml:space="preserve">This is primarily </w:t>
      </w:r>
      <w:r w:rsidR="00995A70" w:rsidRPr="00673C1F">
        <w:t>lower fuel excise receipts due to</w:t>
      </w:r>
      <w:r w:rsidR="00FC4951" w:rsidRPr="00673C1F">
        <w:t xml:space="preserve"> </w:t>
      </w:r>
      <w:r w:rsidR="00300148" w:rsidRPr="00673C1F">
        <w:t>the</w:t>
      </w:r>
      <w:r w:rsidR="00FC4951" w:rsidRPr="00673C1F">
        <w:t xml:space="preserve"> introduction of</w:t>
      </w:r>
      <w:r w:rsidR="006C70A6" w:rsidRPr="00673C1F">
        <w:t xml:space="preserve"> a New Vehicle Efficien</w:t>
      </w:r>
      <w:r w:rsidR="008859E7" w:rsidRPr="00673C1F">
        <w:t>cy</w:t>
      </w:r>
      <w:r w:rsidR="006C70A6" w:rsidRPr="00673C1F">
        <w:t xml:space="preserve"> Standard</w:t>
      </w:r>
      <w:r w:rsidR="00995A70" w:rsidRPr="00673C1F">
        <w:t>.</w:t>
      </w:r>
    </w:p>
    <w:p w14:paraId="34584378" w14:textId="2B55CF70" w:rsidR="00356E70" w:rsidRPr="00673C1F" w:rsidRDefault="00356E70" w:rsidP="00356E70">
      <w:bookmarkStart w:id="36" w:name="_Hlk70928302"/>
      <w:r w:rsidRPr="00673C1F">
        <w:t xml:space="preserve">The </w:t>
      </w:r>
      <w:r w:rsidR="00E24B7C" w:rsidRPr="00673C1F">
        <w:t>2024</w:t>
      </w:r>
      <w:r w:rsidRPr="00673C1F">
        <w:t>–</w:t>
      </w:r>
      <w:r w:rsidR="00E24B7C" w:rsidRPr="00673C1F">
        <w:t>25</w:t>
      </w:r>
      <w:r w:rsidRPr="00673C1F">
        <w:t xml:space="preserve"> Budget estimates continue to include provision for the Australia European Union Free Trade Agreement, which has not been finalised. This provision is assumed to impact customs duty receipts. No other Free Trade Agreements (FTAs) that are currently under negotiation are expected to have a material impact on revenue over the forward estimates. A full list of FTAs currently under negotiation is available on the Department of Foreign Affairs and Trade website. </w:t>
      </w:r>
    </w:p>
    <w:p w14:paraId="3921277D" w14:textId="77777777" w:rsidR="00356E70" w:rsidRPr="00673C1F" w:rsidRDefault="00356E70" w:rsidP="00474843">
      <w:pPr>
        <w:pStyle w:val="Heading4"/>
      </w:pPr>
      <w:bookmarkStart w:id="37" w:name="_Toc512338388"/>
      <w:bookmarkStart w:id="38" w:name="_Toc67658755"/>
      <w:bookmarkEnd w:id="35"/>
      <w:bookmarkEnd w:id="36"/>
      <w:r w:rsidRPr="00673C1F">
        <w:t>Other taxes</w:t>
      </w:r>
      <w:bookmarkEnd w:id="37"/>
      <w:bookmarkEnd w:id="38"/>
    </w:p>
    <w:p w14:paraId="47F4B888" w14:textId="05CF238B" w:rsidR="00356E70" w:rsidRPr="00673C1F" w:rsidRDefault="00356E70" w:rsidP="00210F13">
      <w:pPr>
        <w:spacing w:before="180" w:after="180"/>
      </w:pPr>
      <w:r w:rsidRPr="00673C1F">
        <w:t xml:space="preserve">Other taxes encompass a range of sources of receipts, including visa application charges, major bank levy, luxury car tax, wine equalisation tax and agricultural levies. </w:t>
      </w:r>
    </w:p>
    <w:p w14:paraId="55C85BF1" w14:textId="695B0089" w:rsidR="00356E70" w:rsidRPr="00673C1F" w:rsidRDefault="00356E70" w:rsidP="00210F13">
      <w:pPr>
        <w:spacing w:before="180" w:after="180"/>
      </w:pPr>
      <w:r w:rsidRPr="00673C1F" w:rsidDel="00FE60C5">
        <w:lastRenderedPageBreak/>
        <w:t xml:space="preserve">Since </w:t>
      </w:r>
      <w:r w:rsidR="00384EBD" w:rsidRPr="00673C1F" w:rsidDel="00FE60C5">
        <w:t>MYEFO</w:t>
      </w:r>
      <w:r w:rsidRPr="00673C1F" w:rsidDel="00FE60C5">
        <w:t xml:space="preserve">, </w:t>
      </w:r>
      <w:r w:rsidR="00454434" w:rsidRPr="00673C1F">
        <w:t xml:space="preserve">other tax receipts </w:t>
      </w:r>
      <w:r w:rsidRPr="00673C1F" w:rsidDel="00FE60C5">
        <w:t xml:space="preserve">have been revised up by </w:t>
      </w:r>
      <w:r w:rsidR="00454434" w:rsidRPr="00673C1F">
        <w:t>$</w:t>
      </w:r>
      <w:r w:rsidR="00EC4C96" w:rsidRPr="00673C1F" w:rsidDel="00FE60C5">
        <w:t>1</w:t>
      </w:r>
      <w:r w:rsidR="00454434" w:rsidRPr="00673C1F">
        <w:t>.</w:t>
      </w:r>
      <w:r w:rsidR="0021012D" w:rsidRPr="00673C1F">
        <w:t>0</w:t>
      </w:r>
      <w:r w:rsidR="00594D57" w:rsidRPr="00673C1F">
        <w:t> </w:t>
      </w:r>
      <w:r w:rsidR="00454434" w:rsidRPr="00673C1F">
        <w:t xml:space="preserve">billion </w:t>
      </w:r>
      <w:r w:rsidRPr="00673C1F" w:rsidDel="00FE60C5">
        <w:t>in 202</w:t>
      </w:r>
      <w:r w:rsidR="00991CA8" w:rsidRPr="00673C1F" w:rsidDel="00FE60C5">
        <w:t>4–</w:t>
      </w:r>
      <w:r w:rsidR="00752C1F" w:rsidRPr="00673C1F">
        <w:t>‍</w:t>
      </w:r>
      <w:r w:rsidR="00454434" w:rsidRPr="00673C1F">
        <w:t>25</w:t>
      </w:r>
      <w:r w:rsidRPr="00673C1F" w:rsidDel="00FE60C5">
        <w:t xml:space="preserve"> and </w:t>
      </w:r>
      <w:r w:rsidR="00454434" w:rsidRPr="00673C1F">
        <w:t>$</w:t>
      </w:r>
      <w:r w:rsidR="00752C1F" w:rsidRPr="00673C1F">
        <w:t>4</w:t>
      </w:r>
      <w:r w:rsidR="00454434" w:rsidRPr="00673C1F">
        <w:t>.</w:t>
      </w:r>
      <w:r w:rsidR="00DD1CF7" w:rsidRPr="00673C1F">
        <w:t>1</w:t>
      </w:r>
      <w:r w:rsidR="0090575E" w:rsidRPr="00673C1F">
        <w:t> </w:t>
      </w:r>
      <w:r w:rsidRPr="00673C1F" w:rsidDel="00FE60C5">
        <w:t xml:space="preserve">billion over the </w:t>
      </w:r>
      <w:r w:rsidR="007A22C6" w:rsidRPr="00673C1F" w:rsidDel="00FE60C5">
        <w:t>five years</w:t>
      </w:r>
      <w:r w:rsidR="00C97D26" w:rsidRPr="00673C1F" w:rsidDel="00FE60C5">
        <w:t xml:space="preserve"> from 2023–24 to 2027–28</w:t>
      </w:r>
      <w:r w:rsidRPr="00673C1F" w:rsidDel="00FE60C5">
        <w:t>.</w:t>
      </w:r>
      <w:r w:rsidR="00454434" w:rsidRPr="00673C1F">
        <w:t xml:space="preserve"> </w:t>
      </w:r>
      <w:r w:rsidRPr="00673C1F">
        <w:t xml:space="preserve">New tax policy measures announced since </w:t>
      </w:r>
      <w:r w:rsidR="00384EBD" w:rsidRPr="00673C1F">
        <w:t>MYEFO</w:t>
      </w:r>
      <w:r w:rsidRPr="00673C1F">
        <w:t xml:space="preserve"> are expected to </w:t>
      </w:r>
      <w:r w:rsidR="00121F4F" w:rsidRPr="00673C1F">
        <w:t xml:space="preserve">decrease </w:t>
      </w:r>
      <w:r w:rsidRPr="00673C1F">
        <w:t>other tax receipts by $</w:t>
      </w:r>
      <w:r w:rsidR="00CF33F1" w:rsidRPr="00673C1F">
        <w:t>57.4</w:t>
      </w:r>
      <w:r w:rsidR="00304F63" w:rsidRPr="00673C1F">
        <w:t> </w:t>
      </w:r>
      <w:r w:rsidRPr="00673C1F">
        <w:t>million in 202</w:t>
      </w:r>
      <w:r w:rsidR="00CF3A42" w:rsidRPr="00673C1F">
        <w:t>4</w:t>
      </w:r>
      <w:r w:rsidRPr="00673C1F">
        <w:rPr>
          <w:rFonts w:ascii="Calibri" w:hAnsi="Calibri" w:cs="Calibri"/>
        </w:rPr>
        <w:t>–</w:t>
      </w:r>
      <w:r w:rsidRPr="00673C1F">
        <w:t>2</w:t>
      </w:r>
      <w:r w:rsidR="00CF3A42" w:rsidRPr="00673C1F">
        <w:t>5</w:t>
      </w:r>
      <w:r w:rsidRPr="00673C1F">
        <w:t xml:space="preserve"> and $</w:t>
      </w:r>
      <w:r w:rsidR="003E4568" w:rsidRPr="00673C1F">
        <w:t>7</w:t>
      </w:r>
      <w:r w:rsidR="006A46EC" w:rsidRPr="00673C1F">
        <w:t>6</w:t>
      </w:r>
      <w:r w:rsidR="00A95406" w:rsidRPr="00673C1F">
        <w:t>.</w:t>
      </w:r>
      <w:r w:rsidR="006A46EC" w:rsidRPr="00673C1F">
        <w:t>4</w:t>
      </w:r>
      <w:r w:rsidR="00304F63" w:rsidRPr="00673C1F">
        <w:t> </w:t>
      </w:r>
      <w:r w:rsidRPr="00673C1F">
        <w:t xml:space="preserve">million over the </w:t>
      </w:r>
      <w:r w:rsidR="007A22C6" w:rsidRPr="00673C1F">
        <w:t>five years</w:t>
      </w:r>
      <w:r w:rsidRPr="00673C1F">
        <w:t xml:space="preserve"> from </w:t>
      </w:r>
      <w:r w:rsidR="00C97D26" w:rsidRPr="00673C1F">
        <w:t>2023</w:t>
      </w:r>
      <w:r w:rsidR="00C97D26" w:rsidRPr="00673C1F">
        <w:rPr>
          <w:rFonts w:ascii="Calibri" w:hAnsi="Calibri" w:cs="Calibri"/>
        </w:rPr>
        <w:t>–</w:t>
      </w:r>
      <w:r w:rsidR="00C97D26" w:rsidRPr="00673C1F">
        <w:t>24 to 2027–28</w:t>
      </w:r>
      <w:r w:rsidRPr="00673C1F">
        <w:t xml:space="preserve">. </w:t>
      </w:r>
    </w:p>
    <w:p w14:paraId="027C04E5" w14:textId="0368E76C" w:rsidR="00356E70" w:rsidRPr="00673C1F" w:rsidRDefault="00356E70" w:rsidP="00474843">
      <w:pPr>
        <w:pStyle w:val="Heading3"/>
      </w:pPr>
      <w:bookmarkStart w:id="39" w:name="_Toc512338389"/>
      <w:bookmarkStart w:id="40" w:name="_Toc67658756"/>
      <w:bookmarkStart w:id="41" w:name="_Toc99201822"/>
      <w:bookmarkStart w:id="42" w:name="_Toc117324549"/>
      <w:bookmarkStart w:id="43" w:name="_Toc134182349"/>
      <w:r w:rsidRPr="00673C1F">
        <w:t>Non</w:t>
      </w:r>
      <w:r w:rsidRPr="00673C1F">
        <w:rPr>
          <w:szCs w:val="19"/>
        </w:rPr>
        <w:t>–</w:t>
      </w:r>
      <w:r w:rsidRPr="00673C1F">
        <w:t>tax receipts</w:t>
      </w:r>
      <w:bookmarkEnd w:id="39"/>
      <w:bookmarkEnd w:id="40"/>
      <w:bookmarkEnd w:id="41"/>
      <w:bookmarkEnd w:id="42"/>
      <w:r w:rsidRPr="00673C1F">
        <w:t xml:space="preserve"> estimates</w:t>
      </w:r>
      <w:bookmarkEnd w:id="43"/>
    </w:p>
    <w:p w14:paraId="44718D1D" w14:textId="7B57F2B1" w:rsidR="003E4C49" w:rsidRPr="00673C1F" w:rsidRDefault="003E4C49" w:rsidP="005A2EAA">
      <w:r w:rsidRPr="00673C1F">
        <w:t>Since MYEFO, non</w:t>
      </w:r>
      <w:r w:rsidR="006D727E" w:rsidRPr="00673C1F">
        <w:noBreakHyphen/>
      </w:r>
      <w:r w:rsidRPr="00673C1F">
        <w:t>tax receipts are expected to decrease by $1.3</w:t>
      </w:r>
      <w:r w:rsidR="00102558" w:rsidRPr="00673C1F">
        <w:t> </w:t>
      </w:r>
      <w:r w:rsidRPr="00673C1F">
        <w:t>billion in 2024</w:t>
      </w:r>
      <w:r w:rsidR="00D32270" w:rsidRPr="00673C1F">
        <w:rPr>
          <w:rFonts w:ascii="Calibri" w:hAnsi="Calibri" w:cs="Calibri"/>
        </w:rPr>
        <w:t>–</w:t>
      </w:r>
      <w:r w:rsidR="00152872" w:rsidRPr="00673C1F">
        <w:rPr>
          <w:rFonts w:ascii="Times New Roman" w:hAnsi="Times New Roman"/>
        </w:rPr>
        <w:t>‍</w:t>
      </w:r>
      <w:r w:rsidRPr="00673C1F">
        <w:t>25 and increase by $8.8 billion over the five years from 2023</w:t>
      </w:r>
      <w:r w:rsidR="003D1755" w:rsidRPr="00673C1F">
        <w:t>–</w:t>
      </w:r>
      <w:r w:rsidRPr="00673C1F">
        <w:t>24 to 2027–28.</w:t>
      </w:r>
    </w:p>
    <w:p w14:paraId="2B0345A2" w14:textId="3E026F57" w:rsidR="009E0371" w:rsidRPr="00673C1F" w:rsidRDefault="009E0371" w:rsidP="009E0371">
      <w:r w:rsidRPr="00673C1F">
        <w:t>Since MYEFO, parameter and other variations are expected to decrease non</w:t>
      </w:r>
      <w:r w:rsidR="006D727E" w:rsidRPr="00673C1F">
        <w:noBreakHyphen/>
      </w:r>
      <w:r w:rsidRPr="00673C1F">
        <w:t>tax receipts by $1.8 billion in 2024</w:t>
      </w:r>
      <w:r w:rsidR="00D32270" w:rsidRPr="00673C1F">
        <w:rPr>
          <w:rFonts w:ascii="Calibri" w:hAnsi="Calibri" w:cs="Calibri"/>
        </w:rPr>
        <w:t>–</w:t>
      </w:r>
      <w:r w:rsidRPr="00673C1F">
        <w:t>25 and increase non</w:t>
      </w:r>
      <w:r w:rsidR="006D727E" w:rsidRPr="00673C1F">
        <w:noBreakHyphen/>
      </w:r>
      <w:r w:rsidRPr="00673C1F">
        <w:t>tax receipts by $5.6</w:t>
      </w:r>
      <w:r w:rsidR="00EE590A" w:rsidRPr="00673C1F">
        <w:t> </w:t>
      </w:r>
      <w:r w:rsidRPr="00673C1F">
        <w:t>billion over the five years from 2023</w:t>
      </w:r>
      <w:r w:rsidR="00D32270" w:rsidRPr="00673C1F">
        <w:rPr>
          <w:rFonts w:ascii="Calibri" w:hAnsi="Calibri" w:cs="Calibri"/>
        </w:rPr>
        <w:t>–</w:t>
      </w:r>
      <w:r w:rsidRPr="00673C1F">
        <w:t>24 to</w:t>
      </w:r>
      <w:r w:rsidR="0000651C" w:rsidRPr="00673C1F">
        <w:t xml:space="preserve"> </w:t>
      </w:r>
      <w:r w:rsidRPr="00673C1F">
        <w:t>2027–28. This movement is partially driven</w:t>
      </w:r>
      <w:r w:rsidR="00BE1F0F" w:rsidRPr="00673C1F">
        <w:t xml:space="preserve"> </w:t>
      </w:r>
      <w:r w:rsidR="002515C0" w:rsidRPr="00673C1F">
        <w:t>by</w:t>
      </w:r>
      <w:r w:rsidR="000629C9" w:rsidRPr="00673C1F">
        <w:t xml:space="preserve"> </w:t>
      </w:r>
      <w:r w:rsidRPr="00673C1F">
        <w:t>the Commonwealth Superannuation Corporation reprofiling the transfer of funded benefits to the Consolidated Revenue Fund, earnings from the Future Fund and Australian</w:t>
      </w:r>
      <w:r w:rsidR="00E5101B" w:rsidRPr="00673C1F">
        <w:t xml:space="preserve"> </w:t>
      </w:r>
      <w:r w:rsidRPr="00673C1F">
        <w:t>Government Investment Funds</w:t>
      </w:r>
      <w:r w:rsidR="00DA7CF5" w:rsidRPr="00673C1F">
        <w:t>,</w:t>
      </w:r>
      <w:r w:rsidRPr="00673C1F">
        <w:t xml:space="preserve"> and interest on cash deposits. In addition, non</w:t>
      </w:r>
      <w:r w:rsidR="006D727E" w:rsidRPr="00673C1F">
        <w:noBreakHyphen/>
      </w:r>
      <w:r w:rsidRPr="00673C1F">
        <w:t>tax receipts have been revised up by $2.9</w:t>
      </w:r>
      <w:r w:rsidR="00EE590A" w:rsidRPr="00673C1F">
        <w:t> </w:t>
      </w:r>
      <w:r w:rsidRPr="00673C1F">
        <w:t>billion in 2027</w:t>
      </w:r>
      <w:r w:rsidR="00D32270" w:rsidRPr="00673C1F">
        <w:rPr>
          <w:rFonts w:ascii="Calibri" w:hAnsi="Calibri" w:cs="Calibri"/>
        </w:rPr>
        <w:t>–</w:t>
      </w:r>
      <w:r w:rsidRPr="00673C1F">
        <w:t>28 to account for the difference between the medium</w:t>
      </w:r>
      <w:r w:rsidR="006D727E" w:rsidRPr="00673C1F">
        <w:noBreakHyphen/>
      </w:r>
      <w:r w:rsidRPr="00673C1F">
        <w:t>term projection methodology at MYEFO and the forward estimate in this Budget. This increase in non</w:t>
      </w:r>
      <w:r w:rsidR="006D727E" w:rsidRPr="00673C1F">
        <w:noBreakHyphen/>
      </w:r>
      <w:r w:rsidRPr="00673C1F">
        <w:t>tax receipts is partially offset by revised assumptions under the Unclaimed Superannuation Monies program, reflecting less money in unclaimed superannuation accounts and greater amounts being reunited with active superannuation funds.</w:t>
      </w:r>
    </w:p>
    <w:p w14:paraId="614A6162" w14:textId="3F7BAAD1" w:rsidR="00970A83" w:rsidRPr="00673C1F" w:rsidRDefault="0000651C" w:rsidP="00B35BCB">
      <w:r w:rsidRPr="00673C1F">
        <w:t>Since MYEFO, policy decisions are expected to increase non</w:t>
      </w:r>
      <w:r w:rsidR="006D727E" w:rsidRPr="00673C1F">
        <w:noBreakHyphen/>
      </w:r>
      <w:r w:rsidRPr="00673C1F">
        <w:t>tax receipts by $0.5</w:t>
      </w:r>
      <w:r w:rsidR="00600903" w:rsidRPr="00673C1F">
        <w:t> </w:t>
      </w:r>
      <w:r w:rsidRPr="00673C1F">
        <w:t>billion in 2024–25, and by $3.2 billion over the five years from 2023–24 to 2027–28.</w:t>
      </w:r>
      <w:r w:rsidR="009C024E" w:rsidRPr="00673C1F">
        <w:t xml:space="preserve"> </w:t>
      </w:r>
    </w:p>
    <w:p w14:paraId="364224AD" w14:textId="3B69B4D0" w:rsidR="009A3C09" w:rsidRPr="00673C1F" w:rsidRDefault="009A3C09" w:rsidP="00970A83">
      <w:pPr>
        <w:rPr>
          <w:rFonts w:cstheme="minorHAnsi"/>
          <w:szCs w:val="19"/>
        </w:rPr>
      </w:pPr>
      <w:r w:rsidRPr="00673C1F">
        <w:br w:type="page"/>
      </w:r>
    </w:p>
    <w:p w14:paraId="603E9C61" w14:textId="0925A48F" w:rsidR="00996975" w:rsidRPr="00673C1F" w:rsidRDefault="00356E70" w:rsidP="00996975">
      <w:pPr>
        <w:pStyle w:val="TableHeading"/>
        <w:rPr>
          <w:rFonts w:asciiTheme="minorHAnsi" w:eastAsiaTheme="minorHAnsi" w:hAnsiTheme="minorHAnsi" w:cstheme="minorBidi"/>
          <w:sz w:val="22"/>
          <w:szCs w:val="22"/>
          <w:lang w:eastAsia="en-US"/>
        </w:rPr>
      </w:pPr>
      <w:r w:rsidRPr="00673C1F">
        <w:lastRenderedPageBreak/>
        <w:t>Table 5.5: Reconciliation of 202</w:t>
      </w:r>
      <w:r w:rsidR="00897C7F" w:rsidRPr="00673C1F">
        <w:t>3</w:t>
      </w:r>
      <w:r w:rsidRPr="00673C1F">
        <w:t>–2</w:t>
      </w:r>
      <w:r w:rsidR="00897C7F" w:rsidRPr="00673C1F">
        <w:t>4</w:t>
      </w:r>
      <w:r w:rsidRPr="00673C1F">
        <w:t xml:space="preserve"> general government (cash) receipt</w:t>
      </w:r>
      <w:r w:rsidR="00176D9D" w:rsidRPr="00673C1F">
        <w:t>s</w:t>
      </w:r>
      <w:r w:rsidR="00121E31" w:rsidRPr="00673C1F">
        <w:t xml:space="preserve"> </w:t>
      </w:r>
      <w:bookmarkStart w:id="44" w:name="_1776681586"/>
      <w:bookmarkStart w:id="45" w:name="_1776683209"/>
      <w:bookmarkEnd w:id="44"/>
      <w:bookmarkEnd w:id="45"/>
    </w:p>
    <w:tbl>
      <w:tblPr>
        <w:tblW w:w="5000" w:type="pct"/>
        <w:tblCellMar>
          <w:left w:w="0" w:type="dxa"/>
          <w:right w:w="28" w:type="dxa"/>
        </w:tblCellMar>
        <w:tblLook w:val="04A0" w:firstRow="1" w:lastRow="0" w:firstColumn="1" w:lastColumn="0" w:noHBand="0" w:noVBand="1"/>
      </w:tblPr>
      <w:tblGrid>
        <w:gridCol w:w="3088"/>
        <w:gridCol w:w="1123"/>
        <w:gridCol w:w="1123"/>
        <w:gridCol w:w="89"/>
        <w:gridCol w:w="1143"/>
        <w:gridCol w:w="1144"/>
      </w:tblGrid>
      <w:tr w:rsidR="00996975" w:rsidRPr="00673C1F" w14:paraId="7BFB1C71" w14:textId="77777777" w:rsidTr="00996975">
        <w:trPr>
          <w:trHeight w:hRule="exact" w:val="225"/>
        </w:trPr>
        <w:tc>
          <w:tcPr>
            <w:tcW w:w="2003" w:type="pct"/>
            <w:tcBorders>
              <w:top w:val="single" w:sz="4" w:space="0" w:color="293F5B"/>
              <w:left w:val="nil"/>
              <w:bottom w:val="nil"/>
              <w:right w:val="nil"/>
            </w:tcBorders>
            <w:shd w:val="clear" w:color="auto" w:fill="auto"/>
            <w:noWrap/>
            <w:vAlign w:val="center"/>
            <w:hideMark/>
          </w:tcPr>
          <w:p w14:paraId="1A30B528" w14:textId="0DE689BC" w:rsidR="00996975" w:rsidRPr="00673C1F" w:rsidRDefault="00996975" w:rsidP="00996975">
            <w:pPr>
              <w:spacing w:before="0" w:after="0" w:line="240" w:lineRule="auto"/>
              <w:rPr>
                <w:rFonts w:ascii="Arial" w:hAnsi="Arial" w:cs="Arial"/>
                <w:sz w:val="16"/>
                <w:szCs w:val="16"/>
              </w:rPr>
            </w:pPr>
            <w:r w:rsidRPr="00673C1F">
              <w:rPr>
                <w:rFonts w:ascii="Arial" w:hAnsi="Arial" w:cs="Arial"/>
                <w:sz w:val="16"/>
                <w:szCs w:val="16"/>
              </w:rPr>
              <w:t> </w:t>
            </w:r>
          </w:p>
        </w:tc>
        <w:tc>
          <w:tcPr>
            <w:tcW w:w="1456" w:type="pct"/>
            <w:gridSpan w:val="2"/>
            <w:tcBorders>
              <w:top w:val="single" w:sz="4" w:space="0" w:color="293F5B"/>
              <w:left w:val="nil"/>
              <w:bottom w:val="nil"/>
              <w:right w:val="nil"/>
            </w:tcBorders>
            <w:shd w:val="clear" w:color="auto" w:fill="auto"/>
            <w:noWrap/>
            <w:vAlign w:val="center"/>
            <w:hideMark/>
          </w:tcPr>
          <w:p w14:paraId="59A26DC3" w14:textId="77777777" w:rsidR="00996975" w:rsidRPr="00673C1F" w:rsidRDefault="00996975" w:rsidP="00996975">
            <w:pPr>
              <w:spacing w:before="0" w:after="0" w:line="240" w:lineRule="auto"/>
              <w:jc w:val="center"/>
              <w:rPr>
                <w:rFonts w:ascii="Arial" w:hAnsi="Arial" w:cs="Arial"/>
                <w:sz w:val="16"/>
                <w:szCs w:val="16"/>
              </w:rPr>
            </w:pPr>
            <w:r w:rsidRPr="00673C1F">
              <w:rPr>
                <w:rFonts w:ascii="Arial" w:hAnsi="Arial" w:cs="Arial"/>
                <w:sz w:val="16"/>
                <w:szCs w:val="16"/>
              </w:rPr>
              <w:t>Estimates</w:t>
            </w:r>
          </w:p>
        </w:tc>
        <w:tc>
          <w:tcPr>
            <w:tcW w:w="58" w:type="pct"/>
            <w:tcBorders>
              <w:top w:val="single" w:sz="4" w:space="0" w:color="293F5B"/>
              <w:left w:val="nil"/>
              <w:bottom w:val="nil"/>
              <w:right w:val="nil"/>
            </w:tcBorders>
            <w:shd w:val="clear" w:color="auto" w:fill="auto"/>
            <w:noWrap/>
            <w:vAlign w:val="center"/>
            <w:hideMark/>
          </w:tcPr>
          <w:p w14:paraId="4759AE73"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 </w:t>
            </w:r>
          </w:p>
        </w:tc>
        <w:tc>
          <w:tcPr>
            <w:tcW w:w="1483" w:type="pct"/>
            <w:gridSpan w:val="2"/>
            <w:tcBorders>
              <w:top w:val="single" w:sz="4" w:space="0" w:color="293F5B"/>
              <w:left w:val="nil"/>
              <w:bottom w:val="nil"/>
              <w:right w:val="nil"/>
            </w:tcBorders>
            <w:shd w:val="clear" w:color="auto" w:fill="auto"/>
            <w:noWrap/>
            <w:vAlign w:val="center"/>
            <w:hideMark/>
          </w:tcPr>
          <w:p w14:paraId="56865F19" w14:textId="77777777" w:rsidR="00996975" w:rsidRPr="00673C1F" w:rsidRDefault="00996975" w:rsidP="00996975">
            <w:pPr>
              <w:spacing w:before="0" w:after="0" w:line="240" w:lineRule="auto"/>
              <w:jc w:val="center"/>
              <w:rPr>
                <w:rFonts w:ascii="Arial" w:hAnsi="Arial" w:cs="Arial"/>
                <w:sz w:val="16"/>
                <w:szCs w:val="16"/>
              </w:rPr>
            </w:pPr>
            <w:r w:rsidRPr="00673C1F">
              <w:rPr>
                <w:rFonts w:ascii="Arial" w:hAnsi="Arial" w:cs="Arial"/>
                <w:sz w:val="16"/>
                <w:szCs w:val="16"/>
              </w:rPr>
              <w:t>Change on MYEFO</w:t>
            </w:r>
          </w:p>
        </w:tc>
      </w:tr>
      <w:tr w:rsidR="00996975" w:rsidRPr="00673C1F" w14:paraId="219C2081" w14:textId="77777777" w:rsidTr="00996975">
        <w:trPr>
          <w:trHeight w:hRule="exact" w:val="225"/>
        </w:trPr>
        <w:tc>
          <w:tcPr>
            <w:tcW w:w="2003" w:type="pct"/>
            <w:tcBorders>
              <w:top w:val="nil"/>
              <w:left w:val="nil"/>
              <w:bottom w:val="nil"/>
              <w:right w:val="nil"/>
            </w:tcBorders>
            <w:shd w:val="clear" w:color="auto" w:fill="auto"/>
            <w:noWrap/>
            <w:vAlign w:val="center"/>
            <w:hideMark/>
          </w:tcPr>
          <w:p w14:paraId="6B7F1D80" w14:textId="77777777" w:rsidR="00996975" w:rsidRPr="00673C1F" w:rsidRDefault="00996975" w:rsidP="00996975">
            <w:pPr>
              <w:spacing w:before="0" w:after="0" w:line="240" w:lineRule="auto"/>
              <w:jc w:val="center"/>
              <w:rPr>
                <w:rFonts w:ascii="Arial" w:hAnsi="Arial" w:cs="Arial"/>
                <w:sz w:val="16"/>
                <w:szCs w:val="16"/>
              </w:rPr>
            </w:pPr>
          </w:p>
        </w:tc>
        <w:tc>
          <w:tcPr>
            <w:tcW w:w="728" w:type="pct"/>
            <w:tcBorders>
              <w:top w:val="single" w:sz="4" w:space="0" w:color="293F5B"/>
              <w:left w:val="nil"/>
              <w:bottom w:val="nil"/>
              <w:right w:val="nil"/>
            </w:tcBorders>
            <w:shd w:val="clear" w:color="000000" w:fill="FFFFFF"/>
            <w:noWrap/>
            <w:vAlign w:val="center"/>
            <w:hideMark/>
          </w:tcPr>
          <w:p w14:paraId="069B9A7C"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MYEFO</w:t>
            </w:r>
          </w:p>
        </w:tc>
        <w:tc>
          <w:tcPr>
            <w:tcW w:w="728" w:type="pct"/>
            <w:tcBorders>
              <w:top w:val="single" w:sz="4" w:space="0" w:color="293F5B"/>
              <w:left w:val="nil"/>
              <w:bottom w:val="nil"/>
              <w:right w:val="nil"/>
            </w:tcBorders>
            <w:shd w:val="clear" w:color="000000" w:fill="E6F2FF"/>
            <w:noWrap/>
            <w:vAlign w:val="center"/>
            <w:hideMark/>
          </w:tcPr>
          <w:p w14:paraId="1A823894"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Budget</w:t>
            </w:r>
          </w:p>
        </w:tc>
        <w:tc>
          <w:tcPr>
            <w:tcW w:w="58" w:type="pct"/>
            <w:tcBorders>
              <w:top w:val="nil"/>
              <w:left w:val="nil"/>
              <w:bottom w:val="nil"/>
              <w:right w:val="nil"/>
            </w:tcBorders>
            <w:shd w:val="clear" w:color="auto" w:fill="auto"/>
            <w:noWrap/>
            <w:vAlign w:val="center"/>
            <w:hideMark/>
          </w:tcPr>
          <w:p w14:paraId="10C13BB8" w14:textId="77777777" w:rsidR="00996975" w:rsidRPr="00673C1F" w:rsidRDefault="00996975" w:rsidP="00996975">
            <w:pPr>
              <w:spacing w:before="0" w:after="0" w:line="240" w:lineRule="auto"/>
              <w:jc w:val="right"/>
              <w:rPr>
                <w:rFonts w:ascii="Arial" w:hAnsi="Arial" w:cs="Arial"/>
                <w:sz w:val="16"/>
                <w:szCs w:val="16"/>
              </w:rPr>
            </w:pPr>
          </w:p>
        </w:tc>
        <w:tc>
          <w:tcPr>
            <w:tcW w:w="741" w:type="pct"/>
            <w:tcBorders>
              <w:top w:val="single" w:sz="4" w:space="0" w:color="293F5B"/>
              <w:left w:val="nil"/>
              <w:bottom w:val="nil"/>
              <w:right w:val="nil"/>
            </w:tcBorders>
            <w:shd w:val="clear" w:color="auto" w:fill="auto"/>
            <w:noWrap/>
            <w:vAlign w:val="center"/>
            <w:hideMark/>
          </w:tcPr>
          <w:p w14:paraId="601CACED"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 </w:t>
            </w:r>
          </w:p>
        </w:tc>
        <w:tc>
          <w:tcPr>
            <w:tcW w:w="741" w:type="pct"/>
            <w:tcBorders>
              <w:top w:val="single" w:sz="4" w:space="0" w:color="293F5B"/>
              <w:left w:val="nil"/>
              <w:bottom w:val="nil"/>
              <w:right w:val="nil"/>
            </w:tcBorders>
            <w:shd w:val="clear" w:color="auto" w:fill="auto"/>
            <w:noWrap/>
            <w:vAlign w:val="center"/>
            <w:hideMark/>
          </w:tcPr>
          <w:p w14:paraId="4722EAF2"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 </w:t>
            </w:r>
          </w:p>
        </w:tc>
      </w:tr>
      <w:tr w:rsidR="00996975" w:rsidRPr="00673C1F" w14:paraId="0848EFD7" w14:textId="77777777" w:rsidTr="00996975">
        <w:trPr>
          <w:trHeight w:hRule="exact" w:val="225"/>
        </w:trPr>
        <w:tc>
          <w:tcPr>
            <w:tcW w:w="2003" w:type="pct"/>
            <w:tcBorders>
              <w:top w:val="nil"/>
              <w:left w:val="nil"/>
              <w:bottom w:val="nil"/>
              <w:right w:val="nil"/>
            </w:tcBorders>
            <w:shd w:val="clear" w:color="auto" w:fill="auto"/>
            <w:vAlign w:val="center"/>
            <w:hideMark/>
          </w:tcPr>
          <w:p w14:paraId="7D97BF7D" w14:textId="77777777" w:rsidR="00996975" w:rsidRPr="00673C1F" w:rsidRDefault="00996975" w:rsidP="00996975">
            <w:pPr>
              <w:spacing w:before="0" w:after="0" w:line="240" w:lineRule="auto"/>
              <w:jc w:val="right"/>
              <w:rPr>
                <w:rFonts w:ascii="Arial" w:hAnsi="Arial" w:cs="Arial"/>
                <w:sz w:val="16"/>
                <w:szCs w:val="16"/>
              </w:rPr>
            </w:pPr>
          </w:p>
        </w:tc>
        <w:tc>
          <w:tcPr>
            <w:tcW w:w="728" w:type="pct"/>
            <w:tcBorders>
              <w:top w:val="nil"/>
              <w:left w:val="nil"/>
              <w:bottom w:val="nil"/>
              <w:right w:val="nil"/>
            </w:tcBorders>
            <w:shd w:val="clear" w:color="auto" w:fill="auto"/>
            <w:vAlign w:val="center"/>
            <w:hideMark/>
          </w:tcPr>
          <w:p w14:paraId="419A1B51"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$m</w:t>
            </w:r>
          </w:p>
        </w:tc>
        <w:tc>
          <w:tcPr>
            <w:tcW w:w="728" w:type="pct"/>
            <w:tcBorders>
              <w:top w:val="nil"/>
              <w:left w:val="nil"/>
              <w:bottom w:val="nil"/>
              <w:right w:val="nil"/>
            </w:tcBorders>
            <w:shd w:val="clear" w:color="000000" w:fill="E6F2FF"/>
            <w:noWrap/>
            <w:vAlign w:val="center"/>
            <w:hideMark/>
          </w:tcPr>
          <w:p w14:paraId="5016C479"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$m</w:t>
            </w:r>
          </w:p>
        </w:tc>
        <w:tc>
          <w:tcPr>
            <w:tcW w:w="58" w:type="pct"/>
            <w:tcBorders>
              <w:top w:val="nil"/>
              <w:left w:val="nil"/>
              <w:bottom w:val="nil"/>
              <w:right w:val="nil"/>
            </w:tcBorders>
            <w:shd w:val="clear" w:color="auto" w:fill="auto"/>
            <w:vAlign w:val="center"/>
            <w:hideMark/>
          </w:tcPr>
          <w:p w14:paraId="147C2BD4" w14:textId="77777777" w:rsidR="00996975" w:rsidRPr="00673C1F" w:rsidRDefault="00996975" w:rsidP="00996975">
            <w:pPr>
              <w:spacing w:before="0" w:after="0" w:line="240" w:lineRule="auto"/>
              <w:jc w:val="right"/>
              <w:rPr>
                <w:rFonts w:ascii="Arial" w:hAnsi="Arial" w:cs="Arial"/>
                <w:sz w:val="16"/>
                <w:szCs w:val="16"/>
              </w:rPr>
            </w:pPr>
          </w:p>
        </w:tc>
        <w:tc>
          <w:tcPr>
            <w:tcW w:w="741" w:type="pct"/>
            <w:tcBorders>
              <w:top w:val="nil"/>
              <w:left w:val="nil"/>
              <w:bottom w:val="nil"/>
              <w:right w:val="nil"/>
            </w:tcBorders>
            <w:shd w:val="clear" w:color="auto" w:fill="auto"/>
            <w:vAlign w:val="center"/>
            <w:hideMark/>
          </w:tcPr>
          <w:p w14:paraId="7AAA1DA2"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$m</w:t>
            </w:r>
          </w:p>
        </w:tc>
        <w:tc>
          <w:tcPr>
            <w:tcW w:w="741" w:type="pct"/>
            <w:tcBorders>
              <w:top w:val="nil"/>
              <w:left w:val="nil"/>
              <w:bottom w:val="nil"/>
              <w:right w:val="nil"/>
            </w:tcBorders>
            <w:shd w:val="clear" w:color="auto" w:fill="auto"/>
            <w:vAlign w:val="center"/>
            <w:hideMark/>
          </w:tcPr>
          <w:p w14:paraId="6B3FC3D7"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w:t>
            </w:r>
          </w:p>
        </w:tc>
      </w:tr>
      <w:tr w:rsidR="00996975" w:rsidRPr="00673C1F" w14:paraId="44C68B13" w14:textId="77777777" w:rsidTr="00996975">
        <w:trPr>
          <w:trHeight w:hRule="exact" w:val="225"/>
        </w:trPr>
        <w:tc>
          <w:tcPr>
            <w:tcW w:w="2003" w:type="pct"/>
            <w:tcBorders>
              <w:top w:val="nil"/>
              <w:left w:val="nil"/>
              <w:bottom w:val="nil"/>
              <w:right w:val="nil"/>
            </w:tcBorders>
            <w:shd w:val="clear" w:color="auto" w:fill="auto"/>
            <w:noWrap/>
            <w:vAlign w:val="center"/>
            <w:hideMark/>
          </w:tcPr>
          <w:p w14:paraId="7125D1C3" w14:textId="77777777" w:rsidR="00996975" w:rsidRPr="00673C1F" w:rsidRDefault="00996975" w:rsidP="00996975">
            <w:pPr>
              <w:spacing w:before="0" w:after="0" w:line="240" w:lineRule="auto"/>
              <w:rPr>
                <w:rFonts w:ascii="Arial" w:hAnsi="Arial" w:cs="Arial"/>
                <w:sz w:val="16"/>
                <w:szCs w:val="16"/>
              </w:rPr>
            </w:pPr>
            <w:r w:rsidRPr="00673C1F">
              <w:rPr>
                <w:rFonts w:ascii="Arial" w:hAnsi="Arial" w:cs="Arial"/>
                <w:sz w:val="16"/>
                <w:szCs w:val="16"/>
              </w:rPr>
              <w:t>Individuals and other withholding taxes</w:t>
            </w:r>
          </w:p>
        </w:tc>
        <w:tc>
          <w:tcPr>
            <w:tcW w:w="728" w:type="pct"/>
            <w:tcBorders>
              <w:top w:val="single" w:sz="4" w:space="0" w:color="293F5B"/>
              <w:left w:val="nil"/>
              <w:bottom w:val="nil"/>
              <w:right w:val="nil"/>
            </w:tcBorders>
            <w:shd w:val="clear" w:color="auto" w:fill="auto"/>
            <w:noWrap/>
            <w:vAlign w:val="center"/>
            <w:hideMark/>
          </w:tcPr>
          <w:p w14:paraId="52ED0AB1"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 </w:t>
            </w:r>
          </w:p>
        </w:tc>
        <w:tc>
          <w:tcPr>
            <w:tcW w:w="728" w:type="pct"/>
            <w:tcBorders>
              <w:top w:val="single" w:sz="4" w:space="0" w:color="293F5B"/>
              <w:left w:val="nil"/>
              <w:bottom w:val="nil"/>
              <w:right w:val="nil"/>
            </w:tcBorders>
            <w:shd w:val="clear" w:color="000000" w:fill="E6F2FF"/>
            <w:noWrap/>
            <w:vAlign w:val="center"/>
            <w:hideMark/>
          </w:tcPr>
          <w:p w14:paraId="6AC01505" w14:textId="77777777" w:rsidR="00996975" w:rsidRPr="00673C1F" w:rsidRDefault="00996975" w:rsidP="00996975">
            <w:pPr>
              <w:spacing w:before="0" w:after="0" w:line="240" w:lineRule="auto"/>
              <w:rPr>
                <w:rFonts w:ascii="Arial" w:hAnsi="Arial" w:cs="Arial"/>
                <w:sz w:val="16"/>
                <w:szCs w:val="16"/>
              </w:rPr>
            </w:pPr>
            <w:r w:rsidRPr="00673C1F">
              <w:rPr>
                <w:rFonts w:ascii="Arial" w:hAnsi="Arial" w:cs="Arial"/>
                <w:sz w:val="16"/>
                <w:szCs w:val="16"/>
              </w:rPr>
              <w:t> </w:t>
            </w:r>
          </w:p>
        </w:tc>
        <w:tc>
          <w:tcPr>
            <w:tcW w:w="58" w:type="pct"/>
            <w:tcBorders>
              <w:top w:val="nil"/>
              <w:left w:val="nil"/>
              <w:bottom w:val="nil"/>
              <w:right w:val="nil"/>
            </w:tcBorders>
            <w:shd w:val="clear" w:color="auto" w:fill="auto"/>
            <w:noWrap/>
            <w:vAlign w:val="center"/>
            <w:hideMark/>
          </w:tcPr>
          <w:p w14:paraId="65F35028" w14:textId="77777777" w:rsidR="00996975" w:rsidRPr="00673C1F" w:rsidRDefault="00996975" w:rsidP="00996975">
            <w:pPr>
              <w:spacing w:before="0" w:after="0" w:line="240" w:lineRule="auto"/>
              <w:rPr>
                <w:rFonts w:ascii="Arial" w:hAnsi="Arial" w:cs="Arial"/>
                <w:sz w:val="16"/>
                <w:szCs w:val="16"/>
              </w:rPr>
            </w:pPr>
          </w:p>
        </w:tc>
        <w:tc>
          <w:tcPr>
            <w:tcW w:w="741" w:type="pct"/>
            <w:tcBorders>
              <w:top w:val="single" w:sz="4" w:space="0" w:color="293F5B"/>
              <w:left w:val="nil"/>
              <w:bottom w:val="nil"/>
              <w:right w:val="nil"/>
            </w:tcBorders>
            <w:shd w:val="clear" w:color="auto" w:fill="auto"/>
            <w:noWrap/>
            <w:vAlign w:val="center"/>
            <w:hideMark/>
          </w:tcPr>
          <w:p w14:paraId="42570B96" w14:textId="77777777" w:rsidR="00996975" w:rsidRPr="00673C1F" w:rsidRDefault="00996975" w:rsidP="00996975">
            <w:pPr>
              <w:spacing w:before="0" w:after="0" w:line="240" w:lineRule="auto"/>
              <w:rPr>
                <w:rFonts w:ascii="Arial" w:hAnsi="Arial" w:cs="Arial"/>
                <w:b/>
                <w:bCs/>
                <w:sz w:val="16"/>
                <w:szCs w:val="16"/>
              </w:rPr>
            </w:pPr>
            <w:r w:rsidRPr="00673C1F">
              <w:rPr>
                <w:rFonts w:ascii="Arial" w:hAnsi="Arial" w:cs="Arial"/>
                <w:b/>
                <w:bCs/>
                <w:sz w:val="16"/>
                <w:szCs w:val="16"/>
              </w:rPr>
              <w:t> </w:t>
            </w:r>
          </w:p>
        </w:tc>
        <w:tc>
          <w:tcPr>
            <w:tcW w:w="741" w:type="pct"/>
            <w:tcBorders>
              <w:top w:val="single" w:sz="4" w:space="0" w:color="293F5B"/>
              <w:left w:val="nil"/>
              <w:bottom w:val="nil"/>
              <w:right w:val="nil"/>
            </w:tcBorders>
            <w:shd w:val="clear" w:color="auto" w:fill="auto"/>
            <w:noWrap/>
            <w:vAlign w:val="center"/>
            <w:hideMark/>
          </w:tcPr>
          <w:p w14:paraId="20645967" w14:textId="77777777" w:rsidR="00996975" w:rsidRPr="00673C1F" w:rsidRDefault="00996975" w:rsidP="00996975">
            <w:pPr>
              <w:spacing w:before="0" w:after="0" w:line="240" w:lineRule="auto"/>
              <w:rPr>
                <w:rFonts w:ascii="Arial" w:hAnsi="Arial" w:cs="Arial"/>
                <w:b/>
                <w:bCs/>
                <w:sz w:val="16"/>
                <w:szCs w:val="16"/>
              </w:rPr>
            </w:pPr>
            <w:r w:rsidRPr="00673C1F">
              <w:rPr>
                <w:rFonts w:ascii="Arial" w:hAnsi="Arial" w:cs="Arial"/>
                <w:b/>
                <w:bCs/>
                <w:sz w:val="16"/>
                <w:szCs w:val="16"/>
              </w:rPr>
              <w:t> </w:t>
            </w:r>
          </w:p>
        </w:tc>
      </w:tr>
      <w:tr w:rsidR="00996975" w:rsidRPr="00673C1F" w14:paraId="6C649A81" w14:textId="77777777" w:rsidTr="00996975">
        <w:trPr>
          <w:trHeight w:hRule="exact" w:val="225"/>
        </w:trPr>
        <w:tc>
          <w:tcPr>
            <w:tcW w:w="2003" w:type="pct"/>
            <w:tcBorders>
              <w:top w:val="nil"/>
              <w:left w:val="nil"/>
              <w:bottom w:val="nil"/>
              <w:right w:val="nil"/>
            </w:tcBorders>
            <w:shd w:val="clear" w:color="auto" w:fill="auto"/>
            <w:noWrap/>
            <w:vAlign w:val="center"/>
            <w:hideMark/>
          </w:tcPr>
          <w:p w14:paraId="0FD23CC2" w14:textId="77777777" w:rsidR="00996975" w:rsidRPr="00673C1F" w:rsidRDefault="00996975" w:rsidP="00996975">
            <w:pPr>
              <w:spacing w:before="0" w:after="0" w:line="240" w:lineRule="auto"/>
              <w:ind w:left="170"/>
              <w:rPr>
                <w:rFonts w:ascii="Arial" w:hAnsi="Arial" w:cs="Arial"/>
                <w:sz w:val="16"/>
                <w:szCs w:val="16"/>
              </w:rPr>
            </w:pPr>
            <w:r w:rsidRPr="00673C1F">
              <w:rPr>
                <w:rFonts w:ascii="Arial" w:hAnsi="Arial" w:cs="Arial"/>
                <w:sz w:val="16"/>
                <w:szCs w:val="16"/>
              </w:rPr>
              <w:t>Gross income tax withholding</w:t>
            </w:r>
          </w:p>
        </w:tc>
        <w:tc>
          <w:tcPr>
            <w:tcW w:w="728" w:type="pct"/>
            <w:tcBorders>
              <w:top w:val="nil"/>
              <w:left w:val="nil"/>
              <w:bottom w:val="nil"/>
              <w:right w:val="nil"/>
            </w:tcBorders>
            <w:shd w:val="clear" w:color="auto" w:fill="auto"/>
            <w:noWrap/>
            <w:vAlign w:val="center"/>
            <w:hideMark/>
          </w:tcPr>
          <w:p w14:paraId="0F71A4B0"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291,600</w:t>
            </w:r>
          </w:p>
        </w:tc>
        <w:tc>
          <w:tcPr>
            <w:tcW w:w="728" w:type="pct"/>
            <w:tcBorders>
              <w:top w:val="nil"/>
              <w:left w:val="nil"/>
              <w:bottom w:val="nil"/>
              <w:right w:val="nil"/>
            </w:tcBorders>
            <w:shd w:val="clear" w:color="000000" w:fill="E6F2FF"/>
            <w:noWrap/>
            <w:vAlign w:val="center"/>
            <w:hideMark/>
          </w:tcPr>
          <w:p w14:paraId="15C7AEFC"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296,000</w:t>
            </w:r>
          </w:p>
        </w:tc>
        <w:tc>
          <w:tcPr>
            <w:tcW w:w="58" w:type="pct"/>
            <w:tcBorders>
              <w:top w:val="nil"/>
              <w:left w:val="nil"/>
              <w:bottom w:val="nil"/>
              <w:right w:val="nil"/>
            </w:tcBorders>
            <w:shd w:val="clear" w:color="auto" w:fill="auto"/>
            <w:noWrap/>
            <w:vAlign w:val="center"/>
            <w:hideMark/>
          </w:tcPr>
          <w:p w14:paraId="2890B21F" w14:textId="77777777" w:rsidR="00996975" w:rsidRPr="00673C1F" w:rsidRDefault="00996975" w:rsidP="00996975">
            <w:pPr>
              <w:spacing w:before="0" w:after="0" w:line="240" w:lineRule="auto"/>
              <w:jc w:val="right"/>
              <w:rPr>
                <w:rFonts w:ascii="Arial" w:hAnsi="Arial" w:cs="Arial"/>
                <w:sz w:val="16"/>
                <w:szCs w:val="16"/>
              </w:rPr>
            </w:pPr>
          </w:p>
        </w:tc>
        <w:tc>
          <w:tcPr>
            <w:tcW w:w="741" w:type="pct"/>
            <w:tcBorders>
              <w:top w:val="nil"/>
              <w:left w:val="nil"/>
              <w:bottom w:val="nil"/>
              <w:right w:val="nil"/>
            </w:tcBorders>
            <w:shd w:val="clear" w:color="auto" w:fill="auto"/>
            <w:noWrap/>
            <w:vAlign w:val="center"/>
            <w:hideMark/>
          </w:tcPr>
          <w:p w14:paraId="520E080E"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4,400</w:t>
            </w:r>
          </w:p>
        </w:tc>
        <w:tc>
          <w:tcPr>
            <w:tcW w:w="741" w:type="pct"/>
            <w:tcBorders>
              <w:top w:val="nil"/>
              <w:left w:val="nil"/>
              <w:bottom w:val="nil"/>
              <w:right w:val="nil"/>
            </w:tcBorders>
            <w:shd w:val="clear" w:color="auto" w:fill="auto"/>
            <w:noWrap/>
            <w:vAlign w:val="center"/>
            <w:hideMark/>
          </w:tcPr>
          <w:p w14:paraId="7F57F525"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1.5</w:t>
            </w:r>
          </w:p>
        </w:tc>
      </w:tr>
      <w:tr w:rsidR="00996975" w:rsidRPr="00673C1F" w14:paraId="0BD0DBA0" w14:textId="77777777" w:rsidTr="00996975">
        <w:trPr>
          <w:trHeight w:hRule="exact" w:val="225"/>
        </w:trPr>
        <w:tc>
          <w:tcPr>
            <w:tcW w:w="2003" w:type="pct"/>
            <w:tcBorders>
              <w:top w:val="nil"/>
              <w:left w:val="nil"/>
              <w:bottom w:val="nil"/>
              <w:right w:val="nil"/>
            </w:tcBorders>
            <w:shd w:val="clear" w:color="auto" w:fill="auto"/>
            <w:noWrap/>
            <w:vAlign w:val="center"/>
            <w:hideMark/>
          </w:tcPr>
          <w:p w14:paraId="6A882FB0" w14:textId="77777777" w:rsidR="00996975" w:rsidRPr="00673C1F" w:rsidRDefault="00996975" w:rsidP="00996975">
            <w:pPr>
              <w:spacing w:before="0" w:after="0" w:line="240" w:lineRule="auto"/>
              <w:ind w:left="170"/>
              <w:rPr>
                <w:rFonts w:ascii="Arial" w:hAnsi="Arial" w:cs="Arial"/>
                <w:sz w:val="16"/>
                <w:szCs w:val="16"/>
              </w:rPr>
            </w:pPr>
            <w:r w:rsidRPr="00673C1F">
              <w:rPr>
                <w:rFonts w:ascii="Arial" w:hAnsi="Arial" w:cs="Arial"/>
                <w:sz w:val="16"/>
                <w:szCs w:val="16"/>
              </w:rPr>
              <w:t>Gross other individuals</w:t>
            </w:r>
          </w:p>
        </w:tc>
        <w:tc>
          <w:tcPr>
            <w:tcW w:w="728" w:type="pct"/>
            <w:tcBorders>
              <w:top w:val="nil"/>
              <w:left w:val="nil"/>
              <w:bottom w:val="nil"/>
              <w:right w:val="nil"/>
            </w:tcBorders>
            <w:shd w:val="clear" w:color="auto" w:fill="auto"/>
            <w:noWrap/>
            <w:vAlign w:val="center"/>
            <w:hideMark/>
          </w:tcPr>
          <w:p w14:paraId="059A5147"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73,700</w:t>
            </w:r>
          </w:p>
        </w:tc>
        <w:tc>
          <w:tcPr>
            <w:tcW w:w="728" w:type="pct"/>
            <w:tcBorders>
              <w:top w:val="nil"/>
              <w:left w:val="nil"/>
              <w:bottom w:val="nil"/>
              <w:right w:val="nil"/>
            </w:tcBorders>
            <w:shd w:val="clear" w:color="000000" w:fill="E6F2FF"/>
            <w:noWrap/>
            <w:vAlign w:val="center"/>
            <w:hideMark/>
          </w:tcPr>
          <w:p w14:paraId="0C2CB835"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76,100</w:t>
            </w:r>
          </w:p>
        </w:tc>
        <w:tc>
          <w:tcPr>
            <w:tcW w:w="58" w:type="pct"/>
            <w:tcBorders>
              <w:top w:val="nil"/>
              <w:left w:val="nil"/>
              <w:bottom w:val="nil"/>
              <w:right w:val="nil"/>
            </w:tcBorders>
            <w:shd w:val="clear" w:color="auto" w:fill="auto"/>
            <w:noWrap/>
            <w:vAlign w:val="center"/>
            <w:hideMark/>
          </w:tcPr>
          <w:p w14:paraId="2AA39190" w14:textId="77777777" w:rsidR="00996975" w:rsidRPr="00673C1F" w:rsidRDefault="00996975" w:rsidP="00996975">
            <w:pPr>
              <w:spacing w:before="0" w:after="0" w:line="240" w:lineRule="auto"/>
              <w:jc w:val="right"/>
              <w:rPr>
                <w:rFonts w:ascii="Arial" w:hAnsi="Arial" w:cs="Arial"/>
                <w:sz w:val="16"/>
                <w:szCs w:val="16"/>
              </w:rPr>
            </w:pPr>
          </w:p>
        </w:tc>
        <w:tc>
          <w:tcPr>
            <w:tcW w:w="741" w:type="pct"/>
            <w:tcBorders>
              <w:top w:val="nil"/>
              <w:left w:val="nil"/>
              <w:bottom w:val="nil"/>
              <w:right w:val="nil"/>
            </w:tcBorders>
            <w:shd w:val="clear" w:color="auto" w:fill="auto"/>
            <w:noWrap/>
            <w:vAlign w:val="center"/>
            <w:hideMark/>
          </w:tcPr>
          <w:p w14:paraId="6013FFA7"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2,400</w:t>
            </w:r>
          </w:p>
        </w:tc>
        <w:tc>
          <w:tcPr>
            <w:tcW w:w="741" w:type="pct"/>
            <w:tcBorders>
              <w:top w:val="nil"/>
              <w:left w:val="nil"/>
              <w:bottom w:val="nil"/>
              <w:right w:val="nil"/>
            </w:tcBorders>
            <w:shd w:val="clear" w:color="auto" w:fill="auto"/>
            <w:noWrap/>
            <w:vAlign w:val="center"/>
            <w:hideMark/>
          </w:tcPr>
          <w:p w14:paraId="7A43884D"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3.3</w:t>
            </w:r>
          </w:p>
        </w:tc>
      </w:tr>
      <w:tr w:rsidR="00996975" w:rsidRPr="00673C1F" w14:paraId="4EC458B3" w14:textId="77777777" w:rsidTr="00996975">
        <w:trPr>
          <w:trHeight w:hRule="exact" w:val="225"/>
        </w:trPr>
        <w:tc>
          <w:tcPr>
            <w:tcW w:w="2003" w:type="pct"/>
            <w:tcBorders>
              <w:top w:val="nil"/>
              <w:left w:val="nil"/>
              <w:bottom w:val="nil"/>
              <w:right w:val="nil"/>
            </w:tcBorders>
            <w:shd w:val="clear" w:color="auto" w:fill="auto"/>
            <w:noWrap/>
            <w:vAlign w:val="center"/>
            <w:hideMark/>
          </w:tcPr>
          <w:p w14:paraId="66864118" w14:textId="77777777" w:rsidR="00996975" w:rsidRPr="00673C1F" w:rsidRDefault="00996975" w:rsidP="00996975">
            <w:pPr>
              <w:spacing w:before="0" w:after="0" w:line="240" w:lineRule="auto"/>
              <w:ind w:left="170"/>
              <w:rPr>
                <w:rFonts w:ascii="Arial" w:hAnsi="Arial" w:cs="Arial"/>
                <w:i/>
                <w:iCs/>
                <w:sz w:val="16"/>
                <w:szCs w:val="16"/>
              </w:rPr>
            </w:pPr>
            <w:r w:rsidRPr="00673C1F">
              <w:rPr>
                <w:rFonts w:ascii="Arial" w:hAnsi="Arial" w:cs="Arial"/>
                <w:i/>
                <w:iCs/>
                <w:sz w:val="16"/>
                <w:szCs w:val="16"/>
              </w:rPr>
              <w:t xml:space="preserve">less: </w:t>
            </w:r>
            <w:r w:rsidRPr="00673C1F">
              <w:rPr>
                <w:rFonts w:ascii="Arial" w:hAnsi="Arial" w:cs="Arial"/>
                <w:sz w:val="16"/>
                <w:szCs w:val="16"/>
              </w:rPr>
              <w:t>Refunds</w:t>
            </w:r>
          </w:p>
        </w:tc>
        <w:tc>
          <w:tcPr>
            <w:tcW w:w="728" w:type="pct"/>
            <w:tcBorders>
              <w:top w:val="nil"/>
              <w:left w:val="nil"/>
              <w:bottom w:val="single" w:sz="4" w:space="0" w:color="293F5B"/>
              <w:right w:val="nil"/>
            </w:tcBorders>
            <w:shd w:val="clear" w:color="auto" w:fill="auto"/>
            <w:noWrap/>
            <w:vAlign w:val="center"/>
            <w:hideMark/>
          </w:tcPr>
          <w:p w14:paraId="477C29DC"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37,000</w:t>
            </w:r>
          </w:p>
        </w:tc>
        <w:tc>
          <w:tcPr>
            <w:tcW w:w="728" w:type="pct"/>
            <w:tcBorders>
              <w:top w:val="nil"/>
              <w:left w:val="nil"/>
              <w:bottom w:val="single" w:sz="4" w:space="0" w:color="293F5B"/>
              <w:right w:val="nil"/>
            </w:tcBorders>
            <w:shd w:val="clear" w:color="000000" w:fill="E6F2FF"/>
            <w:noWrap/>
            <w:vAlign w:val="center"/>
            <w:hideMark/>
          </w:tcPr>
          <w:p w14:paraId="015EA53B"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37,500</w:t>
            </w:r>
          </w:p>
        </w:tc>
        <w:tc>
          <w:tcPr>
            <w:tcW w:w="58" w:type="pct"/>
            <w:tcBorders>
              <w:top w:val="nil"/>
              <w:left w:val="nil"/>
              <w:bottom w:val="nil"/>
              <w:right w:val="nil"/>
            </w:tcBorders>
            <w:shd w:val="clear" w:color="auto" w:fill="auto"/>
            <w:noWrap/>
            <w:vAlign w:val="center"/>
            <w:hideMark/>
          </w:tcPr>
          <w:p w14:paraId="26F586C7" w14:textId="77777777" w:rsidR="00996975" w:rsidRPr="00673C1F" w:rsidRDefault="00996975" w:rsidP="00996975">
            <w:pPr>
              <w:spacing w:before="0" w:after="0" w:line="240" w:lineRule="auto"/>
              <w:jc w:val="right"/>
              <w:rPr>
                <w:rFonts w:ascii="Arial" w:hAnsi="Arial" w:cs="Arial"/>
                <w:sz w:val="16"/>
                <w:szCs w:val="16"/>
              </w:rPr>
            </w:pPr>
          </w:p>
        </w:tc>
        <w:tc>
          <w:tcPr>
            <w:tcW w:w="741" w:type="pct"/>
            <w:tcBorders>
              <w:top w:val="nil"/>
              <w:left w:val="nil"/>
              <w:bottom w:val="single" w:sz="4" w:space="0" w:color="293F5B"/>
              <w:right w:val="nil"/>
            </w:tcBorders>
            <w:shd w:val="clear" w:color="auto" w:fill="auto"/>
            <w:noWrap/>
            <w:vAlign w:val="center"/>
            <w:hideMark/>
          </w:tcPr>
          <w:p w14:paraId="34403891"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500</w:t>
            </w:r>
          </w:p>
        </w:tc>
        <w:tc>
          <w:tcPr>
            <w:tcW w:w="741" w:type="pct"/>
            <w:tcBorders>
              <w:top w:val="nil"/>
              <w:left w:val="nil"/>
              <w:bottom w:val="single" w:sz="4" w:space="0" w:color="293F5B"/>
              <w:right w:val="nil"/>
            </w:tcBorders>
            <w:shd w:val="clear" w:color="auto" w:fill="auto"/>
            <w:noWrap/>
            <w:vAlign w:val="center"/>
            <w:hideMark/>
          </w:tcPr>
          <w:p w14:paraId="1EC6E177"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1.4</w:t>
            </w:r>
          </w:p>
        </w:tc>
      </w:tr>
      <w:tr w:rsidR="00996975" w:rsidRPr="00673C1F" w14:paraId="28DF5ACF" w14:textId="77777777" w:rsidTr="00996975">
        <w:trPr>
          <w:trHeight w:hRule="exact" w:val="225"/>
        </w:trPr>
        <w:tc>
          <w:tcPr>
            <w:tcW w:w="2003" w:type="pct"/>
            <w:tcBorders>
              <w:top w:val="nil"/>
              <w:left w:val="nil"/>
              <w:bottom w:val="nil"/>
              <w:right w:val="nil"/>
            </w:tcBorders>
            <w:shd w:val="clear" w:color="auto" w:fill="auto"/>
            <w:noWrap/>
            <w:vAlign w:val="center"/>
            <w:hideMark/>
          </w:tcPr>
          <w:p w14:paraId="5D8BB1A4" w14:textId="77777777" w:rsidR="00996975" w:rsidRPr="00673C1F" w:rsidRDefault="00996975" w:rsidP="00996975">
            <w:pPr>
              <w:spacing w:before="0" w:after="0" w:line="240" w:lineRule="auto"/>
              <w:rPr>
                <w:rFonts w:ascii="Arial" w:hAnsi="Arial" w:cs="Arial"/>
                <w:sz w:val="16"/>
                <w:szCs w:val="16"/>
              </w:rPr>
            </w:pPr>
            <w:r w:rsidRPr="00673C1F">
              <w:rPr>
                <w:rFonts w:ascii="Arial" w:hAnsi="Arial" w:cs="Arial"/>
                <w:sz w:val="16"/>
                <w:szCs w:val="16"/>
              </w:rPr>
              <w:t>Total individuals and other withholding tax</w:t>
            </w:r>
          </w:p>
        </w:tc>
        <w:tc>
          <w:tcPr>
            <w:tcW w:w="728" w:type="pct"/>
            <w:tcBorders>
              <w:top w:val="nil"/>
              <w:left w:val="nil"/>
              <w:bottom w:val="nil"/>
              <w:right w:val="nil"/>
            </w:tcBorders>
            <w:shd w:val="clear" w:color="auto" w:fill="auto"/>
            <w:noWrap/>
            <w:vAlign w:val="center"/>
            <w:hideMark/>
          </w:tcPr>
          <w:p w14:paraId="532AC43B"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328,300</w:t>
            </w:r>
          </w:p>
        </w:tc>
        <w:tc>
          <w:tcPr>
            <w:tcW w:w="728" w:type="pct"/>
            <w:tcBorders>
              <w:top w:val="nil"/>
              <w:left w:val="nil"/>
              <w:bottom w:val="nil"/>
              <w:right w:val="nil"/>
            </w:tcBorders>
            <w:shd w:val="clear" w:color="000000" w:fill="E6F2FF"/>
            <w:noWrap/>
            <w:vAlign w:val="center"/>
            <w:hideMark/>
          </w:tcPr>
          <w:p w14:paraId="2AB6FB9A"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334,600</w:t>
            </w:r>
          </w:p>
        </w:tc>
        <w:tc>
          <w:tcPr>
            <w:tcW w:w="58" w:type="pct"/>
            <w:tcBorders>
              <w:top w:val="nil"/>
              <w:left w:val="nil"/>
              <w:bottom w:val="nil"/>
              <w:right w:val="nil"/>
            </w:tcBorders>
            <w:shd w:val="clear" w:color="auto" w:fill="auto"/>
            <w:noWrap/>
            <w:vAlign w:val="center"/>
            <w:hideMark/>
          </w:tcPr>
          <w:p w14:paraId="48DF1990" w14:textId="77777777" w:rsidR="00996975" w:rsidRPr="00673C1F" w:rsidRDefault="00996975" w:rsidP="00996975">
            <w:pPr>
              <w:spacing w:before="0" w:after="0" w:line="240" w:lineRule="auto"/>
              <w:jc w:val="right"/>
              <w:rPr>
                <w:rFonts w:ascii="Arial" w:hAnsi="Arial" w:cs="Arial"/>
                <w:sz w:val="16"/>
                <w:szCs w:val="16"/>
              </w:rPr>
            </w:pPr>
          </w:p>
        </w:tc>
        <w:tc>
          <w:tcPr>
            <w:tcW w:w="741" w:type="pct"/>
            <w:tcBorders>
              <w:top w:val="nil"/>
              <w:left w:val="nil"/>
              <w:bottom w:val="nil"/>
              <w:right w:val="nil"/>
            </w:tcBorders>
            <w:shd w:val="clear" w:color="auto" w:fill="auto"/>
            <w:noWrap/>
            <w:vAlign w:val="center"/>
            <w:hideMark/>
          </w:tcPr>
          <w:p w14:paraId="31E48241"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6,300</w:t>
            </w:r>
          </w:p>
        </w:tc>
        <w:tc>
          <w:tcPr>
            <w:tcW w:w="741" w:type="pct"/>
            <w:tcBorders>
              <w:top w:val="nil"/>
              <w:left w:val="nil"/>
              <w:bottom w:val="nil"/>
              <w:right w:val="nil"/>
            </w:tcBorders>
            <w:shd w:val="clear" w:color="auto" w:fill="auto"/>
            <w:noWrap/>
            <w:vAlign w:val="center"/>
            <w:hideMark/>
          </w:tcPr>
          <w:p w14:paraId="2665C265"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1.9</w:t>
            </w:r>
          </w:p>
        </w:tc>
      </w:tr>
      <w:tr w:rsidR="00996975" w:rsidRPr="00673C1F" w14:paraId="3930F104" w14:textId="77777777" w:rsidTr="00996975">
        <w:trPr>
          <w:trHeight w:hRule="exact" w:val="225"/>
        </w:trPr>
        <w:tc>
          <w:tcPr>
            <w:tcW w:w="2003" w:type="pct"/>
            <w:tcBorders>
              <w:top w:val="nil"/>
              <w:left w:val="nil"/>
              <w:bottom w:val="nil"/>
              <w:right w:val="nil"/>
            </w:tcBorders>
            <w:shd w:val="clear" w:color="auto" w:fill="auto"/>
            <w:noWrap/>
            <w:vAlign w:val="center"/>
            <w:hideMark/>
          </w:tcPr>
          <w:p w14:paraId="1BAB80EE" w14:textId="77777777" w:rsidR="00996975" w:rsidRPr="00673C1F" w:rsidRDefault="00996975" w:rsidP="00996975">
            <w:pPr>
              <w:spacing w:before="0" w:after="0" w:line="240" w:lineRule="auto"/>
              <w:rPr>
                <w:rFonts w:ascii="Arial" w:hAnsi="Arial" w:cs="Arial"/>
                <w:sz w:val="16"/>
                <w:szCs w:val="16"/>
              </w:rPr>
            </w:pPr>
            <w:r w:rsidRPr="00673C1F">
              <w:rPr>
                <w:rFonts w:ascii="Arial" w:hAnsi="Arial" w:cs="Arial"/>
                <w:sz w:val="16"/>
                <w:szCs w:val="16"/>
              </w:rPr>
              <w:t>Fringe benefits tax</w:t>
            </w:r>
          </w:p>
        </w:tc>
        <w:tc>
          <w:tcPr>
            <w:tcW w:w="728" w:type="pct"/>
            <w:tcBorders>
              <w:top w:val="nil"/>
              <w:left w:val="nil"/>
              <w:bottom w:val="nil"/>
              <w:right w:val="nil"/>
            </w:tcBorders>
            <w:shd w:val="clear" w:color="auto" w:fill="auto"/>
            <w:noWrap/>
            <w:vAlign w:val="center"/>
            <w:hideMark/>
          </w:tcPr>
          <w:p w14:paraId="1D7DFA1D"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4,270</w:t>
            </w:r>
          </w:p>
        </w:tc>
        <w:tc>
          <w:tcPr>
            <w:tcW w:w="728" w:type="pct"/>
            <w:tcBorders>
              <w:top w:val="nil"/>
              <w:left w:val="nil"/>
              <w:bottom w:val="nil"/>
              <w:right w:val="nil"/>
            </w:tcBorders>
            <w:shd w:val="clear" w:color="000000" w:fill="E6F2FF"/>
            <w:noWrap/>
            <w:vAlign w:val="center"/>
            <w:hideMark/>
          </w:tcPr>
          <w:p w14:paraId="04F0E13D"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4,360</w:t>
            </w:r>
          </w:p>
        </w:tc>
        <w:tc>
          <w:tcPr>
            <w:tcW w:w="58" w:type="pct"/>
            <w:tcBorders>
              <w:top w:val="nil"/>
              <w:left w:val="nil"/>
              <w:bottom w:val="nil"/>
              <w:right w:val="nil"/>
            </w:tcBorders>
            <w:shd w:val="clear" w:color="auto" w:fill="auto"/>
            <w:noWrap/>
            <w:vAlign w:val="center"/>
            <w:hideMark/>
          </w:tcPr>
          <w:p w14:paraId="27FD8534" w14:textId="77777777" w:rsidR="00996975" w:rsidRPr="00673C1F" w:rsidRDefault="00996975" w:rsidP="00996975">
            <w:pPr>
              <w:spacing w:before="0" w:after="0" w:line="240" w:lineRule="auto"/>
              <w:jc w:val="right"/>
              <w:rPr>
                <w:rFonts w:ascii="Arial" w:hAnsi="Arial" w:cs="Arial"/>
                <w:sz w:val="16"/>
                <w:szCs w:val="16"/>
              </w:rPr>
            </w:pPr>
          </w:p>
        </w:tc>
        <w:tc>
          <w:tcPr>
            <w:tcW w:w="741" w:type="pct"/>
            <w:tcBorders>
              <w:top w:val="nil"/>
              <w:left w:val="nil"/>
              <w:bottom w:val="nil"/>
              <w:right w:val="nil"/>
            </w:tcBorders>
            <w:shd w:val="clear" w:color="auto" w:fill="auto"/>
            <w:noWrap/>
            <w:vAlign w:val="center"/>
            <w:hideMark/>
          </w:tcPr>
          <w:p w14:paraId="43EBDD87"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90</w:t>
            </w:r>
          </w:p>
        </w:tc>
        <w:tc>
          <w:tcPr>
            <w:tcW w:w="741" w:type="pct"/>
            <w:tcBorders>
              <w:top w:val="nil"/>
              <w:left w:val="nil"/>
              <w:bottom w:val="nil"/>
              <w:right w:val="nil"/>
            </w:tcBorders>
            <w:shd w:val="clear" w:color="auto" w:fill="auto"/>
            <w:noWrap/>
            <w:vAlign w:val="center"/>
            <w:hideMark/>
          </w:tcPr>
          <w:p w14:paraId="4A9E6261"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2.1</w:t>
            </w:r>
          </w:p>
        </w:tc>
      </w:tr>
      <w:tr w:rsidR="00996975" w:rsidRPr="00673C1F" w14:paraId="32325B6E" w14:textId="77777777" w:rsidTr="00996975">
        <w:trPr>
          <w:trHeight w:hRule="exact" w:val="225"/>
        </w:trPr>
        <w:tc>
          <w:tcPr>
            <w:tcW w:w="2003" w:type="pct"/>
            <w:tcBorders>
              <w:top w:val="nil"/>
              <w:left w:val="nil"/>
              <w:bottom w:val="nil"/>
              <w:right w:val="nil"/>
            </w:tcBorders>
            <w:shd w:val="clear" w:color="auto" w:fill="auto"/>
            <w:noWrap/>
            <w:vAlign w:val="center"/>
            <w:hideMark/>
          </w:tcPr>
          <w:p w14:paraId="259AEEC3" w14:textId="77777777" w:rsidR="00996975" w:rsidRPr="00673C1F" w:rsidRDefault="00996975" w:rsidP="00996975">
            <w:pPr>
              <w:spacing w:before="0" w:after="0" w:line="240" w:lineRule="auto"/>
              <w:rPr>
                <w:rFonts w:ascii="Arial" w:hAnsi="Arial" w:cs="Arial"/>
                <w:sz w:val="16"/>
                <w:szCs w:val="16"/>
              </w:rPr>
            </w:pPr>
            <w:r w:rsidRPr="00673C1F">
              <w:rPr>
                <w:rFonts w:ascii="Arial" w:hAnsi="Arial" w:cs="Arial"/>
                <w:sz w:val="16"/>
                <w:szCs w:val="16"/>
              </w:rPr>
              <w:t>Company tax</w:t>
            </w:r>
          </w:p>
        </w:tc>
        <w:tc>
          <w:tcPr>
            <w:tcW w:w="728" w:type="pct"/>
            <w:tcBorders>
              <w:top w:val="nil"/>
              <w:left w:val="nil"/>
              <w:bottom w:val="nil"/>
              <w:right w:val="nil"/>
            </w:tcBorders>
            <w:shd w:val="clear" w:color="auto" w:fill="auto"/>
            <w:noWrap/>
            <w:vAlign w:val="center"/>
            <w:hideMark/>
          </w:tcPr>
          <w:p w14:paraId="43C66D2E"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137,900</w:t>
            </w:r>
          </w:p>
        </w:tc>
        <w:tc>
          <w:tcPr>
            <w:tcW w:w="728" w:type="pct"/>
            <w:tcBorders>
              <w:top w:val="nil"/>
              <w:left w:val="nil"/>
              <w:bottom w:val="nil"/>
              <w:right w:val="nil"/>
            </w:tcBorders>
            <w:shd w:val="clear" w:color="000000" w:fill="E6F2FF"/>
            <w:noWrap/>
            <w:vAlign w:val="center"/>
            <w:hideMark/>
          </w:tcPr>
          <w:p w14:paraId="2E575C59"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142,900</w:t>
            </w:r>
          </w:p>
        </w:tc>
        <w:tc>
          <w:tcPr>
            <w:tcW w:w="58" w:type="pct"/>
            <w:tcBorders>
              <w:top w:val="nil"/>
              <w:left w:val="nil"/>
              <w:bottom w:val="nil"/>
              <w:right w:val="nil"/>
            </w:tcBorders>
            <w:shd w:val="clear" w:color="auto" w:fill="auto"/>
            <w:noWrap/>
            <w:vAlign w:val="center"/>
            <w:hideMark/>
          </w:tcPr>
          <w:p w14:paraId="687E859E" w14:textId="77777777" w:rsidR="00996975" w:rsidRPr="00673C1F" w:rsidRDefault="00996975" w:rsidP="00996975">
            <w:pPr>
              <w:spacing w:before="0" w:after="0" w:line="240" w:lineRule="auto"/>
              <w:jc w:val="right"/>
              <w:rPr>
                <w:rFonts w:ascii="Arial" w:hAnsi="Arial" w:cs="Arial"/>
                <w:sz w:val="16"/>
                <w:szCs w:val="16"/>
              </w:rPr>
            </w:pPr>
          </w:p>
        </w:tc>
        <w:tc>
          <w:tcPr>
            <w:tcW w:w="741" w:type="pct"/>
            <w:tcBorders>
              <w:top w:val="nil"/>
              <w:left w:val="nil"/>
              <w:bottom w:val="nil"/>
              <w:right w:val="nil"/>
            </w:tcBorders>
            <w:shd w:val="clear" w:color="auto" w:fill="auto"/>
            <w:noWrap/>
            <w:vAlign w:val="center"/>
            <w:hideMark/>
          </w:tcPr>
          <w:p w14:paraId="58D8DC95"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5,000</w:t>
            </w:r>
          </w:p>
        </w:tc>
        <w:tc>
          <w:tcPr>
            <w:tcW w:w="741" w:type="pct"/>
            <w:tcBorders>
              <w:top w:val="nil"/>
              <w:left w:val="nil"/>
              <w:bottom w:val="nil"/>
              <w:right w:val="nil"/>
            </w:tcBorders>
            <w:shd w:val="clear" w:color="auto" w:fill="auto"/>
            <w:noWrap/>
            <w:vAlign w:val="center"/>
            <w:hideMark/>
          </w:tcPr>
          <w:p w14:paraId="12932656"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3.6</w:t>
            </w:r>
          </w:p>
        </w:tc>
      </w:tr>
      <w:tr w:rsidR="00996975" w:rsidRPr="00673C1F" w14:paraId="7D8F761B" w14:textId="77777777" w:rsidTr="00996975">
        <w:trPr>
          <w:trHeight w:hRule="exact" w:val="225"/>
        </w:trPr>
        <w:tc>
          <w:tcPr>
            <w:tcW w:w="2003" w:type="pct"/>
            <w:tcBorders>
              <w:top w:val="nil"/>
              <w:left w:val="nil"/>
              <w:bottom w:val="nil"/>
              <w:right w:val="nil"/>
            </w:tcBorders>
            <w:shd w:val="clear" w:color="auto" w:fill="auto"/>
            <w:noWrap/>
            <w:vAlign w:val="center"/>
            <w:hideMark/>
          </w:tcPr>
          <w:p w14:paraId="50EA488D" w14:textId="77777777" w:rsidR="00996975" w:rsidRPr="00673C1F" w:rsidRDefault="00996975" w:rsidP="00996975">
            <w:pPr>
              <w:spacing w:before="0" w:after="0" w:line="240" w:lineRule="auto"/>
              <w:rPr>
                <w:rFonts w:ascii="Arial" w:hAnsi="Arial" w:cs="Arial"/>
                <w:sz w:val="16"/>
                <w:szCs w:val="16"/>
              </w:rPr>
            </w:pPr>
            <w:r w:rsidRPr="00673C1F">
              <w:rPr>
                <w:rFonts w:ascii="Arial" w:hAnsi="Arial" w:cs="Arial"/>
                <w:sz w:val="16"/>
                <w:szCs w:val="16"/>
              </w:rPr>
              <w:t>Superannuation fund taxes</w:t>
            </w:r>
          </w:p>
        </w:tc>
        <w:tc>
          <w:tcPr>
            <w:tcW w:w="728" w:type="pct"/>
            <w:tcBorders>
              <w:top w:val="nil"/>
              <w:left w:val="nil"/>
              <w:bottom w:val="nil"/>
              <w:right w:val="nil"/>
            </w:tcBorders>
            <w:shd w:val="clear" w:color="auto" w:fill="auto"/>
            <w:noWrap/>
            <w:vAlign w:val="center"/>
            <w:hideMark/>
          </w:tcPr>
          <w:p w14:paraId="46EE2EE6"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15,710</w:t>
            </w:r>
          </w:p>
        </w:tc>
        <w:tc>
          <w:tcPr>
            <w:tcW w:w="728" w:type="pct"/>
            <w:tcBorders>
              <w:top w:val="nil"/>
              <w:left w:val="nil"/>
              <w:bottom w:val="nil"/>
              <w:right w:val="nil"/>
            </w:tcBorders>
            <w:shd w:val="clear" w:color="000000" w:fill="E6F2FF"/>
            <w:noWrap/>
            <w:vAlign w:val="center"/>
            <w:hideMark/>
          </w:tcPr>
          <w:p w14:paraId="3A8A1A0D"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11,660</w:t>
            </w:r>
          </w:p>
        </w:tc>
        <w:tc>
          <w:tcPr>
            <w:tcW w:w="58" w:type="pct"/>
            <w:tcBorders>
              <w:top w:val="nil"/>
              <w:left w:val="nil"/>
              <w:bottom w:val="nil"/>
              <w:right w:val="nil"/>
            </w:tcBorders>
            <w:shd w:val="clear" w:color="auto" w:fill="auto"/>
            <w:noWrap/>
            <w:vAlign w:val="center"/>
            <w:hideMark/>
          </w:tcPr>
          <w:p w14:paraId="5F163F29" w14:textId="77777777" w:rsidR="00996975" w:rsidRPr="00673C1F" w:rsidRDefault="00996975" w:rsidP="00996975">
            <w:pPr>
              <w:spacing w:before="0" w:after="0" w:line="240" w:lineRule="auto"/>
              <w:jc w:val="right"/>
              <w:rPr>
                <w:rFonts w:ascii="Arial" w:hAnsi="Arial" w:cs="Arial"/>
                <w:sz w:val="16"/>
                <w:szCs w:val="16"/>
              </w:rPr>
            </w:pPr>
          </w:p>
        </w:tc>
        <w:tc>
          <w:tcPr>
            <w:tcW w:w="741" w:type="pct"/>
            <w:tcBorders>
              <w:top w:val="nil"/>
              <w:left w:val="nil"/>
              <w:bottom w:val="nil"/>
              <w:right w:val="nil"/>
            </w:tcBorders>
            <w:shd w:val="clear" w:color="auto" w:fill="auto"/>
            <w:noWrap/>
            <w:vAlign w:val="center"/>
            <w:hideMark/>
          </w:tcPr>
          <w:p w14:paraId="7381EAF2" w14:textId="7B3BDE5C" w:rsidR="00996975" w:rsidRPr="00673C1F" w:rsidRDefault="006D727E" w:rsidP="00996975">
            <w:pPr>
              <w:spacing w:before="0" w:after="0" w:line="240" w:lineRule="auto"/>
              <w:jc w:val="right"/>
              <w:rPr>
                <w:rFonts w:ascii="Arial" w:hAnsi="Arial" w:cs="Arial"/>
                <w:sz w:val="16"/>
                <w:szCs w:val="16"/>
              </w:rPr>
            </w:pPr>
            <w:r w:rsidRPr="00673C1F">
              <w:rPr>
                <w:rFonts w:ascii="Arial" w:hAnsi="Arial" w:cs="Arial"/>
                <w:sz w:val="16"/>
                <w:szCs w:val="16"/>
              </w:rPr>
              <w:noBreakHyphen/>
            </w:r>
            <w:r w:rsidR="00996975" w:rsidRPr="00673C1F">
              <w:rPr>
                <w:rFonts w:ascii="Arial" w:hAnsi="Arial" w:cs="Arial"/>
                <w:sz w:val="16"/>
                <w:szCs w:val="16"/>
              </w:rPr>
              <w:t>4,050</w:t>
            </w:r>
          </w:p>
        </w:tc>
        <w:tc>
          <w:tcPr>
            <w:tcW w:w="741" w:type="pct"/>
            <w:tcBorders>
              <w:top w:val="nil"/>
              <w:left w:val="nil"/>
              <w:bottom w:val="nil"/>
              <w:right w:val="nil"/>
            </w:tcBorders>
            <w:shd w:val="clear" w:color="auto" w:fill="auto"/>
            <w:noWrap/>
            <w:vAlign w:val="center"/>
            <w:hideMark/>
          </w:tcPr>
          <w:p w14:paraId="5A1F4B0F" w14:textId="05831488" w:rsidR="00996975" w:rsidRPr="00673C1F" w:rsidRDefault="006D727E" w:rsidP="00996975">
            <w:pPr>
              <w:spacing w:before="0" w:after="0" w:line="240" w:lineRule="auto"/>
              <w:jc w:val="right"/>
              <w:rPr>
                <w:rFonts w:ascii="Arial" w:hAnsi="Arial" w:cs="Arial"/>
                <w:sz w:val="16"/>
                <w:szCs w:val="16"/>
              </w:rPr>
            </w:pPr>
            <w:r w:rsidRPr="00673C1F">
              <w:rPr>
                <w:rFonts w:ascii="Arial" w:hAnsi="Arial" w:cs="Arial"/>
                <w:sz w:val="16"/>
                <w:szCs w:val="16"/>
              </w:rPr>
              <w:noBreakHyphen/>
            </w:r>
            <w:r w:rsidR="00996975" w:rsidRPr="00673C1F">
              <w:rPr>
                <w:rFonts w:ascii="Arial" w:hAnsi="Arial" w:cs="Arial"/>
                <w:sz w:val="16"/>
                <w:szCs w:val="16"/>
              </w:rPr>
              <w:t>25.8</w:t>
            </w:r>
          </w:p>
        </w:tc>
      </w:tr>
      <w:tr w:rsidR="00996975" w:rsidRPr="00673C1F" w14:paraId="52C1154E" w14:textId="77777777" w:rsidTr="00996975">
        <w:trPr>
          <w:trHeight w:hRule="exact" w:val="225"/>
        </w:trPr>
        <w:tc>
          <w:tcPr>
            <w:tcW w:w="2003" w:type="pct"/>
            <w:tcBorders>
              <w:top w:val="nil"/>
              <w:left w:val="nil"/>
              <w:bottom w:val="nil"/>
              <w:right w:val="nil"/>
            </w:tcBorders>
            <w:shd w:val="clear" w:color="auto" w:fill="auto"/>
            <w:noWrap/>
            <w:vAlign w:val="center"/>
            <w:hideMark/>
          </w:tcPr>
          <w:p w14:paraId="03B2ED16" w14:textId="77777777" w:rsidR="00996975" w:rsidRPr="00673C1F" w:rsidRDefault="00996975" w:rsidP="00996975">
            <w:pPr>
              <w:spacing w:before="0" w:after="0" w:line="240" w:lineRule="auto"/>
              <w:rPr>
                <w:rFonts w:ascii="Arial" w:hAnsi="Arial" w:cs="Arial"/>
                <w:sz w:val="16"/>
                <w:szCs w:val="16"/>
              </w:rPr>
            </w:pPr>
            <w:r w:rsidRPr="00673C1F">
              <w:rPr>
                <w:rFonts w:ascii="Arial" w:hAnsi="Arial" w:cs="Arial"/>
                <w:sz w:val="16"/>
                <w:szCs w:val="16"/>
              </w:rPr>
              <w:t>Petroleum resource rent tax</w:t>
            </w:r>
          </w:p>
        </w:tc>
        <w:tc>
          <w:tcPr>
            <w:tcW w:w="728" w:type="pct"/>
            <w:tcBorders>
              <w:top w:val="nil"/>
              <w:left w:val="nil"/>
              <w:bottom w:val="nil"/>
              <w:right w:val="nil"/>
            </w:tcBorders>
            <w:shd w:val="clear" w:color="auto" w:fill="auto"/>
            <w:noWrap/>
            <w:vAlign w:val="center"/>
            <w:hideMark/>
          </w:tcPr>
          <w:p w14:paraId="023E2177"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2,000</w:t>
            </w:r>
          </w:p>
        </w:tc>
        <w:tc>
          <w:tcPr>
            <w:tcW w:w="728" w:type="pct"/>
            <w:tcBorders>
              <w:top w:val="nil"/>
              <w:left w:val="nil"/>
              <w:bottom w:val="nil"/>
              <w:right w:val="nil"/>
            </w:tcBorders>
            <w:shd w:val="clear" w:color="000000" w:fill="E6F2FF"/>
            <w:noWrap/>
            <w:vAlign w:val="center"/>
            <w:hideMark/>
          </w:tcPr>
          <w:p w14:paraId="249675C0"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1,150</w:t>
            </w:r>
          </w:p>
        </w:tc>
        <w:tc>
          <w:tcPr>
            <w:tcW w:w="58" w:type="pct"/>
            <w:tcBorders>
              <w:top w:val="nil"/>
              <w:left w:val="nil"/>
              <w:bottom w:val="nil"/>
              <w:right w:val="nil"/>
            </w:tcBorders>
            <w:shd w:val="clear" w:color="auto" w:fill="auto"/>
            <w:noWrap/>
            <w:vAlign w:val="center"/>
            <w:hideMark/>
          </w:tcPr>
          <w:p w14:paraId="3B2FFDFA" w14:textId="77777777" w:rsidR="00996975" w:rsidRPr="00673C1F" w:rsidRDefault="00996975" w:rsidP="00996975">
            <w:pPr>
              <w:spacing w:before="0" w:after="0" w:line="240" w:lineRule="auto"/>
              <w:jc w:val="right"/>
              <w:rPr>
                <w:rFonts w:ascii="Arial" w:hAnsi="Arial" w:cs="Arial"/>
                <w:sz w:val="16"/>
                <w:szCs w:val="16"/>
              </w:rPr>
            </w:pPr>
          </w:p>
        </w:tc>
        <w:tc>
          <w:tcPr>
            <w:tcW w:w="741" w:type="pct"/>
            <w:tcBorders>
              <w:top w:val="nil"/>
              <w:left w:val="nil"/>
              <w:bottom w:val="nil"/>
              <w:right w:val="nil"/>
            </w:tcBorders>
            <w:shd w:val="clear" w:color="auto" w:fill="auto"/>
            <w:noWrap/>
            <w:vAlign w:val="center"/>
            <w:hideMark/>
          </w:tcPr>
          <w:p w14:paraId="3B2F2548" w14:textId="6269E3D6" w:rsidR="00996975" w:rsidRPr="00673C1F" w:rsidRDefault="006D727E" w:rsidP="00996975">
            <w:pPr>
              <w:spacing w:before="0" w:after="0" w:line="240" w:lineRule="auto"/>
              <w:jc w:val="right"/>
              <w:rPr>
                <w:rFonts w:ascii="Arial" w:hAnsi="Arial" w:cs="Arial"/>
                <w:sz w:val="16"/>
                <w:szCs w:val="16"/>
              </w:rPr>
            </w:pPr>
            <w:r w:rsidRPr="00673C1F">
              <w:rPr>
                <w:rFonts w:ascii="Arial" w:hAnsi="Arial" w:cs="Arial"/>
                <w:sz w:val="16"/>
                <w:szCs w:val="16"/>
              </w:rPr>
              <w:noBreakHyphen/>
            </w:r>
            <w:r w:rsidR="00996975" w:rsidRPr="00673C1F">
              <w:rPr>
                <w:rFonts w:ascii="Arial" w:hAnsi="Arial" w:cs="Arial"/>
                <w:sz w:val="16"/>
                <w:szCs w:val="16"/>
              </w:rPr>
              <w:t>850</w:t>
            </w:r>
          </w:p>
        </w:tc>
        <w:tc>
          <w:tcPr>
            <w:tcW w:w="741" w:type="pct"/>
            <w:tcBorders>
              <w:top w:val="nil"/>
              <w:left w:val="nil"/>
              <w:bottom w:val="nil"/>
              <w:right w:val="nil"/>
            </w:tcBorders>
            <w:shd w:val="clear" w:color="auto" w:fill="auto"/>
            <w:noWrap/>
            <w:vAlign w:val="center"/>
            <w:hideMark/>
          </w:tcPr>
          <w:p w14:paraId="1AB5FD3F" w14:textId="75C88C03" w:rsidR="00996975" w:rsidRPr="00673C1F" w:rsidRDefault="006D727E" w:rsidP="00996975">
            <w:pPr>
              <w:spacing w:before="0" w:after="0" w:line="240" w:lineRule="auto"/>
              <w:jc w:val="right"/>
              <w:rPr>
                <w:rFonts w:ascii="Arial" w:hAnsi="Arial" w:cs="Arial"/>
                <w:sz w:val="16"/>
                <w:szCs w:val="16"/>
              </w:rPr>
            </w:pPr>
            <w:r w:rsidRPr="00673C1F">
              <w:rPr>
                <w:rFonts w:ascii="Arial" w:hAnsi="Arial" w:cs="Arial"/>
                <w:sz w:val="16"/>
                <w:szCs w:val="16"/>
              </w:rPr>
              <w:noBreakHyphen/>
            </w:r>
            <w:r w:rsidR="00996975" w:rsidRPr="00673C1F">
              <w:rPr>
                <w:rFonts w:ascii="Arial" w:hAnsi="Arial" w:cs="Arial"/>
                <w:sz w:val="16"/>
                <w:szCs w:val="16"/>
              </w:rPr>
              <w:t>42.5</w:t>
            </w:r>
          </w:p>
        </w:tc>
      </w:tr>
      <w:tr w:rsidR="00996975" w:rsidRPr="00673C1F" w14:paraId="5EE392F5" w14:textId="77777777" w:rsidTr="00996975">
        <w:trPr>
          <w:trHeight w:hRule="exact" w:val="225"/>
        </w:trPr>
        <w:tc>
          <w:tcPr>
            <w:tcW w:w="2003" w:type="pct"/>
            <w:tcBorders>
              <w:top w:val="nil"/>
              <w:left w:val="nil"/>
              <w:bottom w:val="nil"/>
              <w:right w:val="nil"/>
            </w:tcBorders>
            <w:shd w:val="clear" w:color="auto" w:fill="auto"/>
            <w:noWrap/>
            <w:vAlign w:val="center"/>
            <w:hideMark/>
          </w:tcPr>
          <w:p w14:paraId="545B2CBF" w14:textId="77777777" w:rsidR="00996975" w:rsidRPr="00673C1F" w:rsidRDefault="00996975" w:rsidP="00996975">
            <w:pPr>
              <w:spacing w:before="0" w:after="0" w:line="240" w:lineRule="auto"/>
              <w:rPr>
                <w:rFonts w:ascii="Arial" w:hAnsi="Arial" w:cs="Arial"/>
                <w:b/>
                <w:bCs/>
                <w:sz w:val="16"/>
                <w:szCs w:val="16"/>
              </w:rPr>
            </w:pPr>
            <w:r w:rsidRPr="00673C1F">
              <w:rPr>
                <w:rFonts w:ascii="Arial" w:hAnsi="Arial" w:cs="Arial"/>
                <w:b/>
                <w:bCs/>
                <w:sz w:val="16"/>
                <w:szCs w:val="16"/>
              </w:rPr>
              <w:t>Income taxation receipts</w:t>
            </w:r>
          </w:p>
        </w:tc>
        <w:tc>
          <w:tcPr>
            <w:tcW w:w="728" w:type="pct"/>
            <w:tcBorders>
              <w:top w:val="single" w:sz="4" w:space="0" w:color="293F5B"/>
              <w:left w:val="nil"/>
              <w:bottom w:val="single" w:sz="4" w:space="0" w:color="293F5B"/>
              <w:right w:val="nil"/>
            </w:tcBorders>
            <w:shd w:val="clear" w:color="auto" w:fill="auto"/>
            <w:noWrap/>
            <w:vAlign w:val="center"/>
            <w:hideMark/>
          </w:tcPr>
          <w:p w14:paraId="48D08C4E" w14:textId="77777777" w:rsidR="00996975" w:rsidRPr="00673C1F" w:rsidRDefault="00996975" w:rsidP="00996975">
            <w:pPr>
              <w:spacing w:before="0" w:after="0" w:line="240" w:lineRule="auto"/>
              <w:jc w:val="right"/>
              <w:rPr>
                <w:rFonts w:ascii="Arial" w:hAnsi="Arial" w:cs="Arial"/>
                <w:b/>
                <w:bCs/>
                <w:sz w:val="16"/>
                <w:szCs w:val="16"/>
              </w:rPr>
            </w:pPr>
            <w:r w:rsidRPr="00673C1F">
              <w:rPr>
                <w:rFonts w:ascii="Arial" w:hAnsi="Arial" w:cs="Arial"/>
                <w:b/>
                <w:bCs/>
                <w:sz w:val="16"/>
                <w:szCs w:val="16"/>
              </w:rPr>
              <w:t>488,180</w:t>
            </w:r>
          </w:p>
        </w:tc>
        <w:tc>
          <w:tcPr>
            <w:tcW w:w="728" w:type="pct"/>
            <w:tcBorders>
              <w:top w:val="single" w:sz="4" w:space="0" w:color="293F5B"/>
              <w:left w:val="nil"/>
              <w:bottom w:val="single" w:sz="4" w:space="0" w:color="293F5B"/>
              <w:right w:val="nil"/>
            </w:tcBorders>
            <w:shd w:val="clear" w:color="000000" w:fill="E6F2FF"/>
            <w:noWrap/>
            <w:vAlign w:val="center"/>
            <w:hideMark/>
          </w:tcPr>
          <w:p w14:paraId="03A35BEA" w14:textId="77777777" w:rsidR="00996975" w:rsidRPr="00673C1F" w:rsidRDefault="00996975" w:rsidP="00996975">
            <w:pPr>
              <w:spacing w:before="0" w:after="0" w:line="240" w:lineRule="auto"/>
              <w:jc w:val="right"/>
              <w:rPr>
                <w:rFonts w:ascii="Arial" w:hAnsi="Arial" w:cs="Arial"/>
                <w:b/>
                <w:bCs/>
                <w:sz w:val="16"/>
                <w:szCs w:val="16"/>
              </w:rPr>
            </w:pPr>
            <w:r w:rsidRPr="00673C1F">
              <w:rPr>
                <w:rFonts w:ascii="Arial" w:hAnsi="Arial" w:cs="Arial"/>
                <w:b/>
                <w:bCs/>
                <w:sz w:val="16"/>
                <w:szCs w:val="16"/>
              </w:rPr>
              <w:t>494,670</w:t>
            </w:r>
          </w:p>
        </w:tc>
        <w:tc>
          <w:tcPr>
            <w:tcW w:w="58" w:type="pct"/>
            <w:tcBorders>
              <w:top w:val="nil"/>
              <w:left w:val="nil"/>
              <w:bottom w:val="nil"/>
              <w:right w:val="nil"/>
            </w:tcBorders>
            <w:shd w:val="clear" w:color="auto" w:fill="auto"/>
            <w:noWrap/>
            <w:vAlign w:val="center"/>
            <w:hideMark/>
          </w:tcPr>
          <w:p w14:paraId="2D09CFBD" w14:textId="77777777" w:rsidR="00996975" w:rsidRPr="00673C1F" w:rsidRDefault="00996975" w:rsidP="00996975">
            <w:pPr>
              <w:spacing w:before="0" w:after="0" w:line="240" w:lineRule="auto"/>
              <w:jc w:val="right"/>
              <w:rPr>
                <w:rFonts w:ascii="Arial" w:hAnsi="Arial" w:cs="Arial"/>
                <w:b/>
                <w:bCs/>
                <w:sz w:val="16"/>
                <w:szCs w:val="16"/>
              </w:rPr>
            </w:pPr>
          </w:p>
        </w:tc>
        <w:tc>
          <w:tcPr>
            <w:tcW w:w="741" w:type="pct"/>
            <w:tcBorders>
              <w:top w:val="single" w:sz="4" w:space="0" w:color="293F5B"/>
              <w:left w:val="nil"/>
              <w:bottom w:val="single" w:sz="4" w:space="0" w:color="293F5B"/>
              <w:right w:val="nil"/>
            </w:tcBorders>
            <w:shd w:val="clear" w:color="auto" w:fill="auto"/>
            <w:noWrap/>
            <w:vAlign w:val="center"/>
            <w:hideMark/>
          </w:tcPr>
          <w:p w14:paraId="6C73542F" w14:textId="77777777" w:rsidR="00996975" w:rsidRPr="00673C1F" w:rsidRDefault="00996975" w:rsidP="00996975">
            <w:pPr>
              <w:spacing w:before="0" w:after="0" w:line="240" w:lineRule="auto"/>
              <w:jc w:val="right"/>
              <w:rPr>
                <w:rFonts w:ascii="Arial" w:hAnsi="Arial" w:cs="Arial"/>
                <w:b/>
                <w:bCs/>
                <w:sz w:val="16"/>
                <w:szCs w:val="16"/>
              </w:rPr>
            </w:pPr>
            <w:r w:rsidRPr="00673C1F">
              <w:rPr>
                <w:rFonts w:ascii="Arial" w:hAnsi="Arial" w:cs="Arial"/>
                <w:b/>
                <w:bCs/>
                <w:sz w:val="16"/>
                <w:szCs w:val="16"/>
              </w:rPr>
              <w:t>6,490</w:t>
            </w:r>
          </w:p>
        </w:tc>
        <w:tc>
          <w:tcPr>
            <w:tcW w:w="741" w:type="pct"/>
            <w:tcBorders>
              <w:top w:val="single" w:sz="4" w:space="0" w:color="293F5B"/>
              <w:left w:val="nil"/>
              <w:bottom w:val="single" w:sz="4" w:space="0" w:color="293F5B"/>
              <w:right w:val="nil"/>
            </w:tcBorders>
            <w:shd w:val="clear" w:color="auto" w:fill="auto"/>
            <w:noWrap/>
            <w:vAlign w:val="center"/>
            <w:hideMark/>
          </w:tcPr>
          <w:p w14:paraId="1F7176B4" w14:textId="77777777" w:rsidR="00996975" w:rsidRPr="00673C1F" w:rsidRDefault="00996975" w:rsidP="00996975">
            <w:pPr>
              <w:spacing w:before="0" w:after="0" w:line="240" w:lineRule="auto"/>
              <w:jc w:val="right"/>
              <w:rPr>
                <w:rFonts w:ascii="Arial" w:hAnsi="Arial" w:cs="Arial"/>
                <w:b/>
                <w:bCs/>
                <w:sz w:val="16"/>
                <w:szCs w:val="16"/>
              </w:rPr>
            </w:pPr>
            <w:r w:rsidRPr="00673C1F">
              <w:rPr>
                <w:rFonts w:ascii="Arial" w:hAnsi="Arial" w:cs="Arial"/>
                <w:b/>
                <w:bCs/>
                <w:sz w:val="16"/>
                <w:szCs w:val="16"/>
              </w:rPr>
              <w:t>1.3</w:t>
            </w:r>
          </w:p>
        </w:tc>
      </w:tr>
      <w:tr w:rsidR="00996975" w:rsidRPr="00673C1F" w14:paraId="02120751" w14:textId="77777777" w:rsidTr="00996975">
        <w:trPr>
          <w:trHeight w:hRule="exact" w:val="225"/>
        </w:trPr>
        <w:tc>
          <w:tcPr>
            <w:tcW w:w="2003" w:type="pct"/>
            <w:tcBorders>
              <w:top w:val="nil"/>
              <w:left w:val="nil"/>
              <w:bottom w:val="nil"/>
              <w:right w:val="nil"/>
            </w:tcBorders>
            <w:shd w:val="clear" w:color="auto" w:fill="auto"/>
            <w:noWrap/>
            <w:vAlign w:val="center"/>
            <w:hideMark/>
          </w:tcPr>
          <w:p w14:paraId="5B89AA5A" w14:textId="77777777" w:rsidR="00996975" w:rsidRPr="00673C1F" w:rsidRDefault="00996975" w:rsidP="00996975">
            <w:pPr>
              <w:spacing w:before="0" w:after="0" w:line="240" w:lineRule="auto"/>
              <w:rPr>
                <w:rFonts w:ascii="Arial" w:hAnsi="Arial" w:cs="Arial"/>
                <w:sz w:val="16"/>
                <w:szCs w:val="16"/>
              </w:rPr>
            </w:pPr>
            <w:r w:rsidRPr="00673C1F">
              <w:rPr>
                <w:rFonts w:ascii="Arial" w:hAnsi="Arial" w:cs="Arial"/>
                <w:sz w:val="16"/>
                <w:szCs w:val="16"/>
              </w:rPr>
              <w:t>Goods and services tax</w:t>
            </w:r>
          </w:p>
        </w:tc>
        <w:tc>
          <w:tcPr>
            <w:tcW w:w="728" w:type="pct"/>
            <w:tcBorders>
              <w:top w:val="nil"/>
              <w:left w:val="nil"/>
              <w:bottom w:val="nil"/>
              <w:right w:val="nil"/>
            </w:tcBorders>
            <w:shd w:val="clear" w:color="auto" w:fill="auto"/>
            <w:noWrap/>
            <w:vAlign w:val="center"/>
            <w:hideMark/>
          </w:tcPr>
          <w:p w14:paraId="4B59275F"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84,079</w:t>
            </w:r>
          </w:p>
        </w:tc>
        <w:tc>
          <w:tcPr>
            <w:tcW w:w="728" w:type="pct"/>
            <w:tcBorders>
              <w:top w:val="nil"/>
              <w:left w:val="nil"/>
              <w:bottom w:val="nil"/>
              <w:right w:val="nil"/>
            </w:tcBorders>
            <w:shd w:val="clear" w:color="000000" w:fill="E6F2FF"/>
            <w:noWrap/>
            <w:vAlign w:val="center"/>
            <w:hideMark/>
          </w:tcPr>
          <w:p w14:paraId="364837D6"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85,758</w:t>
            </w:r>
          </w:p>
        </w:tc>
        <w:tc>
          <w:tcPr>
            <w:tcW w:w="58" w:type="pct"/>
            <w:tcBorders>
              <w:top w:val="nil"/>
              <w:left w:val="nil"/>
              <w:bottom w:val="nil"/>
              <w:right w:val="nil"/>
            </w:tcBorders>
            <w:shd w:val="clear" w:color="auto" w:fill="auto"/>
            <w:noWrap/>
            <w:vAlign w:val="center"/>
            <w:hideMark/>
          </w:tcPr>
          <w:p w14:paraId="0B92DBCC" w14:textId="77777777" w:rsidR="00996975" w:rsidRPr="00673C1F" w:rsidRDefault="00996975" w:rsidP="00996975">
            <w:pPr>
              <w:spacing w:before="0" w:after="0" w:line="240" w:lineRule="auto"/>
              <w:jc w:val="right"/>
              <w:rPr>
                <w:rFonts w:ascii="Arial" w:hAnsi="Arial" w:cs="Arial"/>
                <w:sz w:val="16"/>
                <w:szCs w:val="16"/>
              </w:rPr>
            </w:pPr>
          </w:p>
        </w:tc>
        <w:tc>
          <w:tcPr>
            <w:tcW w:w="741" w:type="pct"/>
            <w:tcBorders>
              <w:top w:val="nil"/>
              <w:left w:val="nil"/>
              <w:bottom w:val="nil"/>
              <w:right w:val="nil"/>
            </w:tcBorders>
            <w:shd w:val="clear" w:color="auto" w:fill="auto"/>
            <w:noWrap/>
            <w:vAlign w:val="center"/>
            <w:hideMark/>
          </w:tcPr>
          <w:p w14:paraId="1C06C66D"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1,679</w:t>
            </w:r>
          </w:p>
        </w:tc>
        <w:tc>
          <w:tcPr>
            <w:tcW w:w="741" w:type="pct"/>
            <w:tcBorders>
              <w:top w:val="nil"/>
              <w:left w:val="nil"/>
              <w:bottom w:val="nil"/>
              <w:right w:val="nil"/>
            </w:tcBorders>
            <w:shd w:val="clear" w:color="auto" w:fill="auto"/>
            <w:noWrap/>
            <w:vAlign w:val="center"/>
            <w:hideMark/>
          </w:tcPr>
          <w:p w14:paraId="4AF7089B"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2.0</w:t>
            </w:r>
          </w:p>
        </w:tc>
      </w:tr>
      <w:tr w:rsidR="00996975" w:rsidRPr="00673C1F" w14:paraId="7A71333D" w14:textId="77777777" w:rsidTr="00996975">
        <w:trPr>
          <w:trHeight w:hRule="exact" w:val="225"/>
        </w:trPr>
        <w:tc>
          <w:tcPr>
            <w:tcW w:w="2003" w:type="pct"/>
            <w:tcBorders>
              <w:top w:val="nil"/>
              <w:left w:val="nil"/>
              <w:bottom w:val="nil"/>
              <w:right w:val="nil"/>
            </w:tcBorders>
            <w:shd w:val="clear" w:color="auto" w:fill="auto"/>
            <w:noWrap/>
            <w:vAlign w:val="center"/>
            <w:hideMark/>
          </w:tcPr>
          <w:p w14:paraId="08AF5C36" w14:textId="77777777" w:rsidR="00996975" w:rsidRPr="00673C1F" w:rsidRDefault="00996975" w:rsidP="00996975">
            <w:pPr>
              <w:spacing w:before="0" w:after="0" w:line="240" w:lineRule="auto"/>
              <w:rPr>
                <w:rFonts w:ascii="Arial" w:hAnsi="Arial" w:cs="Arial"/>
                <w:sz w:val="16"/>
                <w:szCs w:val="16"/>
              </w:rPr>
            </w:pPr>
            <w:r w:rsidRPr="00673C1F">
              <w:rPr>
                <w:rFonts w:ascii="Arial" w:hAnsi="Arial" w:cs="Arial"/>
                <w:sz w:val="16"/>
                <w:szCs w:val="16"/>
              </w:rPr>
              <w:t>Wine equalisation tax</w:t>
            </w:r>
          </w:p>
        </w:tc>
        <w:tc>
          <w:tcPr>
            <w:tcW w:w="728" w:type="pct"/>
            <w:tcBorders>
              <w:top w:val="nil"/>
              <w:left w:val="nil"/>
              <w:bottom w:val="nil"/>
              <w:right w:val="nil"/>
            </w:tcBorders>
            <w:shd w:val="clear" w:color="auto" w:fill="auto"/>
            <w:noWrap/>
            <w:vAlign w:val="center"/>
            <w:hideMark/>
          </w:tcPr>
          <w:p w14:paraId="4A71366C"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1,110</w:t>
            </w:r>
          </w:p>
        </w:tc>
        <w:tc>
          <w:tcPr>
            <w:tcW w:w="728" w:type="pct"/>
            <w:tcBorders>
              <w:top w:val="nil"/>
              <w:left w:val="nil"/>
              <w:bottom w:val="nil"/>
              <w:right w:val="nil"/>
            </w:tcBorders>
            <w:shd w:val="clear" w:color="000000" w:fill="E6F2FF"/>
            <w:noWrap/>
            <w:vAlign w:val="center"/>
            <w:hideMark/>
          </w:tcPr>
          <w:p w14:paraId="74419D8C"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1,080</w:t>
            </w:r>
          </w:p>
        </w:tc>
        <w:tc>
          <w:tcPr>
            <w:tcW w:w="58" w:type="pct"/>
            <w:tcBorders>
              <w:top w:val="nil"/>
              <w:left w:val="nil"/>
              <w:bottom w:val="nil"/>
              <w:right w:val="nil"/>
            </w:tcBorders>
            <w:shd w:val="clear" w:color="auto" w:fill="auto"/>
            <w:noWrap/>
            <w:vAlign w:val="center"/>
            <w:hideMark/>
          </w:tcPr>
          <w:p w14:paraId="1445E9FD" w14:textId="77777777" w:rsidR="00996975" w:rsidRPr="00673C1F" w:rsidRDefault="00996975" w:rsidP="00996975">
            <w:pPr>
              <w:spacing w:before="0" w:after="0" w:line="240" w:lineRule="auto"/>
              <w:jc w:val="right"/>
              <w:rPr>
                <w:rFonts w:ascii="Arial" w:hAnsi="Arial" w:cs="Arial"/>
                <w:sz w:val="16"/>
                <w:szCs w:val="16"/>
              </w:rPr>
            </w:pPr>
          </w:p>
        </w:tc>
        <w:tc>
          <w:tcPr>
            <w:tcW w:w="741" w:type="pct"/>
            <w:tcBorders>
              <w:top w:val="nil"/>
              <w:left w:val="nil"/>
              <w:bottom w:val="nil"/>
              <w:right w:val="nil"/>
            </w:tcBorders>
            <w:shd w:val="clear" w:color="auto" w:fill="auto"/>
            <w:noWrap/>
            <w:vAlign w:val="center"/>
            <w:hideMark/>
          </w:tcPr>
          <w:p w14:paraId="592E5890" w14:textId="694C7FAE" w:rsidR="00996975" w:rsidRPr="00673C1F" w:rsidRDefault="006D727E" w:rsidP="00996975">
            <w:pPr>
              <w:spacing w:before="0" w:after="0" w:line="240" w:lineRule="auto"/>
              <w:jc w:val="right"/>
              <w:rPr>
                <w:rFonts w:ascii="Arial" w:hAnsi="Arial" w:cs="Arial"/>
                <w:sz w:val="16"/>
                <w:szCs w:val="16"/>
              </w:rPr>
            </w:pPr>
            <w:r w:rsidRPr="00673C1F">
              <w:rPr>
                <w:rFonts w:ascii="Arial" w:hAnsi="Arial" w:cs="Arial"/>
                <w:sz w:val="16"/>
                <w:szCs w:val="16"/>
              </w:rPr>
              <w:noBreakHyphen/>
            </w:r>
            <w:r w:rsidR="00996975" w:rsidRPr="00673C1F">
              <w:rPr>
                <w:rFonts w:ascii="Arial" w:hAnsi="Arial" w:cs="Arial"/>
                <w:sz w:val="16"/>
                <w:szCs w:val="16"/>
              </w:rPr>
              <w:t>30</w:t>
            </w:r>
          </w:p>
        </w:tc>
        <w:tc>
          <w:tcPr>
            <w:tcW w:w="741" w:type="pct"/>
            <w:tcBorders>
              <w:top w:val="nil"/>
              <w:left w:val="nil"/>
              <w:bottom w:val="nil"/>
              <w:right w:val="nil"/>
            </w:tcBorders>
            <w:shd w:val="clear" w:color="auto" w:fill="auto"/>
            <w:noWrap/>
            <w:vAlign w:val="center"/>
            <w:hideMark/>
          </w:tcPr>
          <w:p w14:paraId="62087B5B" w14:textId="2CAB756A" w:rsidR="00996975" w:rsidRPr="00673C1F" w:rsidRDefault="006D727E" w:rsidP="00996975">
            <w:pPr>
              <w:spacing w:before="0" w:after="0" w:line="240" w:lineRule="auto"/>
              <w:jc w:val="right"/>
              <w:rPr>
                <w:rFonts w:ascii="Arial" w:hAnsi="Arial" w:cs="Arial"/>
                <w:sz w:val="16"/>
                <w:szCs w:val="16"/>
              </w:rPr>
            </w:pPr>
            <w:r w:rsidRPr="00673C1F">
              <w:rPr>
                <w:rFonts w:ascii="Arial" w:hAnsi="Arial" w:cs="Arial"/>
                <w:sz w:val="16"/>
                <w:szCs w:val="16"/>
              </w:rPr>
              <w:noBreakHyphen/>
            </w:r>
            <w:r w:rsidR="00996975" w:rsidRPr="00673C1F">
              <w:rPr>
                <w:rFonts w:ascii="Arial" w:hAnsi="Arial" w:cs="Arial"/>
                <w:sz w:val="16"/>
                <w:szCs w:val="16"/>
              </w:rPr>
              <w:t>2.7</w:t>
            </w:r>
          </w:p>
        </w:tc>
      </w:tr>
      <w:tr w:rsidR="00996975" w:rsidRPr="00673C1F" w14:paraId="5D5D9424" w14:textId="77777777" w:rsidTr="00996975">
        <w:trPr>
          <w:trHeight w:hRule="exact" w:val="225"/>
        </w:trPr>
        <w:tc>
          <w:tcPr>
            <w:tcW w:w="2003" w:type="pct"/>
            <w:tcBorders>
              <w:top w:val="nil"/>
              <w:left w:val="nil"/>
              <w:bottom w:val="nil"/>
              <w:right w:val="nil"/>
            </w:tcBorders>
            <w:shd w:val="clear" w:color="auto" w:fill="auto"/>
            <w:noWrap/>
            <w:vAlign w:val="center"/>
            <w:hideMark/>
          </w:tcPr>
          <w:p w14:paraId="63C79B8D" w14:textId="77777777" w:rsidR="00996975" w:rsidRPr="00673C1F" w:rsidRDefault="00996975" w:rsidP="00996975">
            <w:pPr>
              <w:spacing w:before="0" w:after="0" w:line="240" w:lineRule="auto"/>
              <w:rPr>
                <w:rFonts w:ascii="Arial" w:hAnsi="Arial" w:cs="Arial"/>
                <w:sz w:val="16"/>
                <w:szCs w:val="16"/>
              </w:rPr>
            </w:pPr>
            <w:r w:rsidRPr="00673C1F">
              <w:rPr>
                <w:rFonts w:ascii="Arial" w:hAnsi="Arial" w:cs="Arial"/>
                <w:sz w:val="16"/>
                <w:szCs w:val="16"/>
              </w:rPr>
              <w:t>Luxury car tax</w:t>
            </w:r>
          </w:p>
        </w:tc>
        <w:tc>
          <w:tcPr>
            <w:tcW w:w="728" w:type="pct"/>
            <w:tcBorders>
              <w:top w:val="nil"/>
              <w:left w:val="nil"/>
              <w:bottom w:val="nil"/>
              <w:right w:val="nil"/>
            </w:tcBorders>
            <w:shd w:val="clear" w:color="auto" w:fill="auto"/>
            <w:noWrap/>
            <w:vAlign w:val="center"/>
            <w:hideMark/>
          </w:tcPr>
          <w:p w14:paraId="7BA75BBE"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1,200</w:t>
            </w:r>
          </w:p>
        </w:tc>
        <w:tc>
          <w:tcPr>
            <w:tcW w:w="728" w:type="pct"/>
            <w:tcBorders>
              <w:top w:val="nil"/>
              <w:left w:val="nil"/>
              <w:bottom w:val="nil"/>
              <w:right w:val="nil"/>
            </w:tcBorders>
            <w:shd w:val="clear" w:color="000000" w:fill="E6F2FF"/>
            <w:noWrap/>
            <w:vAlign w:val="center"/>
            <w:hideMark/>
          </w:tcPr>
          <w:p w14:paraId="5E777AF6"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1,310</w:t>
            </w:r>
          </w:p>
        </w:tc>
        <w:tc>
          <w:tcPr>
            <w:tcW w:w="58" w:type="pct"/>
            <w:tcBorders>
              <w:top w:val="nil"/>
              <w:left w:val="nil"/>
              <w:bottom w:val="nil"/>
              <w:right w:val="nil"/>
            </w:tcBorders>
            <w:shd w:val="clear" w:color="auto" w:fill="auto"/>
            <w:noWrap/>
            <w:vAlign w:val="center"/>
            <w:hideMark/>
          </w:tcPr>
          <w:p w14:paraId="28B521C9" w14:textId="77777777" w:rsidR="00996975" w:rsidRPr="00673C1F" w:rsidRDefault="00996975" w:rsidP="00996975">
            <w:pPr>
              <w:spacing w:before="0" w:after="0" w:line="240" w:lineRule="auto"/>
              <w:jc w:val="right"/>
              <w:rPr>
                <w:rFonts w:ascii="Arial" w:hAnsi="Arial" w:cs="Arial"/>
                <w:sz w:val="16"/>
                <w:szCs w:val="16"/>
              </w:rPr>
            </w:pPr>
          </w:p>
        </w:tc>
        <w:tc>
          <w:tcPr>
            <w:tcW w:w="741" w:type="pct"/>
            <w:tcBorders>
              <w:top w:val="nil"/>
              <w:left w:val="nil"/>
              <w:bottom w:val="nil"/>
              <w:right w:val="nil"/>
            </w:tcBorders>
            <w:shd w:val="clear" w:color="auto" w:fill="auto"/>
            <w:noWrap/>
            <w:vAlign w:val="center"/>
            <w:hideMark/>
          </w:tcPr>
          <w:p w14:paraId="47DDDD82"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110</w:t>
            </w:r>
          </w:p>
        </w:tc>
        <w:tc>
          <w:tcPr>
            <w:tcW w:w="741" w:type="pct"/>
            <w:tcBorders>
              <w:top w:val="nil"/>
              <w:left w:val="nil"/>
              <w:bottom w:val="nil"/>
              <w:right w:val="nil"/>
            </w:tcBorders>
            <w:shd w:val="clear" w:color="auto" w:fill="auto"/>
            <w:noWrap/>
            <w:vAlign w:val="center"/>
            <w:hideMark/>
          </w:tcPr>
          <w:p w14:paraId="258794A0"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9.2</w:t>
            </w:r>
          </w:p>
        </w:tc>
      </w:tr>
      <w:tr w:rsidR="00996975" w:rsidRPr="00673C1F" w14:paraId="6C7624AE" w14:textId="77777777" w:rsidTr="00996975">
        <w:trPr>
          <w:trHeight w:hRule="exact" w:val="225"/>
        </w:trPr>
        <w:tc>
          <w:tcPr>
            <w:tcW w:w="2003" w:type="pct"/>
            <w:tcBorders>
              <w:top w:val="nil"/>
              <w:left w:val="nil"/>
              <w:bottom w:val="nil"/>
              <w:right w:val="nil"/>
            </w:tcBorders>
            <w:shd w:val="clear" w:color="auto" w:fill="auto"/>
            <w:noWrap/>
            <w:vAlign w:val="center"/>
            <w:hideMark/>
          </w:tcPr>
          <w:p w14:paraId="6A0916FF" w14:textId="77777777" w:rsidR="00996975" w:rsidRPr="00673C1F" w:rsidRDefault="00996975" w:rsidP="00996975">
            <w:pPr>
              <w:spacing w:before="0" w:after="0" w:line="240" w:lineRule="auto"/>
              <w:rPr>
                <w:rFonts w:ascii="Arial" w:hAnsi="Arial" w:cs="Arial"/>
                <w:sz w:val="16"/>
                <w:szCs w:val="16"/>
              </w:rPr>
            </w:pPr>
            <w:r w:rsidRPr="00673C1F">
              <w:rPr>
                <w:rFonts w:ascii="Arial" w:hAnsi="Arial" w:cs="Arial"/>
                <w:sz w:val="16"/>
                <w:szCs w:val="16"/>
              </w:rPr>
              <w:t>Excise and customs duty</w:t>
            </w:r>
          </w:p>
        </w:tc>
        <w:tc>
          <w:tcPr>
            <w:tcW w:w="728" w:type="pct"/>
            <w:tcBorders>
              <w:top w:val="nil"/>
              <w:left w:val="nil"/>
              <w:bottom w:val="nil"/>
              <w:right w:val="nil"/>
            </w:tcBorders>
            <w:shd w:val="clear" w:color="auto" w:fill="auto"/>
            <w:noWrap/>
            <w:vAlign w:val="center"/>
            <w:hideMark/>
          </w:tcPr>
          <w:p w14:paraId="79C42061" w14:textId="77777777" w:rsidR="00996975" w:rsidRPr="00673C1F" w:rsidRDefault="00996975" w:rsidP="00996975">
            <w:pPr>
              <w:spacing w:before="0" w:after="0" w:line="240" w:lineRule="auto"/>
              <w:rPr>
                <w:rFonts w:ascii="Arial" w:hAnsi="Arial" w:cs="Arial"/>
                <w:sz w:val="16"/>
                <w:szCs w:val="16"/>
              </w:rPr>
            </w:pPr>
          </w:p>
        </w:tc>
        <w:tc>
          <w:tcPr>
            <w:tcW w:w="728" w:type="pct"/>
            <w:tcBorders>
              <w:top w:val="nil"/>
              <w:left w:val="nil"/>
              <w:bottom w:val="nil"/>
              <w:right w:val="nil"/>
            </w:tcBorders>
            <w:shd w:val="clear" w:color="000000" w:fill="E6F2FF"/>
            <w:noWrap/>
            <w:vAlign w:val="center"/>
            <w:hideMark/>
          </w:tcPr>
          <w:p w14:paraId="741B3115"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 </w:t>
            </w:r>
          </w:p>
        </w:tc>
        <w:tc>
          <w:tcPr>
            <w:tcW w:w="58" w:type="pct"/>
            <w:tcBorders>
              <w:top w:val="nil"/>
              <w:left w:val="nil"/>
              <w:bottom w:val="nil"/>
              <w:right w:val="nil"/>
            </w:tcBorders>
            <w:shd w:val="clear" w:color="auto" w:fill="auto"/>
            <w:noWrap/>
            <w:vAlign w:val="center"/>
            <w:hideMark/>
          </w:tcPr>
          <w:p w14:paraId="5236D89B" w14:textId="77777777" w:rsidR="00996975" w:rsidRPr="00673C1F" w:rsidRDefault="00996975" w:rsidP="00996975">
            <w:pPr>
              <w:spacing w:before="0" w:after="0" w:line="240" w:lineRule="auto"/>
              <w:jc w:val="right"/>
              <w:rPr>
                <w:rFonts w:ascii="Arial" w:hAnsi="Arial" w:cs="Arial"/>
                <w:sz w:val="16"/>
                <w:szCs w:val="16"/>
              </w:rPr>
            </w:pPr>
          </w:p>
        </w:tc>
        <w:tc>
          <w:tcPr>
            <w:tcW w:w="741" w:type="pct"/>
            <w:tcBorders>
              <w:top w:val="nil"/>
              <w:left w:val="nil"/>
              <w:bottom w:val="nil"/>
              <w:right w:val="nil"/>
            </w:tcBorders>
            <w:shd w:val="clear" w:color="auto" w:fill="auto"/>
            <w:noWrap/>
            <w:vAlign w:val="center"/>
            <w:hideMark/>
          </w:tcPr>
          <w:p w14:paraId="1D209464" w14:textId="77777777" w:rsidR="00996975" w:rsidRPr="00673C1F" w:rsidRDefault="00996975" w:rsidP="00996975">
            <w:pPr>
              <w:spacing w:before="0" w:after="0" w:line="240" w:lineRule="auto"/>
              <w:jc w:val="right"/>
              <w:rPr>
                <w:rFonts w:ascii="Times New Roman" w:hAnsi="Times New Roman"/>
                <w:sz w:val="20"/>
              </w:rPr>
            </w:pPr>
          </w:p>
        </w:tc>
        <w:tc>
          <w:tcPr>
            <w:tcW w:w="741" w:type="pct"/>
            <w:tcBorders>
              <w:top w:val="nil"/>
              <w:left w:val="nil"/>
              <w:bottom w:val="nil"/>
              <w:right w:val="nil"/>
            </w:tcBorders>
            <w:shd w:val="clear" w:color="auto" w:fill="auto"/>
            <w:noWrap/>
            <w:vAlign w:val="center"/>
            <w:hideMark/>
          </w:tcPr>
          <w:p w14:paraId="05E99141" w14:textId="77777777" w:rsidR="00996975" w:rsidRPr="00673C1F" w:rsidRDefault="00996975" w:rsidP="00996975">
            <w:pPr>
              <w:spacing w:before="0" w:after="0" w:line="240" w:lineRule="auto"/>
              <w:jc w:val="right"/>
              <w:rPr>
                <w:rFonts w:ascii="Times New Roman" w:hAnsi="Times New Roman"/>
                <w:sz w:val="20"/>
              </w:rPr>
            </w:pPr>
          </w:p>
        </w:tc>
      </w:tr>
      <w:tr w:rsidR="00996975" w:rsidRPr="00673C1F" w14:paraId="33AEFE9C" w14:textId="77777777" w:rsidTr="00996975">
        <w:trPr>
          <w:trHeight w:hRule="exact" w:val="225"/>
        </w:trPr>
        <w:tc>
          <w:tcPr>
            <w:tcW w:w="2003" w:type="pct"/>
            <w:tcBorders>
              <w:top w:val="nil"/>
              <w:left w:val="nil"/>
              <w:bottom w:val="nil"/>
              <w:right w:val="nil"/>
            </w:tcBorders>
            <w:shd w:val="clear" w:color="auto" w:fill="auto"/>
            <w:noWrap/>
            <w:vAlign w:val="center"/>
            <w:hideMark/>
          </w:tcPr>
          <w:p w14:paraId="0B6A1EA6" w14:textId="77777777" w:rsidR="00996975" w:rsidRPr="00673C1F" w:rsidRDefault="00996975" w:rsidP="00996975">
            <w:pPr>
              <w:spacing w:before="0" w:after="0" w:line="240" w:lineRule="auto"/>
              <w:ind w:left="170"/>
              <w:rPr>
                <w:rFonts w:ascii="Arial" w:hAnsi="Arial" w:cs="Arial"/>
                <w:sz w:val="16"/>
                <w:szCs w:val="16"/>
              </w:rPr>
            </w:pPr>
            <w:r w:rsidRPr="00673C1F">
              <w:rPr>
                <w:rFonts w:ascii="Arial" w:hAnsi="Arial" w:cs="Arial"/>
                <w:sz w:val="16"/>
                <w:szCs w:val="16"/>
              </w:rPr>
              <w:t>Petrol</w:t>
            </w:r>
          </w:p>
        </w:tc>
        <w:tc>
          <w:tcPr>
            <w:tcW w:w="728" w:type="pct"/>
            <w:tcBorders>
              <w:top w:val="nil"/>
              <w:left w:val="nil"/>
              <w:bottom w:val="nil"/>
              <w:right w:val="nil"/>
            </w:tcBorders>
            <w:shd w:val="clear" w:color="auto" w:fill="auto"/>
            <w:noWrap/>
            <w:vAlign w:val="center"/>
            <w:hideMark/>
          </w:tcPr>
          <w:p w14:paraId="01268E77"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6,900</w:t>
            </w:r>
          </w:p>
        </w:tc>
        <w:tc>
          <w:tcPr>
            <w:tcW w:w="728" w:type="pct"/>
            <w:tcBorders>
              <w:top w:val="nil"/>
              <w:left w:val="nil"/>
              <w:bottom w:val="nil"/>
              <w:right w:val="nil"/>
            </w:tcBorders>
            <w:shd w:val="clear" w:color="000000" w:fill="E6F2FF"/>
            <w:noWrap/>
            <w:vAlign w:val="center"/>
            <w:hideMark/>
          </w:tcPr>
          <w:p w14:paraId="3F341BA2"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6,950</w:t>
            </w:r>
          </w:p>
        </w:tc>
        <w:tc>
          <w:tcPr>
            <w:tcW w:w="58" w:type="pct"/>
            <w:tcBorders>
              <w:top w:val="nil"/>
              <w:left w:val="nil"/>
              <w:bottom w:val="nil"/>
              <w:right w:val="nil"/>
            </w:tcBorders>
            <w:shd w:val="clear" w:color="auto" w:fill="auto"/>
            <w:noWrap/>
            <w:vAlign w:val="center"/>
            <w:hideMark/>
          </w:tcPr>
          <w:p w14:paraId="4D14FCBB" w14:textId="77777777" w:rsidR="00996975" w:rsidRPr="00673C1F" w:rsidRDefault="00996975" w:rsidP="00996975">
            <w:pPr>
              <w:spacing w:before="0" w:after="0" w:line="240" w:lineRule="auto"/>
              <w:jc w:val="right"/>
              <w:rPr>
                <w:rFonts w:ascii="Arial" w:hAnsi="Arial" w:cs="Arial"/>
                <w:sz w:val="16"/>
                <w:szCs w:val="16"/>
              </w:rPr>
            </w:pPr>
          </w:p>
        </w:tc>
        <w:tc>
          <w:tcPr>
            <w:tcW w:w="741" w:type="pct"/>
            <w:tcBorders>
              <w:top w:val="nil"/>
              <w:left w:val="nil"/>
              <w:bottom w:val="nil"/>
              <w:right w:val="nil"/>
            </w:tcBorders>
            <w:shd w:val="clear" w:color="auto" w:fill="auto"/>
            <w:noWrap/>
            <w:vAlign w:val="center"/>
            <w:hideMark/>
          </w:tcPr>
          <w:p w14:paraId="39305FEF"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50</w:t>
            </w:r>
          </w:p>
        </w:tc>
        <w:tc>
          <w:tcPr>
            <w:tcW w:w="741" w:type="pct"/>
            <w:tcBorders>
              <w:top w:val="nil"/>
              <w:left w:val="nil"/>
              <w:bottom w:val="nil"/>
              <w:right w:val="nil"/>
            </w:tcBorders>
            <w:shd w:val="clear" w:color="auto" w:fill="auto"/>
            <w:noWrap/>
            <w:vAlign w:val="center"/>
            <w:hideMark/>
          </w:tcPr>
          <w:p w14:paraId="0FDD310A"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0.7</w:t>
            </w:r>
          </w:p>
        </w:tc>
      </w:tr>
      <w:tr w:rsidR="00996975" w:rsidRPr="00673C1F" w14:paraId="451A513E" w14:textId="77777777" w:rsidTr="00996975">
        <w:trPr>
          <w:trHeight w:hRule="exact" w:val="225"/>
        </w:trPr>
        <w:tc>
          <w:tcPr>
            <w:tcW w:w="2003" w:type="pct"/>
            <w:tcBorders>
              <w:top w:val="nil"/>
              <w:left w:val="nil"/>
              <w:bottom w:val="nil"/>
              <w:right w:val="nil"/>
            </w:tcBorders>
            <w:shd w:val="clear" w:color="auto" w:fill="auto"/>
            <w:noWrap/>
            <w:vAlign w:val="center"/>
            <w:hideMark/>
          </w:tcPr>
          <w:p w14:paraId="5B6A866E" w14:textId="77777777" w:rsidR="00996975" w:rsidRPr="00673C1F" w:rsidRDefault="00996975" w:rsidP="00996975">
            <w:pPr>
              <w:spacing w:before="0" w:after="0" w:line="240" w:lineRule="auto"/>
              <w:ind w:left="170"/>
              <w:rPr>
                <w:rFonts w:ascii="Arial" w:hAnsi="Arial" w:cs="Arial"/>
                <w:sz w:val="16"/>
                <w:szCs w:val="16"/>
              </w:rPr>
            </w:pPr>
            <w:r w:rsidRPr="00673C1F">
              <w:rPr>
                <w:rFonts w:ascii="Arial" w:hAnsi="Arial" w:cs="Arial"/>
                <w:sz w:val="16"/>
                <w:szCs w:val="16"/>
              </w:rPr>
              <w:t>Diesel</w:t>
            </w:r>
          </w:p>
        </w:tc>
        <w:tc>
          <w:tcPr>
            <w:tcW w:w="728" w:type="pct"/>
            <w:tcBorders>
              <w:top w:val="nil"/>
              <w:left w:val="nil"/>
              <w:bottom w:val="nil"/>
              <w:right w:val="nil"/>
            </w:tcBorders>
            <w:shd w:val="clear" w:color="auto" w:fill="auto"/>
            <w:noWrap/>
            <w:vAlign w:val="center"/>
            <w:hideMark/>
          </w:tcPr>
          <w:p w14:paraId="20B4090C"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16,130</w:t>
            </w:r>
          </w:p>
        </w:tc>
        <w:tc>
          <w:tcPr>
            <w:tcW w:w="728" w:type="pct"/>
            <w:tcBorders>
              <w:top w:val="nil"/>
              <w:left w:val="nil"/>
              <w:bottom w:val="nil"/>
              <w:right w:val="nil"/>
            </w:tcBorders>
            <w:shd w:val="clear" w:color="000000" w:fill="E6F2FF"/>
            <w:noWrap/>
            <w:vAlign w:val="center"/>
            <w:hideMark/>
          </w:tcPr>
          <w:p w14:paraId="35CBD818"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16,160</w:t>
            </w:r>
          </w:p>
        </w:tc>
        <w:tc>
          <w:tcPr>
            <w:tcW w:w="58" w:type="pct"/>
            <w:tcBorders>
              <w:top w:val="nil"/>
              <w:left w:val="nil"/>
              <w:bottom w:val="nil"/>
              <w:right w:val="nil"/>
            </w:tcBorders>
            <w:shd w:val="clear" w:color="auto" w:fill="auto"/>
            <w:noWrap/>
            <w:vAlign w:val="center"/>
            <w:hideMark/>
          </w:tcPr>
          <w:p w14:paraId="682DD62D" w14:textId="77777777" w:rsidR="00996975" w:rsidRPr="00673C1F" w:rsidRDefault="00996975" w:rsidP="00996975">
            <w:pPr>
              <w:spacing w:before="0" w:after="0" w:line="240" w:lineRule="auto"/>
              <w:jc w:val="right"/>
              <w:rPr>
                <w:rFonts w:ascii="Arial" w:hAnsi="Arial" w:cs="Arial"/>
                <w:sz w:val="16"/>
                <w:szCs w:val="16"/>
              </w:rPr>
            </w:pPr>
          </w:p>
        </w:tc>
        <w:tc>
          <w:tcPr>
            <w:tcW w:w="741" w:type="pct"/>
            <w:tcBorders>
              <w:top w:val="nil"/>
              <w:left w:val="nil"/>
              <w:bottom w:val="nil"/>
              <w:right w:val="nil"/>
            </w:tcBorders>
            <w:shd w:val="clear" w:color="auto" w:fill="auto"/>
            <w:noWrap/>
            <w:vAlign w:val="center"/>
            <w:hideMark/>
          </w:tcPr>
          <w:p w14:paraId="417E64CC"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30</w:t>
            </w:r>
          </w:p>
        </w:tc>
        <w:tc>
          <w:tcPr>
            <w:tcW w:w="741" w:type="pct"/>
            <w:tcBorders>
              <w:top w:val="nil"/>
              <w:left w:val="nil"/>
              <w:bottom w:val="nil"/>
              <w:right w:val="nil"/>
            </w:tcBorders>
            <w:shd w:val="clear" w:color="auto" w:fill="auto"/>
            <w:noWrap/>
            <w:vAlign w:val="center"/>
            <w:hideMark/>
          </w:tcPr>
          <w:p w14:paraId="28EDC7E4"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0.2</w:t>
            </w:r>
          </w:p>
        </w:tc>
      </w:tr>
      <w:tr w:rsidR="00996975" w:rsidRPr="00673C1F" w14:paraId="047A8AB1" w14:textId="77777777" w:rsidTr="00996975">
        <w:trPr>
          <w:trHeight w:hRule="exact" w:val="225"/>
        </w:trPr>
        <w:tc>
          <w:tcPr>
            <w:tcW w:w="2003" w:type="pct"/>
            <w:tcBorders>
              <w:top w:val="nil"/>
              <w:left w:val="nil"/>
              <w:bottom w:val="nil"/>
              <w:right w:val="nil"/>
            </w:tcBorders>
            <w:shd w:val="clear" w:color="auto" w:fill="auto"/>
            <w:noWrap/>
            <w:vAlign w:val="center"/>
            <w:hideMark/>
          </w:tcPr>
          <w:p w14:paraId="1DAB8214" w14:textId="77777777" w:rsidR="00996975" w:rsidRPr="00673C1F" w:rsidRDefault="00996975" w:rsidP="00996975">
            <w:pPr>
              <w:spacing w:before="0" w:after="0" w:line="240" w:lineRule="auto"/>
              <w:ind w:left="170"/>
              <w:rPr>
                <w:rFonts w:ascii="Arial" w:hAnsi="Arial" w:cs="Arial"/>
                <w:sz w:val="16"/>
                <w:szCs w:val="16"/>
              </w:rPr>
            </w:pPr>
            <w:r w:rsidRPr="00673C1F">
              <w:rPr>
                <w:rFonts w:ascii="Arial" w:hAnsi="Arial" w:cs="Arial"/>
                <w:sz w:val="16"/>
                <w:szCs w:val="16"/>
              </w:rPr>
              <w:t>Other fuel products</w:t>
            </w:r>
          </w:p>
        </w:tc>
        <w:tc>
          <w:tcPr>
            <w:tcW w:w="728" w:type="pct"/>
            <w:tcBorders>
              <w:top w:val="nil"/>
              <w:left w:val="nil"/>
              <w:bottom w:val="nil"/>
              <w:right w:val="nil"/>
            </w:tcBorders>
            <w:shd w:val="clear" w:color="auto" w:fill="auto"/>
            <w:noWrap/>
            <w:vAlign w:val="center"/>
            <w:hideMark/>
          </w:tcPr>
          <w:p w14:paraId="57AA08D7"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2,260</w:t>
            </w:r>
          </w:p>
        </w:tc>
        <w:tc>
          <w:tcPr>
            <w:tcW w:w="728" w:type="pct"/>
            <w:tcBorders>
              <w:top w:val="nil"/>
              <w:left w:val="nil"/>
              <w:bottom w:val="nil"/>
              <w:right w:val="nil"/>
            </w:tcBorders>
            <w:shd w:val="clear" w:color="000000" w:fill="E6F2FF"/>
            <w:noWrap/>
            <w:vAlign w:val="center"/>
            <w:hideMark/>
          </w:tcPr>
          <w:p w14:paraId="3121F633"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2,090</w:t>
            </w:r>
          </w:p>
        </w:tc>
        <w:tc>
          <w:tcPr>
            <w:tcW w:w="58" w:type="pct"/>
            <w:tcBorders>
              <w:top w:val="nil"/>
              <w:left w:val="nil"/>
              <w:bottom w:val="nil"/>
              <w:right w:val="nil"/>
            </w:tcBorders>
            <w:shd w:val="clear" w:color="auto" w:fill="auto"/>
            <w:noWrap/>
            <w:vAlign w:val="center"/>
            <w:hideMark/>
          </w:tcPr>
          <w:p w14:paraId="7EEED10C" w14:textId="77777777" w:rsidR="00996975" w:rsidRPr="00673C1F" w:rsidRDefault="00996975" w:rsidP="00996975">
            <w:pPr>
              <w:spacing w:before="0" w:after="0" w:line="240" w:lineRule="auto"/>
              <w:jc w:val="right"/>
              <w:rPr>
                <w:rFonts w:ascii="Arial" w:hAnsi="Arial" w:cs="Arial"/>
                <w:sz w:val="16"/>
                <w:szCs w:val="16"/>
              </w:rPr>
            </w:pPr>
          </w:p>
        </w:tc>
        <w:tc>
          <w:tcPr>
            <w:tcW w:w="741" w:type="pct"/>
            <w:tcBorders>
              <w:top w:val="nil"/>
              <w:left w:val="nil"/>
              <w:bottom w:val="nil"/>
              <w:right w:val="nil"/>
            </w:tcBorders>
            <w:shd w:val="clear" w:color="auto" w:fill="auto"/>
            <w:noWrap/>
            <w:vAlign w:val="center"/>
            <w:hideMark/>
          </w:tcPr>
          <w:p w14:paraId="2AD6C75A" w14:textId="2992469A" w:rsidR="00996975" w:rsidRPr="00673C1F" w:rsidRDefault="006D727E" w:rsidP="00996975">
            <w:pPr>
              <w:spacing w:before="0" w:after="0" w:line="240" w:lineRule="auto"/>
              <w:jc w:val="right"/>
              <w:rPr>
                <w:rFonts w:ascii="Arial" w:hAnsi="Arial" w:cs="Arial"/>
                <w:sz w:val="16"/>
                <w:szCs w:val="16"/>
              </w:rPr>
            </w:pPr>
            <w:r w:rsidRPr="00673C1F">
              <w:rPr>
                <w:rFonts w:ascii="Arial" w:hAnsi="Arial" w:cs="Arial"/>
                <w:sz w:val="16"/>
                <w:szCs w:val="16"/>
              </w:rPr>
              <w:noBreakHyphen/>
            </w:r>
            <w:r w:rsidR="00996975" w:rsidRPr="00673C1F">
              <w:rPr>
                <w:rFonts w:ascii="Arial" w:hAnsi="Arial" w:cs="Arial"/>
                <w:sz w:val="16"/>
                <w:szCs w:val="16"/>
              </w:rPr>
              <w:t>170</w:t>
            </w:r>
          </w:p>
        </w:tc>
        <w:tc>
          <w:tcPr>
            <w:tcW w:w="741" w:type="pct"/>
            <w:tcBorders>
              <w:top w:val="nil"/>
              <w:left w:val="nil"/>
              <w:bottom w:val="nil"/>
              <w:right w:val="nil"/>
            </w:tcBorders>
            <w:shd w:val="clear" w:color="auto" w:fill="auto"/>
            <w:noWrap/>
            <w:vAlign w:val="center"/>
            <w:hideMark/>
          </w:tcPr>
          <w:p w14:paraId="0CAA8344" w14:textId="2782A47A" w:rsidR="00996975" w:rsidRPr="00673C1F" w:rsidRDefault="006D727E" w:rsidP="00996975">
            <w:pPr>
              <w:spacing w:before="0" w:after="0" w:line="240" w:lineRule="auto"/>
              <w:jc w:val="right"/>
              <w:rPr>
                <w:rFonts w:ascii="Arial" w:hAnsi="Arial" w:cs="Arial"/>
                <w:sz w:val="16"/>
                <w:szCs w:val="16"/>
              </w:rPr>
            </w:pPr>
            <w:r w:rsidRPr="00673C1F">
              <w:rPr>
                <w:rFonts w:ascii="Arial" w:hAnsi="Arial" w:cs="Arial"/>
                <w:sz w:val="16"/>
                <w:szCs w:val="16"/>
              </w:rPr>
              <w:noBreakHyphen/>
            </w:r>
            <w:r w:rsidR="00996975" w:rsidRPr="00673C1F">
              <w:rPr>
                <w:rFonts w:ascii="Arial" w:hAnsi="Arial" w:cs="Arial"/>
                <w:sz w:val="16"/>
                <w:szCs w:val="16"/>
              </w:rPr>
              <w:t>7.5</w:t>
            </w:r>
          </w:p>
        </w:tc>
      </w:tr>
      <w:tr w:rsidR="00996975" w:rsidRPr="00673C1F" w14:paraId="0739210C" w14:textId="77777777" w:rsidTr="00996975">
        <w:trPr>
          <w:trHeight w:hRule="exact" w:val="225"/>
        </w:trPr>
        <w:tc>
          <w:tcPr>
            <w:tcW w:w="2003" w:type="pct"/>
            <w:tcBorders>
              <w:top w:val="nil"/>
              <w:left w:val="nil"/>
              <w:bottom w:val="nil"/>
              <w:right w:val="nil"/>
            </w:tcBorders>
            <w:shd w:val="clear" w:color="auto" w:fill="auto"/>
            <w:noWrap/>
            <w:vAlign w:val="center"/>
            <w:hideMark/>
          </w:tcPr>
          <w:p w14:paraId="6C276A9C" w14:textId="77777777" w:rsidR="00996975" w:rsidRPr="00673C1F" w:rsidRDefault="00996975" w:rsidP="00996975">
            <w:pPr>
              <w:spacing w:before="0" w:after="0" w:line="240" w:lineRule="auto"/>
              <w:ind w:left="170"/>
              <w:rPr>
                <w:rFonts w:ascii="Arial" w:hAnsi="Arial" w:cs="Arial"/>
                <w:sz w:val="16"/>
                <w:szCs w:val="16"/>
              </w:rPr>
            </w:pPr>
            <w:r w:rsidRPr="00673C1F">
              <w:rPr>
                <w:rFonts w:ascii="Arial" w:hAnsi="Arial" w:cs="Arial"/>
                <w:sz w:val="16"/>
                <w:szCs w:val="16"/>
              </w:rPr>
              <w:t>Tobacco</w:t>
            </w:r>
          </w:p>
        </w:tc>
        <w:tc>
          <w:tcPr>
            <w:tcW w:w="728" w:type="pct"/>
            <w:tcBorders>
              <w:top w:val="nil"/>
              <w:left w:val="nil"/>
              <w:bottom w:val="nil"/>
              <w:right w:val="nil"/>
            </w:tcBorders>
            <w:shd w:val="clear" w:color="auto" w:fill="auto"/>
            <w:noWrap/>
            <w:vAlign w:val="center"/>
            <w:hideMark/>
          </w:tcPr>
          <w:p w14:paraId="3F31D95C"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12,850</w:t>
            </w:r>
          </w:p>
        </w:tc>
        <w:tc>
          <w:tcPr>
            <w:tcW w:w="728" w:type="pct"/>
            <w:tcBorders>
              <w:top w:val="nil"/>
              <w:left w:val="nil"/>
              <w:bottom w:val="nil"/>
              <w:right w:val="nil"/>
            </w:tcBorders>
            <w:shd w:val="clear" w:color="000000" w:fill="E6F2FF"/>
            <w:noWrap/>
            <w:vAlign w:val="center"/>
            <w:hideMark/>
          </w:tcPr>
          <w:p w14:paraId="766C6D78"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10,500</w:t>
            </w:r>
          </w:p>
        </w:tc>
        <w:tc>
          <w:tcPr>
            <w:tcW w:w="58" w:type="pct"/>
            <w:tcBorders>
              <w:top w:val="nil"/>
              <w:left w:val="nil"/>
              <w:bottom w:val="nil"/>
              <w:right w:val="nil"/>
            </w:tcBorders>
            <w:shd w:val="clear" w:color="auto" w:fill="auto"/>
            <w:noWrap/>
            <w:vAlign w:val="center"/>
            <w:hideMark/>
          </w:tcPr>
          <w:p w14:paraId="38B086A3" w14:textId="77777777" w:rsidR="00996975" w:rsidRPr="00673C1F" w:rsidRDefault="00996975" w:rsidP="00996975">
            <w:pPr>
              <w:spacing w:before="0" w:after="0" w:line="240" w:lineRule="auto"/>
              <w:jc w:val="right"/>
              <w:rPr>
                <w:rFonts w:ascii="Arial" w:hAnsi="Arial" w:cs="Arial"/>
                <w:sz w:val="16"/>
                <w:szCs w:val="16"/>
              </w:rPr>
            </w:pPr>
          </w:p>
        </w:tc>
        <w:tc>
          <w:tcPr>
            <w:tcW w:w="741" w:type="pct"/>
            <w:tcBorders>
              <w:top w:val="nil"/>
              <w:left w:val="nil"/>
              <w:bottom w:val="nil"/>
              <w:right w:val="nil"/>
            </w:tcBorders>
            <w:shd w:val="clear" w:color="auto" w:fill="auto"/>
            <w:noWrap/>
            <w:vAlign w:val="center"/>
            <w:hideMark/>
          </w:tcPr>
          <w:p w14:paraId="6729E05F" w14:textId="68E156E4" w:rsidR="00996975" w:rsidRPr="00673C1F" w:rsidRDefault="006D727E" w:rsidP="00996975">
            <w:pPr>
              <w:spacing w:before="0" w:after="0" w:line="240" w:lineRule="auto"/>
              <w:jc w:val="right"/>
              <w:rPr>
                <w:rFonts w:ascii="Arial" w:hAnsi="Arial" w:cs="Arial"/>
                <w:sz w:val="16"/>
                <w:szCs w:val="16"/>
              </w:rPr>
            </w:pPr>
            <w:r w:rsidRPr="00673C1F">
              <w:rPr>
                <w:rFonts w:ascii="Arial" w:hAnsi="Arial" w:cs="Arial"/>
                <w:sz w:val="16"/>
                <w:szCs w:val="16"/>
              </w:rPr>
              <w:noBreakHyphen/>
            </w:r>
            <w:r w:rsidR="00996975" w:rsidRPr="00673C1F">
              <w:rPr>
                <w:rFonts w:ascii="Arial" w:hAnsi="Arial" w:cs="Arial"/>
                <w:sz w:val="16"/>
                <w:szCs w:val="16"/>
              </w:rPr>
              <w:t>2,350</w:t>
            </w:r>
          </w:p>
        </w:tc>
        <w:tc>
          <w:tcPr>
            <w:tcW w:w="741" w:type="pct"/>
            <w:tcBorders>
              <w:top w:val="nil"/>
              <w:left w:val="nil"/>
              <w:bottom w:val="nil"/>
              <w:right w:val="nil"/>
            </w:tcBorders>
            <w:shd w:val="clear" w:color="auto" w:fill="auto"/>
            <w:noWrap/>
            <w:vAlign w:val="center"/>
            <w:hideMark/>
          </w:tcPr>
          <w:p w14:paraId="4C918F74" w14:textId="5A8A2EC0" w:rsidR="00996975" w:rsidRPr="00673C1F" w:rsidRDefault="006D727E" w:rsidP="00996975">
            <w:pPr>
              <w:spacing w:before="0" w:after="0" w:line="240" w:lineRule="auto"/>
              <w:jc w:val="right"/>
              <w:rPr>
                <w:rFonts w:ascii="Arial" w:hAnsi="Arial" w:cs="Arial"/>
                <w:sz w:val="16"/>
                <w:szCs w:val="16"/>
              </w:rPr>
            </w:pPr>
            <w:r w:rsidRPr="00673C1F">
              <w:rPr>
                <w:rFonts w:ascii="Arial" w:hAnsi="Arial" w:cs="Arial"/>
                <w:sz w:val="16"/>
                <w:szCs w:val="16"/>
              </w:rPr>
              <w:noBreakHyphen/>
            </w:r>
            <w:r w:rsidR="00996975" w:rsidRPr="00673C1F">
              <w:rPr>
                <w:rFonts w:ascii="Arial" w:hAnsi="Arial" w:cs="Arial"/>
                <w:sz w:val="16"/>
                <w:szCs w:val="16"/>
              </w:rPr>
              <w:t>18.3</w:t>
            </w:r>
          </w:p>
        </w:tc>
      </w:tr>
      <w:tr w:rsidR="00996975" w:rsidRPr="00673C1F" w14:paraId="3E3CD94D" w14:textId="77777777" w:rsidTr="00996975">
        <w:trPr>
          <w:trHeight w:hRule="exact" w:val="225"/>
        </w:trPr>
        <w:tc>
          <w:tcPr>
            <w:tcW w:w="2003" w:type="pct"/>
            <w:tcBorders>
              <w:top w:val="nil"/>
              <w:left w:val="nil"/>
              <w:bottom w:val="nil"/>
              <w:right w:val="nil"/>
            </w:tcBorders>
            <w:shd w:val="clear" w:color="auto" w:fill="auto"/>
            <w:noWrap/>
            <w:vAlign w:val="center"/>
            <w:hideMark/>
          </w:tcPr>
          <w:p w14:paraId="35B57CE9" w14:textId="77777777" w:rsidR="00996975" w:rsidRPr="00673C1F" w:rsidRDefault="00996975" w:rsidP="00996975">
            <w:pPr>
              <w:spacing w:before="0" w:after="0" w:line="240" w:lineRule="auto"/>
              <w:ind w:left="170"/>
              <w:rPr>
                <w:rFonts w:ascii="Arial" w:hAnsi="Arial" w:cs="Arial"/>
                <w:sz w:val="16"/>
                <w:szCs w:val="16"/>
              </w:rPr>
            </w:pPr>
            <w:r w:rsidRPr="00673C1F">
              <w:rPr>
                <w:rFonts w:ascii="Arial" w:hAnsi="Arial" w:cs="Arial"/>
                <w:sz w:val="16"/>
                <w:szCs w:val="16"/>
              </w:rPr>
              <w:t>Beer</w:t>
            </w:r>
          </w:p>
        </w:tc>
        <w:tc>
          <w:tcPr>
            <w:tcW w:w="728" w:type="pct"/>
            <w:tcBorders>
              <w:top w:val="nil"/>
              <w:left w:val="nil"/>
              <w:bottom w:val="nil"/>
              <w:right w:val="nil"/>
            </w:tcBorders>
            <w:shd w:val="clear" w:color="auto" w:fill="auto"/>
            <w:noWrap/>
            <w:vAlign w:val="center"/>
            <w:hideMark/>
          </w:tcPr>
          <w:p w14:paraId="0E85CF4A"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2,630</w:t>
            </w:r>
          </w:p>
        </w:tc>
        <w:tc>
          <w:tcPr>
            <w:tcW w:w="728" w:type="pct"/>
            <w:tcBorders>
              <w:top w:val="nil"/>
              <w:left w:val="nil"/>
              <w:bottom w:val="nil"/>
              <w:right w:val="nil"/>
            </w:tcBorders>
            <w:shd w:val="clear" w:color="000000" w:fill="E6F2FF"/>
            <w:noWrap/>
            <w:vAlign w:val="center"/>
            <w:hideMark/>
          </w:tcPr>
          <w:p w14:paraId="3E6DF8CA"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2,630</w:t>
            </w:r>
          </w:p>
        </w:tc>
        <w:tc>
          <w:tcPr>
            <w:tcW w:w="58" w:type="pct"/>
            <w:tcBorders>
              <w:top w:val="nil"/>
              <w:left w:val="nil"/>
              <w:bottom w:val="nil"/>
              <w:right w:val="nil"/>
            </w:tcBorders>
            <w:shd w:val="clear" w:color="auto" w:fill="auto"/>
            <w:noWrap/>
            <w:vAlign w:val="center"/>
            <w:hideMark/>
          </w:tcPr>
          <w:p w14:paraId="1BEE2BFC" w14:textId="77777777" w:rsidR="00996975" w:rsidRPr="00673C1F" w:rsidRDefault="00996975" w:rsidP="00996975">
            <w:pPr>
              <w:spacing w:before="0" w:after="0" w:line="240" w:lineRule="auto"/>
              <w:jc w:val="right"/>
              <w:rPr>
                <w:rFonts w:ascii="Arial" w:hAnsi="Arial" w:cs="Arial"/>
                <w:sz w:val="16"/>
                <w:szCs w:val="16"/>
              </w:rPr>
            </w:pPr>
          </w:p>
        </w:tc>
        <w:tc>
          <w:tcPr>
            <w:tcW w:w="741" w:type="pct"/>
            <w:tcBorders>
              <w:top w:val="nil"/>
              <w:left w:val="nil"/>
              <w:bottom w:val="nil"/>
              <w:right w:val="nil"/>
            </w:tcBorders>
            <w:shd w:val="clear" w:color="auto" w:fill="auto"/>
            <w:noWrap/>
            <w:vAlign w:val="center"/>
            <w:hideMark/>
          </w:tcPr>
          <w:p w14:paraId="1B1A2AC8"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0</w:t>
            </w:r>
          </w:p>
        </w:tc>
        <w:tc>
          <w:tcPr>
            <w:tcW w:w="741" w:type="pct"/>
            <w:tcBorders>
              <w:top w:val="nil"/>
              <w:left w:val="nil"/>
              <w:bottom w:val="nil"/>
              <w:right w:val="nil"/>
            </w:tcBorders>
            <w:shd w:val="clear" w:color="auto" w:fill="auto"/>
            <w:noWrap/>
            <w:vAlign w:val="center"/>
            <w:hideMark/>
          </w:tcPr>
          <w:p w14:paraId="55E7F207"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0.0</w:t>
            </w:r>
          </w:p>
        </w:tc>
      </w:tr>
      <w:tr w:rsidR="00996975" w:rsidRPr="00673C1F" w14:paraId="5D11B913" w14:textId="77777777" w:rsidTr="00996975">
        <w:trPr>
          <w:trHeight w:hRule="exact" w:val="225"/>
        </w:trPr>
        <w:tc>
          <w:tcPr>
            <w:tcW w:w="2003" w:type="pct"/>
            <w:tcBorders>
              <w:top w:val="nil"/>
              <w:left w:val="nil"/>
              <w:bottom w:val="nil"/>
              <w:right w:val="nil"/>
            </w:tcBorders>
            <w:shd w:val="clear" w:color="auto" w:fill="auto"/>
            <w:noWrap/>
            <w:vAlign w:val="center"/>
            <w:hideMark/>
          </w:tcPr>
          <w:p w14:paraId="3F6921E2" w14:textId="77777777" w:rsidR="00996975" w:rsidRPr="00673C1F" w:rsidRDefault="00996975" w:rsidP="00996975">
            <w:pPr>
              <w:spacing w:before="0" w:after="0" w:line="240" w:lineRule="auto"/>
              <w:ind w:left="170"/>
              <w:rPr>
                <w:rFonts w:ascii="Arial" w:hAnsi="Arial" w:cs="Arial"/>
                <w:sz w:val="16"/>
                <w:szCs w:val="16"/>
              </w:rPr>
            </w:pPr>
            <w:r w:rsidRPr="00673C1F">
              <w:rPr>
                <w:rFonts w:ascii="Arial" w:hAnsi="Arial" w:cs="Arial"/>
                <w:sz w:val="16"/>
                <w:szCs w:val="16"/>
              </w:rPr>
              <w:t>Spirits</w:t>
            </w:r>
          </w:p>
        </w:tc>
        <w:tc>
          <w:tcPr>
            <w:tcW w:w="728" w:type="pct"/>
            <w:tcBorders>
              <w:top w:val="nil"/>
              <w:left w:val="nil"/>
              <w:bottom w:val="nil"/>
              <w:right w:val="nil"/>
            </w:tcBorders>
            <w:shd w:val="clear" w:color="auto" w:fill="auto"/>
            <w:noWrap/>
            <w:vAlign w:val="center"/>
            <w:hideMark/>
          </w:tcPr>
          <w:p w14:paraId="3F45BCCF"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3,370</w:t>
            </w:r>
          </w:p>
        </w:tc>
        <w:tc>
          <w:tcPr>
            <w:tcW w:w="728" w:type="pct"/>
            <w:tcBorders>
              <w:top w:val="nil"/>
              <w:left w:val="nil"/>
              <w:bottom w:val="nil"/>
              <w:right w:val="nil"/>
            </w:tcBorders>
            <w:shd w:val="clear" w:color="000000" w:fill="E6F2FF"/>
            <w:noWrap/>
            <w:vAlign w:val="center"/>
            <w:hideMark/>
          </w:tcPr>
          <w:p w14:paraId="716925A4"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3,340</w:t>
            </w:r>
          </w:p>
        </w:tc>
        <w:tc>
          <w:tcPr>
            <w:tcW w:w="58" w:type="pct"/>
            <w:tcBorders>
              <w:top w:val="nil"/>
              <w:left w:val="nil"/>
              <w:bottom w:val="nil"/>
              <w:right w:val="nil"/>
            </w:tcBorders>
            <w:shd w:val="clear" w:color="auto" w:fill="auto"/>
            <w:noWrap/>
            <w:vAlign w:val="center"/>
            <w:hideMark/>
          </w:tcPr>
          <w:p w14:paraId="69D5F99D" w14:textId="77777777" w:rsidR="00996975" w:rsidRPr="00673C1F" w:rsidRDefault="00996975" w:rsidP="00996975">
            <w:pPr>
              <w:spacing w:before="0" w:after="0" w:line="240" w:lineRule="auto"/>
              <w:jc w:val="right"/>
              <w:rPr>
                <w:rFonts w:ascii="Arial" w:hAnsi="Arial" w:cs="Arial"/>
                <w:sz w:val="16"/>
                <w:szCs w:val="16"/>
              </w:rPr>
            </w:pPr>
          </w:p>
        </w:tc>
        <w:tc>
          <w:tcPr>
            <w:tcW w:w="741" w:type="pct"/>
            <w:tcBorders>
              <w:top w:val="nil"/>
              <w:left w:val="nil"/>
              <w:bottom w:val="nil"/>
              <w:right w:val="nil"/>
            </w:tcBorders>
            <w:shd w:val="clear" w:color="auto" w:fill="auto"/>
            <w:noWrap/>
            <w:vAlign w:val="center"/>
            <w:hideMark/>
          </w:tcPr>
          <w:p w14:paraId="50D5F1BF" w14:textId="14F400A6" w:rsidR="00996975" w:rsidRPr="00673C1F" w:rsidRDefault="006D727E" w:rsidP="00996975">
            <w:pPr>
              <w:spacing w:before="0" w:after="0" w:line="240" w:lineRule="auto"/>
              <w:jc w:val="right"/>
              <w:rPr>
                <w:rFonts w:ascii="Arial" w:hAnsi="Arial" w:cs="Arial"/>
                <w:sz w:val="16"/>
                <w:szCs w:val="16"/>
              </w:rPr>
            </w:pPr>
            <w:r w:rsidRPr="00673C1F">
              <w:rPr>
                <w:rFonts w:ascii="Arial" w:hAnsi="Arial" w:cs="Arial"/>
                <w:sz w:val="16"/>
                <w:szCs w:val="16"/>
              </w:rPr>
              <w:noBreakHyphen/>
            </w:r>
            <w:r w:rsidR="00996975" w:rsidRPr="00673C1F">
              <w:rPr>
                <w:rFonts w:ascii="Arial" w:hAnsi="Arial" w:cs="Arial"/>
                <w:sz w:val="16"/>
                <w:szCs w:val="16"/>
              </w:rPr>
              <w:t>30</w:t>
            </w:r>
          </w:p>
        </w:tc>
        <w:tc>
          <w:tcPr>
            <w:tcW w:w="741" w:type="pct"/>
            <w:tcBorders>
              <w:top w:val="nil"/>
              <w:left w:val="nil"/>
              <w:bottom w:val="nil"/>
              <w:right w:val="nil"/>
            </w:tcBorders>
            <w:shd w:val="clear" w:color="auto" w:fill="auto"/>
            <w:noWrap/>
            <w:vAlign w:val="center"/>
            <w:hideMark/>
          </w:tcPr>
          <w:p w14:paraId="3AA813F0" w14:textId="24F7B429" w:rsidR="00996975" w:rsidRPr="00673C1F" w:rsidRDefault="006D727E" w:rsidP="00996975">
            <w:pPr>
              <w:spacing w:before="0" w:after="0" w:line="240" w:lineRule="auto"/>
              <w:jc w:val="right"/>
              <w:rPr>
                <w:rFonts w:ascii="Arial" w:hAnsi="Arial" w:cs="Arial"/>
                <w:sz w:val="16"/>
                <w:szCs w:val="16"/>
              </w:rPr>
            </w:pPr>
            <w:r w:rsidRPr="00673C1F">
              <w:rPr>
                <w:rFonts w:ascii="Arial" w:hAnsi="Arial" w:cs="Arial"/>
                <w:sz w:val="16"/>
                <w:szCs w:val="16"/>
              </w:rPr>
              <w:noBreakHyphen/>
            </w:r>
            <w:r w:rsidR="00996975" w:rsidRPr="00673C1F">
              <w:rPr>
                <w:rFonts w:ascii="Arial" w:hAnsi="Arial" w:cs="Arial"/>
                <w:sz w:val="16"/>
                <w:szCs w:val="16"/>
              </w:rPr>
              <w:t>0.9</w:t>
            </w:r>
          </w:p>
        </w:tc>
      </w:tr>
      <w:tr w:rsidR="00996975" w:rsidRPr="00673C1F" w14:paraId="3822844F" w14:textId="77777777" w:rsidTr="00996975">
        <w:trPr>
          <w:trHeight w:hRule="exact" w:val="225"/>
        </w:trPr>
        <w:tc>
          <w:tcPr>
            <w:tcW w:w="2003" w:type="pct"/>
            <w:tcBorders>
              <w:top w:val="nil"/>
              <w:left w:val="nil"/>
              <w:bottom w:val="nil"/>
              <w:right w:val="nil"/>
            </w:tcBorders>
            <w:shd w:val="clear" w:color="auto" w:fill="auto"/>
            <w:noWrap/>
            <w:vAlign w:val="center"/>
            <w:hideMark/>
          </w:tcPr>
          <w:p w14:paraId="0BF5F468" w14:textId="77777777" w:rsidR="00996975" w:rsidRPr="00673C1F" w:rsidRDefault="00996975" w:rsidP="00996975">
            <w:pPr>
              <w:spacing w:before="0" w:after="0" w:line="240" w:lineRule="auto"/>
              <w:ind w:left="170"/>
              <w:rPr>
                <w:rFonts w:ascii="Arial" w:hAnsi="Arial" w:cs="Arial"/>
                <w:sz w:val="16"/>
                <w:szCs w:val="16"/>
              </w:rPr>
            </w:pPr>
            <w:r w:rsidRPr="00673C1F">
              <w:rPr>
                <w:rFonts w:ascii="Arial" w:hAnsi="Arial" w:cs="Arial"/>
                <w:sz w:val="16"/>
                <w:szCs w:val="16"/>
              </w:rPr>
              <w:t>Other alcoholic beverages(a)</w:t>
            </w:r>
          </w:p>
        </w:tc>
        <w:tc>
          <w:tcPr>
            <w:tcW w:w="728" w:type="pct"/>
            <w:tcBorders>
              <w:top w:val="nil"/>
              <w:left w:val="nil"/>
              <w:bottom w:val="nil"/>
              <w:right w:val="nil"/>
            </w:tcBorders>
            <w:shd w:val="clear" w:color="auto" w:fill="auto"/>
            <w:noWrap/>
            <w:vAlign w:val="center"/>
            <w:hideMark/>
          </w:tcPr>
          <w:p w14:paraId="75ADFFD6"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1,680</w:t>
            </w:r>
          </w:p>
        </w:tc>
        <w:tc>
          <w:tcPr>
            <w:tcW w:w="728" w:type="pct"/>
            <w:tcBorders>
              <w:top w:val="nil"/>
              <w:left w:val="nil"/>
              <w:bottom w:val="nil"/>
              <w:right w:val="nil"/>
            </w:tcBorders>
            <w:shd w:val="clear" w:color="000000" w:fill="E6F2FF"/>
            <w:noWrap/>
            <w:vAlign w:val="center"/>
            <w:hideMark/>
          </w:tcPr>
          <w:p w14:paraId="2F3CAE94"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1,680</w:t>
            </w:r>
          </w:p>
        </w:tc>
        <w:tc>
          <w:tcPr>
            <w:tcW w:w="58" w:type="pct"/>
            <w:tcBorders>
              <w:top w:val="nil"/>
              <w:left w:val="nil"/>
              <w:bottom w:val="nil"/>
              <w:right w:val="nil"/>
            </w:tcBorders>
            <w:shd w:val="clear" w:color="auto" w:fill="auto"/>
            <w:noWrap/>
            <w:vAlign w:val="center"/>
            <w:hideMark/>
          </w:tcPr>
          <w:p w14:paraId="460224BA" w14:textId="77777777" w:rsidR="00996975" w:rsidRPr="00673C1F" w:rsidRDefault="00996975" w:rsidP="00996975">
            <w:pPr>
              <w:spacing w:before="0" w:after="0" w:line="240" w:lineRule="auto"/>
              <w:jc w:val="right"/>
              <w:rPr>
                <w:rFonts w:ascii="Arial" w:hAnsi="Arial" w:cs="Arial"/>
                <w:sz w:val="16"/>
                <w:szCs w:val="16"/>
              </w:rPr>
            </w:pPr>
          </w:p>
        </w:tc>
        <w:tc>
          <w:tcPr>
            <w:tcW w:w="741" w:type="pct"/>
            <w:tcBorders>
              <w:top w:val="nil"/>
              <w:left w:val="nil"/>
              <w:bottom w:val="nil"/>
              <w:right w:val="nil"/>
            </w:tcBorders>
            <w:shd w:val="clear" w:color="auto" w:fill="auto"/>
            <w:noWrap/>
            <w:vAlign w:val="center"/>
            <w:hideMark/>
          </w:tcPr>
          <w:p w14:paraId="5B47DFEA"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0</w:t>
            </w:r>
          </w:p>
        </w:tc>
        <w:tc>
          <w:tcPr>
            <w:tcW w:w="741" w:type="pct"/>
            <w:tcBorders>
              <w:top w:val="nil"/>
              <w:left w:val="nil"/>
              <w:bottom w:val="nil"/>
              <w:right w:val="nil"/>
            </w:tcBorders>
            <w:shd w:val="clear" w:color="auto" w:fill="auto"/>
            <w:noWrap/>
            <w:vAlign w:val="center"/>
            <w:hideMark/>
          </w:tcPr>
          <w:p w14:paraId="6F6606DF"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0.0</w:t>
            </w:r>
          </w:p>
        </w:tc>
      </w:tr>
      <w:tr w:rsidR="00996975" w:rsidRPr="00673C1F" w14:paraId="3E794286" w14:textId="77777777" w:rsidTr="00996975">
        <w:trPr>
          <w:trHeight w:hRule="exact" w:val="225"/>
        </w:trPr>
        <w:tc>
          <w:tcPr>
            <w:tcW w:w="2003" w:type="pct"/>
            <w:tcBorders>
              <w:top w:val="nil"/>
              <w:left w:val="nil"/>
              <w:bottom w:val="nil"/>
              <w:right w:val="nil"/>
            </w:tcBorders>
            <w:shd w:val="clear" w:color="auto" w:fill="auto"/>
            <w:noWrap/>
            <w:vAlign w:val="center"/>
            <w:hideMark/>
          </w:tcPr>
          <w:p w14:paraId="1F3AA8BD" w14:textId="77777777" w:rsidR="00996975" w:rsidRPr="00673C1F" w:rsidRDefault="00996975" w:rsidP="00996975">
            <w:pPr>
              <w:spacing w:before="0" w:after="0" w:line="240" w:lineRule="auto"/>
              <w:ind w:left="170"/>
              <w:rPr>
                <w:rFonts w:ascii="Arial" w:hAnsi="Arial" w:cs="Arial"/>
                <w:sz w:val="16"/>
                <w:szCs w:val="16"/>
              </w:rPr>
            </w:pPr>
            <w:r w:rsidRPr="00673C1F">
              <w:rPr>
                <w:rFonts w:ascii="Arial" w:hAnsi="Arial" w:cs="Arial"/>
                <w:sz w:val="16"/>
                <w:szCs w:val="16"/>
              </w:rPr>
              <w:t>Other customs duty</w:t>
            </w:r>
          </w:p>
        </w:tc>
        <w:tc>
          <w:tcPr>
            <w:tcW w:w="728" w:type="pct"/>
            <w:tcBorders>
              <w:top w:val="nil"/>
              <w:left w:val="nil"/>
              <w:bottom w:val="nil"/>
              <w:right w:val="nil"/>
            </w:tcBorders>
            <w:shd w:val="clear" w:color="auto" w:fill="auto"/>
            <w:noWrap/>
            <w:vAlign w:val="center"/>
            <w:hideMark/>
          </w:tcPr>
          <w:p w14:paraId="28680C90" w14:textId="77777777" w:rsidR="00996975" w:rsidRPr="00673C1F" w:rsidRDefault="00996975" w:rsidP="00996975">
            <w:pPr>
              <w:spacing w:before="0" w:after="0" w:line="240" w:lineRule="auto"/>
              <w:ind w:firstLineChars="100" w:firstLine="160"/>
              <w:rPr>
                <w:rFonts w:ascii="Arial" w:hAnsi="Arial" w:cs="Arial"/>
                <w:sz w:val="16"/>
                <w:szCs w:val="16"/>
              </w:rPr>
            </w:pPr>
          </w:p>
        </w:tc>
        <w:tc>
          <w:tcPr>
            <w:tcW w:w="728" w:type="pct"/>
            <w:tcBorders>
              <w:top w:val="nil"/>
              <w:left w:val="nil"/>
              <w:bottom w:val="nil"/>
              <w:right w:val="nil"/>
            </w:tcBorders>
            <w:shd w:val="clear" w:color="000000" w:fill="E6F2FF"/>
            <w:noWrap/>
            <w:vAlign w:val="center"/>
            <w:hideMark/>
          </w:tcPr>
          <w:p w14:paraId="3AB6C91A" w14:textId="77777777" w:rsidR="00996975" w:rsidRPr="00673C1F" w:rsidRDefault="00996975" w:rsidP="00996975">
            <w:pPr>
              <w:spacing w:before="0" w:after="0" w:line="240" w:lineRule="auto"/>
              <w:rPr>
                <w:rFonts w:ascii="Arial" w:hAnsi="Arial" w:cs="Arial"/>
                <w:sz w:val="16"/>
                <w:szCs w:val="16"/>
              </w:rPr>
            </w:pPr>
            <w:r w:rsidRPr="00673C1F">
              <w:rPr>
                <w:rFonts w:ascii="Arial" w:hAnsi="Arial" w:cs="Arial"/>
                <w:sz w:val="16"/>
                <w:szCs w:val="16"/>
              </w:rPr>
              <w:t> </w:t>
            </w:r>
          </w:p>
        </w:tc>
        <w:tc>
          <w:tcPr>
            <w:tcW w:w="58" w:type="pct"/>
            <w:tcBorders>
              <w:top w:val="nil"/>
              <w:left w:val="nil"/>
              <w:bottom w:val="nil"/>
              <w:right w:val="nil"/>
            </w:tcBorders>
            <w:shd w:val="clear" w:color="auto" w:fill="auto"/>
            <w:noWrap/>
            <w:vAlign w:val="center"/>
            <w:hideMark/>
          </w:tcPr>
          <w:p w14:paraId="114DCDA7" w14:textId="77777777" w:rsidR="00996975" w:rsidRPr="00673C1F" w:rsidRDefault="00996975" w:rsidP="00996975">
            <w:pPr>
              <w:spacing w:before="0" w:after="0" w:line="240" w:lineRule="auto"/>
              <w:rPr>
                <w:rFonts w:ascii="Arial" w:hAnsi="Arial" w:cs="Arial"/>
                <w:sz w:val="16"/>
                <w:szCs w:val="16"/>
              </w:rPr>
            </w:pPr>
          </w:p>
        </w:tc>
        <w:tc>
          <w:tcPr>
            <w:tcW w:w="741" w:type="pct"/>
            <w:tcBorders>
              <w:top w:val="nil"/>
              <w:left w:val="nil"/>
              <w:bottom w:val="nil"/>
              <w:right w:val="nil"/>
            </w:tcBorders>
            <w:shd w:val="clear" w:color="auto" w:fill="auto"/>
            <w:noWrap/>
            <w:vAlign w:val="center"/>
            <w:hideMark/>
          </w:tcPr>
          <w:p w14:paraId="70D74606" w14:textId="77777777" w:rsidR="00996975" w:rsidRPr="00673C1F" w:rsidRDefault="00996975" w:rsidP="00996975">
            <w:pPr>
              <w:spacing w:before="0" w:after="0" w:line="240" w:lineRule="auto"/>
              <w:jc w:val="right"/>
              <w:rPr>
                <w:rFonts w:ascii="Times New Roman" w:hAnsi="Times New Roman"/>
                <w:sz w:val="20"/>
              </w:rPr>
            </w:pPr>
          </w:p>
        </w:tc>
        <w:tc>
          <w:tcPr>
            <w:tcW w:w="741" w:type="pct"/>
            <w:tcBorders>
              <w:top w:val="nil"/>
              <w:left w:val="nil"/>
              <w:bottom w:val="nil"/>
              <w:right w:val="nil"/>
            </w:tcBorders>
            <w:shd w:val="clear" w:color="auto" w:fill="auto"/>
            <w:noWrap/>
            <w:vAlign w:val="center"/>
            <w:hideMark/>
          </w:tcPr>
          <w:p w14:paraId="0DA64387" w14:textId="77777777" w:rsidR="00996975" w:rsidRPr="00673C1F" w:rsidRDefault="00996975" w:rsidP="00996975">
            <w:pPr>
              <w:spacing w:before="0" w:after="0" w:line="240" w:lineRule="auto"/>
              <w:jc w:val="right"/>
              <w:rPr>
                <w:rFonts w:ascii="Times New Roman" w:hAnsi="Times New Roman"/>
                <w:sz w:val="20"/>
              </w:rPr>
            </w:pPr>
          </w:p>
        </w:tc>
      </w:tr>
      <w:tr w:rsidR="00996975" w:rsidRPr="00673C1F" w14:paraId="3B63E778" w14:textId="77777777" w:rsidTr="00996975">
        <w:trPr>
          <w:trHeight w:hRule="exact" w:val="225"/>
        </w:trPr>
        <w:tc>
          <w:tcPr>
            <w:tcW w:w="2003" w:type="pct"/>
            <w:tcBorders>
              <w:top w:val="nil"/>
              <w:left w:val="nil"/>
              <w:bottom w:val="nil"/>
              <w:right w:val="nil"/>
            </w:tcBorders>
            <w:shd w:val="clear" w:color="auto" w:fill="auto"/>
            <w:noWrap/>
            <w:vAlign w:val="bottom"/>
            <w:hideMark/>
          </w:tcPr>
          <w:p w14:paraId="4CF9D629" w14:textId="77777777" w:rsidR="00996975" w:rsidRPr="00673C1F" w:rsidRDefault="00996975" w:rsidP="00996975">
            <w:pPr>
              <w:spacing w:before="0" w:after="0" w:line="240" w:lineRule="auto"/>
              <w:ind w:left="170"/>
              <w:rPr>
                <w:rFonts w:ascii="Arial" w:hAnsi="Arial" w:cs="Arial"/>
                <w:sz w:val="16"/>
                <w:szCs w:val="16"/>
              </w:rPr>
            </w:pPr>
            <w:r w:rsidRPr="00673C1F">
              <w:rPr>
                <w:rFonts w:ascii="Arial" w:hAnsi="Arial" w:cs="Arial"/>
                <w:sz w:val="16"/>
                <w:szCs w:val="16"/>
              </w:rPr>
              <w:t xml:space="preserve">    Textiles, clothing and footwear</w:t>
            </w:r>
          </w:p>
        </w:tc>
        <w:tc>
          <w:tcPr>
            <w:tcW w:w="728" w:type="pct"/>
            <w:tcBorders>
              <w:top w:val="nil"/>
              <w:left w:val="nil"/>
              <w:bottom w:val="nil"/>
              <w:right w:val="nil"/>
            </w:tcBorders>
            <w:shd w:val="clear" w:color="auto" w:fill="auto"/>
            <w:noWrap/>
            <w:vAlign w:val="center"/>
            <w:hideMark/>
          </w:tcPr>
          <w:p w14:paraId="2799C7AD"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180</w:t>
            </w:r>
          </w:p>
        </w:tc>
        <w:tc>
          <w:tcPr>
            <w:tcW w:w="728" w:type="pct"/>
            <w:tcBorders>
              <w:top w:val="nil"/>
              <w:left w:val="nil"/>
              <w:bottom w:val="nil"/>
              <w:right w:val="nil"/>
            </w:tcBorders>
            <w:shd w:val="clear" w:color="000000" w:fill="E6F2FF"/>
            <w:noWrap/>
            <w:vAlign w:val="center"/>
            <w:hideMark/>
          </w:tcPr>
          <w:p w14:paraId="518DF716"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160</w:t>
            </w:r>
          </w:p>
        </w:tc>
        <w:tc>
          <w:tcPr>
            <w:tcW w:w="58" w:type="pct"/>
            <w:tcBorders>
              <w:top w:val="nil"/>
              <w:left w:val="nil"/>
              <w:bottom w:val="nil"/>
              <w:right w:val="nil"/>
            </w:tcBorders>
            <w:shd w:val="clear" w:color="auto" w:fill="auto"/>
            <w:noWrap/>
            <w:vAlign w:val="center"/>
            <w:hideMark/>
          </w:tcPr>
          <w:p w14:paraId="4E4CEC85" w14:textId="77777777" w:rsidR="00996975" w:rsidRPr="00673C1F" w:rsidRDefault="00996975" w:rsidP="00996975">
            <w:pPr>
              <w:spacing w:before="0" w:after="0" w:line="240" w:lineRule="auto"/>
              <w:jc w:val="right"/>
              <w:rPr>
                <w:rFonts w:ascii="Arial" w:hAnsi="Arial" w:cs="Arial"/>
                <w:sz w:val="16"/>
                <w:szCs w:val="16"/>
              </w:rPr>
            </w:pPr>
          </w:p>
        </w:tc>
        <w:tc>
          <w:tcPr>
            <w:tcW w:w="741" w:type="pct"/>
            <w:tcBorders>
              <w:top w:val="nil"/>
              <w:left w:val="nil"/>
              <w:bottom w:val="nil"/>
              <w:right w:val="nil"/>
            </w:tcBorders>
            <w:shd w:val="clear" w:color="auto" w:fill="auto"/>
            <w:noWrap/>
            <w:vAlign w:val="center"/>
            <w:hideMark/>
          </w:tcPr>
          <w:p w14:paraId="781A88DF" w14:textId="6F5E1A71" w:rsidR="00996975" w:rsidRPr="00673C1F" w:rsidRDefault="006D727E" w:rsidP="00996975">
            <w:pPr>
              <w:spacing w:before="0" w:after="0" w:line="240" w:lineRule="auto"/>
              <w:jc w:val="right"/>
              <w:rPr>
                <w:rFonts w:ascii="Arial" w:hAnsi="Arial" w:cs="Arial"/>
                <w:sz w:val="16"/>
                <w:szCs w:val="16"/>
              </w:rPr>
            </w:pPr>
            <w:r w:rsidRPr="00673C1F">
              <w:rPr>
                <w:rFonts w:ascii="Arial" w:hAnsi="Arial" w:cs="Arial"/>
                <w:sz w:val="16"/>
                <w:szCs w:val="16"/>
              </w:rPr>
              <w:noBreakHyphen/>
            </w:r>
            <w:r w:rsidR="00996975" w:rsidRPr="00673C1F">
              <w:rPr>
                <w:rFonts w:ascii="Arial" w:hAnsi="Arial" w:cs="Arial"/>
                <w:sz w:val="16"/>
                <w:szCs w:val="16"/>
              </w:rPr>
              <w:t>20</w:t>
            </w:r>
          </w:p>
        </w:tc>
        <w:tc>
          <w:tcPr>
            <w:tcW w:w="741" w:type="pct"/>
            <w:tcBorders>
              <w:top w:val="nil"/>
              <w:left w:val="nil"/>
              <w:bottom w:val="nil"/>
              <w:right w:val="nil"/>
            </w:tcBorders>
            <w:shd w:val="clear" w:color="auto" w:fill="auto"/>
            <w:noWrap/>
            <w:vAlign w:val="center"/>
            <w:hideMark/>
          </w:tcPr>
          <w:p w14:paraId="2D01DC0F" w14:textId="31F00120" w:rsidR="00996975" w:rsidRPr="00673C1F" w:rsidRDefault="006D727E" w:rsidP="00996975">
            <w:pPr>
              <w:spacing w:before="0" w:after="0" w:line="240" w:lineRule="auto"/>
              <w:jc w:val="right"/>
              <w:rPr>
                <w:rFonts w:ascii="Arial" w:hAnsi="Arial" w:cs="Arial"/>
                <w:sz w:val="16"/>
                <w:szCs w:val="16"/>
              </w:rPr>
            </w:pPr>
            <w:r w:rsidRPr="00673C1F">
              <w:rPr>
                <w:rFonts w:ascii="Arial" w:hAnsi="Arial" w:cs="Arial"/>
                <w:sz w:val="16"/>
                <w:szCs w:val="16"/>
              </w:rPr>
              <w:noBreakHyphen/>
            </w:r>
            <w:r w:rsidR="00996975" w:rsidRPr="00673C1F">
              <w:rPr>
                <w:rFonts w:ascii="Arial" w:hAnsi="Arial" w:cs="Arial"/>
                <w:sz w:val="16"/>
                <w:szCs w:val="16"/>
              </w:rPr>
              <w:t>11.1</w:t>
            </w:r>
          </w:p>
        </w:tc>
      </w:tr>
      <w:tr w:rsidR="00996975" w:rsidRPr="00673C1F" w14:paraId="57EBC954" w14:textId="77777777" w:rsidTr="00996975">
        <w:trPr>
          <w:trHeight w:hRule="exact" w:val="225"/>
        </w:trPr>
        <w:tc>
          <w:tcPr>
            <w:tcW w:w="2003" w:type="pct"/>
            <w:tcBorders>
              <w:top w:val="nil"/>
              <w:left w:val="nil"/>
              <w:bottom w:val="nil"/>
              <w:right w:val="nil"/>
            </w:tcBorders>
            <w:shd w:val="clear" w:color="auto" w:fill="auto"/>
            <w:noWrap/>
            <w:vAlign w:val="bottom"/>
            <w:hideMark/>
          </w:tcPr>
          <w:p w14:paraId="02B3AD08" w14:textId="77777777" w:rsidR="00996975" w:rsidRPr="00673C1F" w:rsidRDefault="00996975" w:rsidP="00996975">
            <w:pPr>
              <w:spacing w:before="0" w:after="0" w:line="240" w:lineRule="auto"/>
              <w:ind w:left="170"/>
              <w:rPr>
                <w:rFonts w:ascii="Arial" w:hAnsi="Arial" w:cs="Arial"/>
                <w:sz w:val="16"/>
                <w:szCs w:val="16"/>
              </w:rPr>
            </w:pPr>
            <w:r w:rsidRPr="00673C1F">
              <w:rPr>
                <w:rFonts w:ascii="Arial" w:hAnsi="Arial" w:cs="Arial"/>
                <w:sz w:val="16"/>
                <w:szCs w:val="16"/>
              </w:rPr>
              <w:t xml:space="preserve">    Passenger motor vehicles</w:t>
            </w:r>
          </w:p>
        </w:tc>
        <w:tc>
          <w:tcPr>
            <w:tcW w:w="728" w:type="pct"/>
            <w:tcBorders>
              <w:top w:val="nil"/>
              <w:left w:val="nil"/>
              <w:bottom w:val="nil"/>
              <w:right w:val="nil"/>
            </w:tcBorders>
            <w:shd w:val="clear" w:color="auto" w:fill="auto"/>
            <w:noWrap/>
            <w:vAlign w:val="center"/>
            <w:hideMark/>
          </w:tcPr>
          <w:p w14:paraId="4201B57E"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450</w:t>
            </w:r>
          </w:p>
        </w:tc>
        <w:tc>
          <w:tcPr>
            <w:tcW w:w="728" w:type="pct"/>
            <w:tcBorders>
              <w:top w:val="nil"/>
              <w:left w:val="nil"/>
              <w:bottom w:val="nil"/>
              <w:right w:val="nil"/>
            </w:tcBorders>
            <w:shd w:val="clear" w:color="000000" w:fill="E6F2FF"/>
            <w:noWrap/>
            <w:vAlign w:val="center"/>
            <w:hideMark/>
          </w:tcPr>
          <w:p w14:paraId="569C7559"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380</w:t>
            </w:r>
          </w:p>
        </w:tc>
        <w:tc>
          <w:tcPr>
            <w:tcW w:w="58" w:type="pct"/>
            <w:tcBorders>
              <w:top w:val="nil"/>
              <w:left w:val="nil"/>
              <w:bottom w:val="nil"/>
              <w:right w:val="nil"/>
            </w:tcBorders>
            <w:shd w:val="clear" w:color="auto" w:fill="auto"/>
            <w:noWrap/>
            <w:vAlign w:val="center"/>
            <w:hideMark/>
          </w:tcPr>
          <w:p w14:paraId="4B4EA841" w14:textId="77777777" w:rsidR="00996975" w:rsidRPr="00673C1F" w:rsidRDefault="00996975" w:rsidP="00996975">
            <w:pPr>
              <w:spacing w:before="0" w:after="0" w:line="240" w:lineRule="auto"/>
              <w:jc w:val="right"/>
              <w:rPr>
                <w:rFonts w:ascii="Arial" w:hAnsi="Arial" w:cs="Arial"/>
                <w:sz w:val="16"/>
                <w:szCs w:val="16"/>
              </w:rPr>
            </w:pPr>
          </w:p>
        </w:tc>
        <w:tc>
          <w:tcPr>
            <w:tcW w:w="741" w:type="pct"/>
            <w:tcBorders>
              <w:top w:val="nil"/>
              <w:left w:val="nil"/>
              <w:bottom w:val="nil"/>
              <w:right w:val="nil"/>
            </w:tcBorders>
            <w:shd w:val="clear" w:color="auto" w:fill="auto"/>
            <w:noWrap/>
            <w:vAlign w:val="center"/>
            <w:hideMark/>
          </w:tcPr>
          <w:p w14:paraId="2399A60C" w14:textId="34308108" w:rsidR="00996975" w:rsidRPr="00673C1F" w:rsidRDefault="006D727E" w:rsidP="00996975">
            <w:pPr>
              <w:spacing w:before="0" w:after="0" w:line="240" w:lineRule="auto"/>
              <w:jc w:val="right"/>
              <w:rPr>
                <w:rFonts w:ascii="Arial" w:hAnsi="Arial" w:cs="Arial"/>
                <w:sz w:val="16"/>
                <w:szCs w:val="16"/>
              </w:rPr>
            </w:pPr>
            <w:r w:rsidRPr="00673C1F">
              <w:rPr>
                <w:rFonts w:ascii="Arial" w:hAnsi="Arial" w:cs="Arial"/>
                <w:sz w:val="16"/>
                <w:szCs w:val="16"/>
              </w:rPr>
              <w:noBreakHyphen/>
            </w:r>
            <w:r w:rsidR="00996975" w:rsidRPr="00673C1F">
              <w:rPr>
                <w:rFonts w:ascii="Arial" w:hAnsi="Arial" w:cs="Arial"/>
                <w:sz w:val="16"/>
                <w:szCs w:val="16"/>
              </w:rPr>
              <w:t>70</w:t>
            </w:r>
          </w:p>
        </w:tc>
        <w:tc>
          <w:tcPr>
            <w:tcW w:w="741" w:type="pct"/>
            <w:tcBorders>
              <w:top w:val="nil"/>
              <w:left w:val="nil"/>
              <w:bottom w:val="nil"/>
              <w:right w:val="nil"/>
            </w:tcBorders>
            <w:shd w:val="clear" w:color="auto" w:fill="auto"/>
            <w:noWrap/>
            <w:vAlign w:val="center"/>
            <w:hideMark/>
          </w:tcPr>
          <w:p w14:paraId="5883EB6E" w14:textId="0DEAEFBA" w:rsidR="00996975" w:rsidRPr="00673C1F" w:rsidRDefault="006D727E" w:rsidP="00996975">
            <w:pPr>
              <w:spacing w:before="0" w:after="0" w:line="240" w:lineRule="auto"/>
              <w:jc w:val="right"/>
              <w:rPr>
                <w:rFonts w:ascii="Arial" w:hAnsi="Arial" w:cs="Arial"/>
                <w:sz w:val="16"/>
                <w:szCs w:val="16"/>
              </w:rPr>
            </w:pPr>
            <w:r w:rsidRPr="00673C1F">
              <w:rPr>
                <w:rFonts w:ascii="Arial" w:hAnsi="Arial" w:cs="Arial"/>
                <w:sz w:val="16"/>
                <w:szCs w:val="16"/>
              </w:rPr>
              <w:noBreakHyphen/>
            </w:r>
            <w:r w:rsidR="00996975" w:rsidRPr="00673C1F">
              <w:rPr>
                <w:rFonts w:ascii="Arial" w:hAnsi="Arial" w:cs="Arial"/>
                <w:sz w:val="16"/>
                <w:szCs w:val="16"/>
              </w:rPr>
              <w:t>15.6</w:t>
            </w:r>
          </w:p>
        </w:tc>
      </w:tr>
      <w:tr w:rsidR="00996975" w:rsidRPr="00673C1F" w14:paraId="5F585A27" w14:textId="77777777" w:rsidTr="00996975">
        <w:trPr>
          <w:trHeight w:hRule="exact" w:val="225"/>
        </w:trPr>
        <w:tc>
          <w:tcPr>
            <w:tcW w:w="2003" w:type="pct"/>
            <w:tcBorders>
              <w:top w:val="nil"/>
              <w:left w:val="nil"/>
              <w:bottom w:val="nil"/>
              <w:right w:val="nil"/>
            </w:tcBorders>
            <w:shd w:val="clear" w:color="auto" w:fill="auto"/>
            <w:noWrap/>
            <w:vAlign w:val="center"/>
            <w:hideMark/>
          </w:tcPr>
          <w:p w14:paraId="0B978AB6" w14:textId="77777777" w:rsidR="00996975" w:rsidRPr="00673C1F" w:rsidRDefault="00996975" w:rsidP="00996975">
            <w:pPr>
              <w:spacing w:before="0" w:after="0" w:line="240" w:lineRule="auto"/>
              <w:ind w:left="170"/>
              <w:rPr>
                <w:rFonts w:ascii="Arial" w:hAnsi="Arial" w:cs="Arial"/>
                <w:sz w:val="16"/>
                <w:szCs w:val="16"/>
              </w:rPr>
            </w:pPr>
            <w:r w:rsidRPr="00673C1F">
              <w:rPr>
                <w:rFonts w:ascii="Arial" w:hAnsi="Arial" w:cs="Arial"/>
                <w:sz w:val="16"/>
                <w:szCs w:val="16"/>
              </w:rPr>
              <w:t xml:space="preserve">    Other imports</w:t>
            </w:r>
          </w:p>
        </w:tc>
        <w:tc>
          <w:tcPr>
            <w:tcW w:w="728" w:type="pct"/>
            <w:tcBorders>
              <w:top w:val="nil"/>
              <w:left w:val="nil"/>
              <w:bottom w:val="nil"/>
              <w:right w:val="nil"/>
            </w:tcBorders>
            <w:shd w:val="clear" w:color="auto" w:fill="auto"/>
            <w:noWrap/>
            <w:vAlign w:val="center"/>
            <w:hideMark/>
          </w:tcPr>
          <w:p w14:paraId="4FB130DF"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1,500</w:t>
            </w:r>
          </w:p>
        </w:tc>
        <w:tc>
          <w:tcPr>
            <w:tcW w:w="728" w:type="pct"/>
            <w:tcBorders>
              <w:top w:val="nil"/>
              <w:left w:val="nil"/>
              <w:bottom w:val="nil"/>
              <w:right w:val="nil"/>
            </w:tcBorders>
            <w:shd w:val="clear" w:color="000000" w:fill="E6F2FF"/>
            <w:noWrap/>
            <w:vAlign w:val="center"/>
            <w:hideMark/>
          </w:tcPr>
          <w:p w14:paraId="5BACC329"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1,490</w:t>
            </w:r>
          </w:p>
        </w:tc>
        <w:tc>
          <w:tcPr>
            <w:tcW w:w="58" w:type="pct"/>
            <w:tcBorders>
              <w:top w:val="nil"/>
              <w:left w:val="nil"/>
              <w:bottom w:val="nil"/>
              <w:right w:val="nil"/>
            </w:tcBorders>
            <w:shd w:val="clear" w:color="auto" w:fill="auto"/>
            <w:noWrap/>
            <w:vAlign w:val="center"/>
            <w:hideMark/>
          </w:tcPr>
          <w:p w14:paraId="0DC7E82B" w14:textId="77777777" w:rsidR="00996975" w:rsidRPr="00673C1F" w:rsidRDefault="00996975" w:rsidP="00996975">
            <w:pPr>
              <w:spacing w:before="0" w:after="0" w:line="240" w:lineRule="auto"/>
              <w:jc w:val="right"/>
              <w:rPr>
                <w:rFonts w:ascii="Arial" w:hAnsi="Arial" w:cs="Arial"/>
                <w:sz w:val="16"/>
                <w:szCs w:val="16"/>
              </w:rPr>
            </w:pPr>
          </w:p>
        </w:tc>
        <w:tc>
          <w:tcPr>
            <w:tcW w:w="741" w:type="pct"/>
            <w:tcBorders>
              <w:top w:val="nil"/>
              <w:left w:val="nil"/>
              <w:bottom w:val="nil"/>
              <w:right w:val="nil"/>
            </w:tcBorders>
            <w:shd w:val="clear" w:color="auto" w:fill="auto"/>
            <w:noWrap/>
            <w:vAlign w:val="center"/>
            <w:hideMark/>
          </w:tcPr>
          <w:p w14:paraId="49227F28" w14:textId="2DF15E45" w:rsidR="00996975" w:rsidRPr="00673C1F" w:rsidRDefault="006D727E" w:rsidP="00996975">
            <w:pPr>
              <w:spacing w:before="0" w:after="0" w:line="240" w:lineRule="auto"/>
              <w:jc w:val="right"/>
              <w:rPr>
                <w:rFonts w:ascii="Arial" w:hAnsi="Arial" w:cs="Arial"/>
                <w:sz w:val="16"/>
                <w:szCs w:val="16"/>
              </w:rPr>
            </w:pPr>
            <w:r w:rsidRPr="00673C1F">
              <w:rPr>
                <w:rFonts w:ascii="Arial" w:hAnsi="Arial" w:cs="Arial"/>
                <w:sz w:val="16"/>
                <w:szCs w:val="16"/>
              </w:rPr>
              <w:noBreakHyphen/>
            </w:r>
            <w:r w:rsidR="00996975" w:rsidRPr="00673C1F">
              <w:rPr>
                <w:rFonts w:ascii="Arial" w:hAnsi="Arial" w:cs="Arial"/>
                <w:sz w:val="16"/>
                <w:szCs w:val="16"/>
              </w:rPr>
              <w:t>10</w:t>
            </w:r>
          </w:p>
        </w:tc>
        <w:tc>
          <w:tcPr>
            <w:tcW w:w="741" w:type="pct"/>
            <w:tcBorders>
              <w:top w:val="nil"/>
              <w:left w:val="nil"/>
              <w:bottom w:val="nil"/>
              <w:right w:val="nil"/>
            </w:tcBorders>
            <w:shd w:val="clear" w:color="auto" w:fill="auto"/>
            <w:noWrap/>
            <w:vAlign w:val="center"/>
            <w:hideMark/>
          </w:tcPr>
          <w:p w14:paraId="4B74EA96" w14:textId="45AB6D3F" w:rsidR="00996975" w:rsidRPr="00673C1F" w:rsidRDefault="006D727E" w:rsidP="00996975">
            <w:pPr>
              <w:spacing w:before="0" w:after="0" w:line="240" w:lineRule="auto"/>
              <w:jc w:val="right"/>
              <w:rPr>
                <w:rFonts w:ascii="Arial" w:hAnsi="Arial" w:cs="Arial"/>
                <w:sz w:val="16"/>
                <w:szCs w:val="16"/>
              </w:rPr>
            </w:pPr>
            <w:r w:rsidRPr="00673C1F">
              <w:rPr>
                <w:rFonts w:ascii="Arial" w:hAnsi="Arial" w:cs="Arial"/>
                <w:sz w:val="16"/>
                <w:szCs w:val="16"/>
              </w:rPr>
              <w:noBreakHyphen/>
            </w:r>
            <w:r w:rsidR="00996975" w:rsidRPr="00673C1F">
              <w:rPr>
                <w:rFonts w:ascii="Arial" w:hAnsi="Arial" w:cs="Arial"/>
                <w:sz w:val="16"/>
                <w:szCs w:val="16"/>
              </w:rPr>
              <w:t>0.7</w:t>
            </w:r>
          </w:p>
        </w:tc>
      </w:tr>
      <w:tr w:rsidR="00996975" w:rsidRPr="00673C1F" w14:paraId="3131B8F5" w14:textId="77777777" w:rsidTr="00996975">
        <w:trPr>
          <w:trHeight w:hRule="exact" w:val="225"/>
        </w:trPr>
        <w:tc>
          <w:tcPr>
            <w:tcW w:w="2003" w:type="pct"/>
            <w:tcBorders>
              <w:top w:val="nil"/>
              <w:left w:val="nil"/>
              <w:bottom w:val="nil"/>
              <w:right w:val="nil"/>
            </w:tcBorders>
            <w:shd w:val="clear" w:color="auto" w:fill="auto"/>
            <w:noWrap/>
            <w:vAlign w:val="bottom"/>
            <w:hideMark/>
          </w:tcPr>
          <w:p w14:paraId="5B8765F4" w14:textId="77777777" w:rsidR="00996975" w:rsidRPr="00673C1F" w:rsidRDefault="00996975" w:rsidP="00996975">
            <w:pPr>
              <w:spacing w:before="0" w:after="0" w:line="240" w:lineRule="auto"/>
              <w:ind w:left="170"/>
              <w:rPr>
                <w:rFonts w:ascii="Arial" w:hAnsi="Arial" w:cs="Arial"/>
                <w:i/>
                <w:iCs/>
                <w:sz w:val="16"/>
                <w:szCs w:val="16"/>
              </w:rPr>
            </w:pPr>
            <w:r w:rsidRPr="00673C1F">
              <w:rPr>
                <w:rFonts w:ascii="Arial" w:hAnsi="Arial" w:cs="Arial"/>
                <w:i/>
                <w:iCs/>
                <w:sz w:val="16"/>
                <w:szCs w:val="16"/>
              </w:rPr>
              <w:t xml:space="preserve">less: </w:t>
            </w:r>
            <w:r w:rsidRPr="00673C1F">
              <w:rPr>
                <w:rFonts w:ascii="Arial" w:hAnsi="Arial" w:cs="Arial"/>
                <w:sz w:val="16"/>
                <w:szCs w:val="16"/>
              </w:rPr>
              <w:t>Refunds and drawbacks</w:t>
            </w:r>
          </w:p>
        </w:tc>
        <w:tc>
          <w:tcPr>
            <w:tcW w:w="728" w:type="pct"/>
            <w:tcBorders>
              <w:top w:val="nil"/>
              <w:left w:val="nil"/>
              <w:bottom w:val="nil"/>
              <w:right w:val="nil"/>
            </w:tcBorders>
            <w:shd w:val="clear" w:color="auto" w:fill="auto"/>
            <w:noWrap/>
            <w:vAlign w:val="center"/>
            <w:hideMark/>
          </w:tcPr>
          <w:p w14:paraId="745F2F08"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700</w:t>
            </w:r>
          </w:p>
        </w:tc>
        <w:tc>
          <w:tcPr>
            <w:tcW w:w="728" w:type="pct"/>
            <w:tcBorders>
              <w:top w:val="nil"/>
              <w:left w:val="nil"/>
              <w:bottom w:val="nil"/>
              <w:right w:val="nil"/>
            </w:tcBorders>
            <w:shd w:val="clear" w:color="000000" w:fill="E6F2FF"/>
            <w:noWrap/>
            <w:vAlign w:val="center"/>
            <w:hideMark/>
          </w:tcPr>
          <w:p w14:paraId="029C4D9B"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850</w:t>
            </w:r>
          </w:p>
        </w:tc>
        <w:tc>
          <w:tcPr>
            <w:tcW w:w="58" w:type="pct"/>
            <w:tcBorders>
              <w:top w:val="nil"/>
              <w:left w:val="nil"/>
              <w:bottom w:val="nil"/>
              <w:right w:val="nil"/>
            </w:tcBorders>
            <w:shd w:val="clear" w:color="auto" w:fill="auto"/>
            <w:noWrap/>
            <w:vAlign w:val="center"/>
            <w:hideMark/>
          </w:tcPr>
          <w:p w14:paraId="4159E4FC" w14:textId="77777777" w:rsidR="00996975" w:rsidRPr="00673C1F" w:rsidRDefault="00996975" w:rsidP="00996975">
            <w:pPr>
              <w:spacing w:before="0" w:after="0" w:line="240" w:lineRule="auto"/>
              <w:jc w:val="right"/>
              <w:rPr>
                <w:rFonts w:ascii="Arial" w:hAnsi="Arial" w:cs="Arial"/>
                <w:sz w:val="16"/>
                <w:szCs w:val="16"/>
              </w:rPr>
            </w:pPr>
          </w:p>
        </w:tc>
        <w:tc>
          <w:tcPr>
            <w:tcW w:w="741" w:type="pct"/>
            <w:tcBorders>
              <w:top w:val="nil"/>
              <w:left w:val="nil"/>
              <w:bottom w:val="nil"/>
              <w:right w:val="nil"/>
            </w:tcBorders>
            <w:shd w:val="clear" w:color="auto" w:fill="auto"/>
            <w:noWrap/>
            <w:vAlign w:val="center"/>
            <w:hideMark/>
          </w:tcPr>
          <w:p w14:paraId="30B281CC"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150</w:t>
            </w:r>
          </w:p>
        </w:tc>
        <w:tc>
          <w:tcPr>
            <w:tcW w:w="741" w:type="pct"/>
            <w:tcBorders>
              <w:top w:val="nil"/>
              <w:left w:val="nil"/>
              <w:bottom w:val="nil"/>
              <w:right w:val="nil"/>
            </w:tcBorders>
            <w:shd w:val="clear" w:color="auto" w:fill="auto"/>
            <w:noWrap/>
            <w:vAlign w:val="center"/>
            <w:hideMark/>
          </w:tcPr>
          <w:p w14:paraId="4B2A4F51"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21.4</w:t>
            </w:r>
          </w:p>
        </w:tc>
      </w:tr>
      <w:tr w:rsidR="00996975" w:rsidRPr="00673C1F" w14:paraId="4182FA10" w14:textId="77777777" w:rsidTr="00996975">
        <w:trPr>
          <w:trHeight w:hRule="exact" w:val="225"/>
        </w:trPr>
        <w:tc>
          <w:tcPr>
            <w:tcW w:w="2003" w:type="pct"/>
            <w:tcBorders>
              <w:top w:val="nil"/>
              <w:left w:val="nil"/>
              <w:bottom w:val="nil"/>
              <w:right w:val="nil"/>
            </w:tcBorders>
            <w:shd w:val="clear" w:color="auto" w:fill="auto"/>
            <w:noWrap/>
            <w:vAlign w:val="bottom"/>
            <w:hideMark/>
          </w:tcPr>
          <w:p w14:paraId="5B91635F" w14:textId="77777777" w:rsidR="00996975" w:rsidRPr="00673C1F" w:rsidRDefault="00996975" w:rsidP="00996975">
            <w:pPr>
              <w:spacing w:before="0" w:after="0" w:line="240" w:lineRule="auto"/>
              <w:rPr>
                <w:rFonts w:ascii="Arial" w:hAnsi="Arial" w:cs="Arial"/>
                <w:sz w:val="16"/>
                <w:szCs w:val="16"/>
              </w:rPr>
            </w:pPr>
            <w:r w:rsidRPr="00673C1F">
              <w:rPr>
                <w:rFonts w:ascii="Arial" w:hAnsi="Arial" w:cs="Arial"/>
                <w:sz w:val="16"/>
                <w:szCs w:val="16"/>
              </w:rPr>
              <w:t xml:space="preserve">Total excise and customs duty </w:t>
            </w:r>
          </w:p>
        </w:tc>
        <w:tc>
          <w:tcPr>
            <w:tcW w:w="728" w:type="pct"/>
            <w:tcBorders>
              <w:top w:val="single" w:sz="4" w:space="0" w:color="293F5B"/>
              <w:left w:val="nil"/>
              <w:bottom w:val="nil"/>
              <w:right w:val="nil"/>
            </w:tcBorders>
            <w:shd w:val="clear" w:color="auto" w:fill="auto"/>
            <w:noWrap/>
            <w:vAlign w:val="center"/>
            <w:hideMark/>
          </w:tcPr>
          <w:p w14:paraId="739E2194"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47,250</w:t>
            </w:r>
          </w:p>
        </w:tc>
        <w:tc>
          <w:tcPr>
            <w:tcW w:w="728" w:type="pct"/>
            <w:tcBorders>
              <w:top w:val="single" w:sz="4" w:space="0" w:color="293F5B"/>
              <w:left w:val="nil"/>
              <w:bottom w:val="nil"/>
              <w:right w:val="nil"/>
            </w:tcBorders>
            <w:shd w:val="clear" w:color="000000" w:fill="E6F2FF"/>
            <w:noWrap/>
            <w:vAlign w:val="center"/>
            <w:hideMark/>
          </w:tcPr>
          <w:p w14:paraId="147B2474"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44,530</w:t>
            </w:r>
          </w:p>
        </w:tc>
        <w:tc>
          <w:tcPr>
            <w:tcW w:w="58" w:type="pct"/>
            <w:tcBorders>
              <w:top w:val="nil"/>
              <w:left w:val="nil"/>
              <w:bottom w:val="nil"/>
              <w:right w:val="nil"/>
            </w:tcBorders>
            <w:shd w:val="clear" w:color="auto" w:fill="auto"/>
            <w:noWrap/>
            <w:vAlign w:val="center"/>
            <w:hideMark/>
          </w:tcPr>
          <w:p w14:paraId="53322904" w14:textId="77777777" w:rsidR="00996975" w:rsidRPr="00673C1F" w:rsidRDefault="00996975" w:rsidP="00996975">
            <w:pPr>
              <w:spacing w:before="0" w:after="0" w:line="240" w:lineRule="auto"/>
              <w:jc w:val="right"/>
              <w:rPr>
                <w:rFonts w:ascii="Arial" w:hAnsi="Arial" w:cs="Arial"/>
                <w:sz w:val="16"/>
                <w:szCs w:val="16"/>
              </w:rPr>
            </w:pPr>
          </w:p>
        </w:tc>
        <w:tc>
          <w:tcPr>
            <w:tcW w:w="741" w:type="pct"/>
            <w:tcBorders>
              <w:top w:val="single" w:sz="4" w:space="0" w:color="293F5B"/>
              <w:left w:val="nil"/>
              <w:bottom w:val="nil"/>
              <w:right w:val="nil"/>
            </w:tcBorders>
            <w:shd w:val="clear" w:color="auto" w:fill="auto"/>
            <w:noWrap/>
            <w:vAlign w:val="center"/>
            <w:hideMark/>
          </w:tcPr>
          <w:p w14:paraId="465C651B" w14:textId="54DF644E" w:rsidR="00996975" w:rsidRPr="00673C1F" w:rsidRDefault="006D727E" w:rsidP="00996975">
            <w:pPr>
              <w:spacing w:before="0" w:after="0" w:line="240" w:lineRule="auto"/>
              <w:jc w:val="right"/>
              <w:rPr>
                <w:rFonts w:ascii="Arial" w:hAnsi="Arial" w:cs="Arial"/>
                <w:sz w:val="16"/>
                <w:szCs w:val="16"/>
              </w:rPr>
            </w:pPr>
            <w:r w:rsidRPr="00673C1F">
              <w:rPr>
                <w:rFonts w:ascii="Arial" w:hAnsi="Arial" w:cs="Arial"/>
                <w:sz w:val="16"/>
                <w:szCs w:val="16"/>
              </w:rPr>
              <w:noBreakHyphen/>
            </w:r>
            <w:r w:rsidR="00996975" w:rsidRPr="00673C1F">
              <w:rPr>
                <w:rFonts w:ascii="Arial" w:hAnsi="Arial" w:cs="Arial"/>
                <w:sz w:val="16"/>
                <w:szCs w:val="16"/>
              </w:rPr>
              <w:t>2,720</w:t>
            </w:r>
          </w:p>
        </w:tc>
        <w:tc>
          <w:tcPr>
            <w:tcW w:w="741" w:type="pct"/>
            <w:tcBorders>
              <w:top w:val="single" w:sz="4" w:space="0" w:color="293F5B"/>
              <w:left w:val="nil"/>
              <w:bottom w:val="nil"/>
              <w:right w:val="nil"/>
            </w:tcBorders>
            <w:shd w:val="clear" w:color="auto" w:fill="auto"/>
            <w:noWrap/>
            <w:vAlign w:val="center"/>
            <w:hideMark/>
          </w:tcPr>
          <w:p w14:paraId="619F90CD" w14:textId="456B023C" w:rsidR="00996975" w:rsidRPr="00673C1F" w:rsidRDefault="006D727E" w:rsidP="00996975">
            <w:pPr>
              <w:spacing w:before="0" w:after="0" w:line="240" w:lineRule="auto"/>
              <w:jc w:val="right"/>
              <w:rPr>
                <w:rFonts w:ascii="Arial" w:hAnsi="Arial" w:cs="Arial"/>
                <w:sz w:val="16"/>
                <w:szCs w:val="16"/>
              </w:rPr>
            </w:pPr>
            <w:r w:rsidRPr="00673C1F">
              <w:rPr>
                <w:rFonts w:ascii="Arial" w:hAnsi="Arial" w:cs="Arial"/>
                <w:sz w:val="16"/>
                <w:szCs w:val="16"/>
              </w:rPr>
              <w:noBreakHyphen/>
            </w:r>
            <w:r w:rsidR="00996975" w:rsidRPr="00673C1F">
              <w:rPr>
                <w:rFonts w:ascii="Arial" w:hAnsi="Arial" w:cs="Arial"/>
                <w:sz w:val="16"/>
                <w:szCs w:val="16"/>
              </w:rPr>
              <w:t>5.8</w:t>
            </w:r>
          </w:p>
        </w:tc>
      </w:tr>
      <w:tr w:rsidR="00996975" w:rsidRPr="00673C1F" w14:paraId="07EF6E77" w14:textId="77777777" w:rsidTr="00996975">
        <w:trPr>
          <w:trHeight w:hRule="exact" w:val="225"/>
        </w:trPr>
        <w:tc>
          <w:tcPr>
            <w:tcW w:w="2003" w:type="pct"/>
            <w:tcBorders>
              <w:top w:val="nil"/>
              <w:left w:val="nil"/>
              <w:bottom w:val="nil"/>
              <w:right w:val="nil"/>
            </w:tcBorders>
            <w:shd w:val="clear" w:color="auto" w:fill="auto"/>
            <w:noWrap/>
            <w:vAlign w:val="center"/>
            <w:hideMark/>
          </w:tcPr>
          <w:p w14:paraId="58C01FBD" w14:textId="77777777" w:rsidR="00996975" w:rsidRPr="00673C1F" w:rsidRDefault="00996975" w:rsidP="00996975">
            <w:pPr>
              <w:spacing w:before="0" w:after="0" w:line="240" w:lineRule="auto"/>
              <w:rPr>
                <w:rFonts w:ascii="Arial" w:hAnsi="Arial" w:cs="Arial"/>
                <w:sz w:val="16"/>
                <w:szCs w:val="16"/>
              </w:rPr>
            </w:pPr>
            <w:r w:rsidRPr="00673C1F">
              <w:rPr>
                <w:rFonts w:ascii="Arial" w:hAnsi="Arial" w:cs="Arial"/>
                <w:sz w:val="16"/>
                <w:szCs w:val="16"/>
              </w:rPr>
              <w:t>Major Bank Levy</w:t>
            </w:r>
          </w:p>
        </w:tc>
        <w:tc>
          <w:tcPr>
            <w:tcW w:w="728" w:type="pct"/>
            <w:tcBorders>
              <w:top w:val="nil"/>
              <w:left w:val="nil"/>
              <w:bottom w:val="nil"/>
              <w:right w:val="nil"/>
            </w:tcBorders>
            <w:shd w:val="clear" w:color="auto" w:fill="auto"/>
            <w:noWrap/>
            <w:vAlign w:val="center"/>
            <w:hideMark/>
          </w:tcPr>
          <w:p w14:paraId="5D8E6D06"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1,600</w:t>
            </w:r>
          </w:p>
        </w:tc>
        <w:tc>
          <w:tcPr>
            <w:tcW w:w="728" w:type="pct"/>
            <w:tcBorders>
              <w:top w:val="nil"/>
              <w:left w:val="nil"/>
              <w:bottom w:val="nil"/>
              <w:right w:val="nil"/>
            </w:tcBorders>
            <w:shd w:val="clear" w:color="000000" w:fill="E6F2FF"/>
            <w:noWrap/>
            <w:vAlign w:val="center"/>
            <w:hideMark/>
          </w:tcPr>
          <w:p w14:paraId="3BF97771"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1,630</w:t>
            </w:r>
          </w:p>
        </w:tc>
        <w:tc>
          <w:tcPr>
            <w:tcW w:w="58" w:type="pct"/>
            <w:tcBorders>
              <w:top w:val="nil"/>
              <w:left w:val="nil"/>
              <w:bottom w:val="nil"/>
              <w:right w:val="nil"/>
            </w:tcBorders>
            <w:shd w:val="clear" w:color="auto" w:fill="auto"/>
            <w:noWrap/>
            <w:vAlign w:val="center"/>
            <w:hideMark/>
          </w:tcPr>
          <w:p w14:paraId="6C67F1FB" w14:textId="77777777" w:rsidR="00996975" w:rsidRPr="00673C1F" w:rsidRDefault="00996975" w:rsidP="00996975">
            <w:pPr>
              <w:spacing w:before="0" w:after="0" w:line="240" w:lineRule="auto"/>
              <w:jc w:val="right"/>
              <w:rPr>
                <w:rFonts w:ascii="Arial" w:hAnsi="Arial" w:cs="Arial"/>
                <w:sz w:val="16"/>
                <w:szCs w:val="16"/>
              </w:rPr>
            </w:pPr>
          </w:p>
        </w:tc>
        <w:tc>
          <w:tcPr>
            <w:tcW w:w="741" w:type="pct"/>
            <w:tcBorders>
              <w:top w:val="nil"/>
              <w:left w:val="nil"/>
              <w:bottom w:val="nil"/>
              <w:right w:val="nil"/>
            </w:tcBorders>
            <w:shd w:val="clear" w:color="auto" w:fill="auto"/>
            <w:noWrap/>
            <w:vAlign w:val="center"/>
            <w:hideMark/>
          </w:tcPr>
          <w:p w14:paraId="6ABB1268"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30</w:t>
            </w:r>
          </w:p>
        </w:tc>
        <w:tc>
          <w:tcPr>
            <w:tcW w:w="741" w:type="pct"/>
            <w:tcBorders>
              <w:top w:val="nil"/>
              <w:left w:val="nil"/>
              <w:bottom w:val="nil"/>
              <w:right w:val="nil"/>
            </w:tcBorders>
            <w:shd w:val="clear" w:color="auto" w:fill="auto"/>
            <w:noWrap/>
            <w:vAlign w:val="center"/>
            <w:hideMark/>
          </w:tcPr>
          <w:p w14:paraId="25BE1319"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1.9</w:t>
            </w:r>
          </w:p>
        </w:tc>
      </w:tr>
      <w:tr w:rsidR="00996975" w:rsidRPr="00673C1F" w14:paraId="59CB33AF" w14:textId="77777777" w:rsidTr="00996975">
        <w:trPr>
          <w:trHeight w:hRule="exact" w:val="225"/>
        </w:trPr>
        <w:tc>
          <w:tcPr>
            <w:tcW w:w="2003" w:type="pct"/>
            <w:tcBorders>
              <w:top w:val="nil"/>
              <w:left w:val="nil"/>
              <w:bottom w:val="nil"/>
              <w:right w:val="nil"/>
            </w:tcBorders>
            <w:shd w:val="clear" w:color="auto" w:fill="auto"/>
            <w:noWrap/>
            <w:vAlign w:val="center"/>
            <w:hideMark/>
          </w:tcPr>
          <w:p w14:paraId="076D908B" w14:textId="77777777" w:rsidR="00996975" w:rsidRPr="00673C1F" w:rsidRDefault="00996975" w:rsidP="00996975">
            <w:pPr>
              <w:spacing w:before="0" w:after="0" w:line="240" w:lineRule="auto"/>
              <w:rPr>
                <w:rFonts w:ascii="Arial" w:hAnsi="Arial" w:cs="Arial"/>
                <w:sz w:val="16"/>
                <w:szCs w:val="16"/>
              </w:rPr>
            </w:pPr>
            <w:r w:rsidRPr="00673C1F">
              <w:rPr>
                <w:rFonts w:ascii="Arial" w:hAnsi="Arial" w:cs="Arial"/>
                <w:sz w:val="16"/>
                <w:szCs w:val="16"/>
              </w:rPr>
              <w:t>Agricultural levies</w:t>
            </w:r>
          </w:p>
        </w:tc>
        <w:tc>
          <w:tcPr>
            <w:tcW w:w="728" w:type="pct"/>
            <w:tcBorders>
              <w:top w:val="nil"/>
              <w:left w:val="nil"/>
              <w:bottom w:val="nil"/>
              <w:right w:val="nil"/>
            </w:tcBorders>
            <w:shd w:val="clear" w:color="auto" w:fill="auto"/>
            <w:noWrap/>
            <w:vAlign w:val="center"/>
            <w:hideMark/>
          </w:tcPr>
          <w:p w14:paraId="114ED8A6"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598</w:t>
            </w:r>
          </w:p>
        </w:tc>
        <w:tc>
          <w:tcPr>
            <w:tcW w:w="728" w:type="pct"/>
            <w:tcBorders>
              <w:top w:val="nil"/>
              <w:left w:val="nil"/>
              <w:bottom w:val="nil"/>
              <w:right w:val="nil"/>
            </w:tcBorders>
            <w:shd w:val="clear" w:color="000000" w:fill="E6F2FF"/>
            <w:noWrap/>
            <w:vAlign w:val="center"/>
            <w:hideMark/>
          </w:tcPr>
          <w:p w14:paraId="18DA1BF8"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620</w:t>
            </w:r>
          </w:p>
        </w:tc>
        <w:tc>
          <w:tcPr>
            <w:tcW w:w="58" w:type="pct"/>
            <w:tcBorders>
              <w:top w:val="nil"/>
              <w:left w:val="nil"/>
              <w:bottom w:val="nil"/>
              <w:right w:val="nil"/>
            </w:tcBorders>
            <w:shd w:val="clear" w:color="auto" w:fill="auto"/>
            <w:noWrap/>
            <w:vAlign w:val="center"/>
            <w:hideMark/>
          </w:tcPr>
          <w:p w14:paraId="026FAD66" w14:textId="77777777" w:rsidR="00996975" w:rsidRPr="00673C1F" w:rsidRDefault="00996975" w:rsidP="00996975">
            <w:pPr>
              <w:spacing w:before="0" w:after="0" w:line="240" w:lineRule="auto"/>
              <w:jc w:val="right"/>
              <w:rPr>
                <w:rFonts w:ascii="Arial" w:hAnsi="Arial" w:cs="Arial"/>
                <w:sz w:val="16"/>
                <w:szCs w:val="16"/>
              </w:rPr>
            </w:pPr>
          </w:p>
        </w:tc>
        <w:tc>
          <w:tcPr>
            <w:tcW w:w="741" w:type="pct"/>
            <w:tcBorders>
              <w:top w:val="nil"/>
              <w:left w:val="nil"/>
              <w:bottom w:val="nil"/>
              <w:right w:val="nil"/>
            </w:tcBorders>
            <w:shd w:val="clear" w:color="auto" w:fill="auto"/>
            <w:noWrap/>
            <w:vAlign w:val="center"/>
            <w:hideMark/>
          </w:tcPr>
          <w:p w14:paraId="115BCD4B"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22</w:t>
            </w:r>
          </w:p>
        </w:tc>
        <w:tc>
          <w:tcPr>
            <w:tcW w:w="741" w:type="pct"/>
            <w:tcBorders>
              <w:top w:val="nil"/>
              <w:left w:val="nil"/>
              <w:bottom w:val="nil"/>
              <w:right w:val="nil"/>
            </w:tcBorders>
            <w:shd w:val="clear" w:color="auto" w:fill="auto"/>
            <w:noWrap/>
            <w:vAlign w:val="center"/>
            <w:hideMark/>
          </w:tcPr>
          <w:p w14:paraId="09DF624F"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3.7</w:t>
            </w:r>
          </w:p>
        </w:tc>
      </w:tr>
      <w:tr w:rsidR="00996975" w:rsidRPr="00673C1F" w14:paraId="64F0DB2D" w14:textId="77777777" w:rsidTr="00996975">
        <w:trPr>
          <w:trHeight w:hRule="exact" w:val="225"/>
        </w:trPr>
        <w:tc>
          <w:tcPr>
            <w:tcW w:w="2003" w:type="pct"/>
            <w:tcBorders>
              <w:top w:val="nil"/>
              <w:left w:val="nil"/>
              <w:bottom w:val="nil"/>
              <w:right w:val="nil"/>
            </w:tcBorders>
            <w:shd w:val="clear" w:color="auto" w:fill="auto"/>
            <w:noWrap/>
            <w:vAlign w:val="center"/>
            <w:hideMark/>
          </w:tcPr>
          <w:p w14:paraId="638AA93F" w14:textId="77777777" w:rsidR="00996975" w:rsidRPr="00673C1F" w:rsidRDefault="00996975" w:rsidP="00996975">
            <w:pPr>
              <w:spacing w:before="0" w:after="0" w:line="240" w:lineRule="auto"/>
              <w:rPr>
                <w:rFonts w:ascii="Arial" w:hAnsi="Arial" w:cs="Arial"/>
                <w:sz w:val="16"/>
                <w:szCs w:val="16"/>
              </w:rPr>
            </w:pPr>
            <w:r w:rsidRPr="00673C1F">
              <w:rPr>
                <w:rFonts w:ascii="Arial" w:hAnsi="Arial" w:cs="Arial"/>
                <w:sz w:val="16"/>
                <w:szCs w:val="16"/>
              </w:rPr>
              <w:t>Visa application charges</w:t>
            </w:r>
          </w:p>
        </w:tc>
        <w:tc>
          <w:tcPr>
            <w:tcW w:w="728" w:type="pct"/>
            <w:tcBorders>
              <w:top w:val="nil"/>
              <w:left w:val="nil"/>
              <w:bottom w:val="nil"/>
              <w:right w:val="nil"/>
            </w:tcBorders>
            <w:shd w:val="clear" w:color="auto" w:fill="auto"/>
            <w:noWrap/>
            <w:vAlign w:val="center"/>
            <w:hideMark/>
          </w:tcPr>
          <w:p w14:paraId="598BCC92"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3,232</w:t>
            </w:r>
          </w:p>
        </w:tc>
        <w:tc>
          <w:tcPr>
            <w:tcW w:w="728" w:type="pct"/>
            <w:tcBorders>
              <w:top w:val="nil"/>
              <w:left w:val="nil"/>
              <w:bottom w:val="nil"/>
              <w:right w:val="nil"/>
            </w:tcBorders>
            <w:shd w:val="clear" w:color="000000" w:fill="E6F2FF"/>
            <w:noWrap/>
            <w:vAlign w:val="center"/>
            <w:hideMark/>
          </w:tcPr>
          <w:p w14:paraId="6333F273"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3,290</w:t>
            </w:r>
          </w:p>
        </w:tc>
        <w:tc>
          <w:tcPr>
            <w:tcW w:w="58" w:type="pct"/>
            <w:tcBorders>
              <w:top w:val="nil"/>
              <w:left w:val="nil"/>
              <w:bottom w:val="nil"/>
              <w:right w:val="nil"/>
            </w:tcBorders>
            <w:shd w:val="clear" w:color="auto" w:fill="auto"/>
            <w:noWrap/>
            <w:vAlign w:val="center"/>
            <w:hideMark/>
          </w:tcPr>
          <w:p w14:paraId="5AE917D1" w14:textId="77777777" w:rsidR="00996975" w:rsidRPr="00673C1F" w:rsidRDefault="00996975" w:rsidP="00996975">
            <w:pPr>
              <w:spacing w:before="0" w:after="0" w:line="240" w:lineRule="auto"/>
              <w:jc w:val="right"/>
              <w:rPr>
                <w:rFonts w:ascii="Arial" w:hAnsi="Arial" w:cs="Arial"/>
                <w:sz w:val="16"/>
                <w:szCs w:val="16"/>
              </w:rPr>
            </w:pPr>
          </w:p>
        </w:tc>
        <w:tc>
          <w:tcPr>
            <w:tcW w:w="741" w:type="pct"/>
            <w:tcBorders>
              <w:top w:val="nil"/>
              <w:left w:val="nil"/>
              <w:bottom w:val="nil"/>
              <w:right w:val="nil"/>
            </w:tcBorders>
            <w:shd w:val="clear" w:color="auto" w:fill="auto"/>
            <w:noWrap/>
            <w:vAlign w:val="center"/>
            <w:hideMark/>
          </w:tcPr>
          <w:p w14:paraId="3B43984C"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58</w:t>
            </w:r>
          </w:p>
        </w:tc>
        <w:tc>
          <w:tcPr>
            <w:tcW w:w="741" w:type="pct"/>
            <w:tcBorders>
              <w:top w:val="nil"/>
              <w:left w:val="nil"/>
              <w:bottom w:val="nil"/>
              <w:right w:val="nil"/>
            </w:tcBorders>
            <w:shd w:val="clear" w:color="auto" w:fill="auto"/>
            <w:noWrap/>
            <w:vAlign w:val="center"/>
            <w:hideMark/>
          </w:tcPr>
          <w:p w14:paraId="2B36809D"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1.8</w:t>
            </w:r>
          </w:p>
        </w:tc>
      </w:tr>
      <w:tr w:rsidR="00996975" w:rsidRPr="00673C1F" w14:paraId="7E7069B2" w14:textId="77777777" w:rsidTr="00996975">
        <w:trPr>
          <w:trHeight w:hRule="exact" w:val="225"/>
        </w:trPr>
        <w:tc>
          <w:tcPr>
            <w:tcW w:w="2003" w:type="pct"/>
            <w:tcBorders>
              <w:top w:val="nil"/>
              <w:left w:val="nil"/>
              <w:bottom w:val="nil"/>
              <w:right w:val="nil"/>
            </w:tcBorders>
            <w:shd w:val="clear" w:color="auto" w:fill="auto"/>
            <w:noWrap/>
            <w:vAlign w:val="center"/>
            <w:hideMark/>
          </w:tcPr>
          <w:p w14:paraId="07154CE1" w14:textId="77777777" w:rsidR="00996975" w:rsidRPr="00673C1F" w:rsidRDefault="00996975" w:rsidP="00996975">
            <w:pPr>
              <w:spacing w:before="0" w:after="0" w:line="240" w:lineRule="auto"/>
              <w:rPr>
                <w:rFonts w:ascii="Arial" w:hAnsi="Arial" w:cs="Arial"/>
                <w:sz w:val="16"/>
                <w:szCs w:val="16"/>
              </w:rPr>
            </w:pPr>
            <w:r w:rsidRPr="00673C1F">
              <w:rPr>
                <w:rFonts w:ascii="Arial" w:hAnsi="Arial" w:cs="Arial"/>
                <w:sz w:val="16"/>
                <w:szCs w:val="16"/>
              </w:rPr>
              <w:t>Other taxes</w:t>
            </w:r>
          </w:p>
        </w:tc>
        <w:tc>
          <w:tcPr>
            <w:tcW w:w="728" w:type="pct"/>
            <w:tcBorders>
              <w:top w:val="nil"/>
              <w:left w:val="nil"/>
              <w:bottom w:val="nil"/>
              <w:right w:val="nil"/>
            </w:tcBorders>
            <w:shd w:val="clear" w:color="000000" w:fill="FFFFFF"/>
            <w:noWrap/>
            <w:vAlign w:val="center"/>
            <w:hideMark/>
          </w:tcPr>
          <w:p w14:paraId="57330D0F"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5,417</w:t>
            </w:r>
          </w:p>
        </w:tc>
        <w:tc>
          <w:tcPr>
            <w:tcW w:w="728" w:type="pct"/>
            <w:tcBorders>
              <w:top w:val="nil"/>
              <w:left w:val="nil"/>
              <w:bottom w:val="nil"/>
              <w:right w:val="nil"/>
            </w:tcBorders>
            <w:shd w:val="clear" w:color="000000" w:fill="E6F2FF"/>
            <w:noWrap/>
            <w:vAlign w:val="center"/>
            <w:hideMark/>
          </w:tcPr>
          <w:p w14:paraId="5C88D090"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5,862</w:t>
            </w:r>
          </w:p>
        </w:tc>
        <w:tc>
          <w:tcPr>
            <w:tcW w:w="58" w:type="pct"/>
            <w:tcBorders>
              <w:top w:val="nil"/>
              <w:left w:val="nil"/>
              <w:bottom w:val="nil"/>
              <w:right w:val="nil"/>
            </w:tcBorders>
            <w:shd w:val="clear" w:color="auto" w:fill="auto"/>
            <w:noWrap/>
            <w:vAlign w:val="center"/>
            <w:hideMark/>
          </w:tcPr>
          <w:p w14:paraId="07B61588" w14:textId="77777777" w:rsidR="00996975" w:rsidRPr="00673C1F" w:rsidRDefault="00996975" w:rsidP="00996975">
            <w:pPr>
              <w:spacing w:before="0" w:after="0" w:line="240" w:lineRule="auto"/>
              <w:jc w:val="right"/>
              <w:rPr>
                <w:rFonts w:ascii="Arial" w:hAnsi="Arial" w:cs="Arial"/>
                <w:sz w:val="16"/>
                <w:szCs w:val="16"/>
              </w:rPr>
            </w:pPr>
          </w:p>
        </w:tc>
        <w:tc>
          <w:tcPr>
            <w:tcW w:w="741" w:type="pct"/>
            <w:tcBorders>
              <w:top w:val="nil"/>
              <w:left w:val="nil"/>
              <w:bottom w:val="nil"/>
              <w:right w:val="nil"/>
            </w:tcBorders>
            <w:shd w:val="clear" w:color="auto" w:fill="auto"/>
            <w:noWrap/>
            <w:vAlign w:val="center"/>
            <w:hideMark/>
          </w:tcPr>
          <w:p w14:paraId="6F64C77D"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445</w:t>
            </w:r>
          </w:p>
        </w:tc>
        <w:tc>
          <w:tcPr>
            <w:tcW w:w="741" w:type="pct"/>
            <w:tcBorders>
              <w:top w:val="nil"/>
              <w:left w:val="nil"/>
              <w:bottom w:val="nil"/>
              <w:right w:val="nil"/>
            </w:tcBorders>
            <w:shd w:val="clear" w:color="auto" w:fill="auto"/>
            <w:noWrap/>
            <w:vAlign w:val="center"/>
            <w:hideMark/>
          </w:tcPr>
          <w:p w14:paraId="0845F263"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8.2</w:t>
            </w:r>
          </w:p>
        </w:tc>
      </w:tr>
      <w:tr w:rsidR="00996975" w:rsidRPr="00673C1F" w14:paraId="15359ED7" w14:textId="77777777" w:rsidTr="00996975">
        <w:trPr>
          <w:trHeight w:hRule="exact" w:val="225"/>
        </w:trPr>
        <w:tc>
          <w:tcPr>
            <w:tcW w:w="2003" w:type="pct"/>
            <w:tcBorders>
              <w:top w:val="nil"/>
              <w:left w:val="nil"/>
              <w:bottom w:val="nil"/>
              <w:right w:val="nil"/>
            </w:tcBorders>
            <w:shd w:val="clear" w:color="auto" w:fill="auto"/>
            <w:noWrap/>
            <w:vAlign w:val="center"/>
            <w:hideMark/>
          </w:tcPr>
          <w:p w14:paraId="3993D889" w14:textId="77777777" w:rsidR="00996975" w:rsidRPr="00673C1F" w:rsidRDefault="00996975" w:rsidP="00996975">
            <w:pPr>
              <w:spacing w:before="0" w:after="0" w:line="240" w:lineRule="auto"/>
              <w:rPr>
                <w:rFonts w:ascii="Arial" w:hAnsi="Arial" w:cs="Arial"/>
                <w:b/>
                <w:bCs/>
                <w:sz w:val="16"/>
                <w:szCs w:val="16"/>
              </w:rPr>
            </w:pPr>
            <w:r w:rsidRPr="00673C1F">
              <w:rPr>
                <w:rFonts w:ascii="Arial" w:hAnsi="Arial" w:cs="Arial"/>
                <w:b/>
                <w:bCs/>
                <w:sz w:val="16"/>
                <w:szCs w:val="16"/>
              </w:rPr>
              <w:t>Indirect taxation receipts</w:t>
            </w:r>
          </w:p>
        </w:tc>
        <w:tc>
          <w:tcPr>
            <w:tcW w:w="728" w:type="pct"/>
            <w:tcBorders>
              <w:top w:val="single" w:sz="4" w:space="0" w:color="293F5B"/>
              <w:left w:val="nil"/>
              <w:bottom w:val="single" w:sz="4" w:space="0" w:color="293F5B"/>
              <w:right w:val="nil"/>
            </w:tcBorders>
            <w:shd w:val="clear" w:color="000000" w:fill="FFFFFF"/>
            <w:noWrap/>
            <w:vAlign w:val="center"/>
            <w:hideMark/>
          </w:tcPr>
          <w:p w14:paraId="77E6D7CF" w14:textId="77777777" w:rsidR="00996975" w:rsidRPr="00673C1F" w:rsidRDefault="00996975" w:rsidP="00996975">
            <w:pPr>
              <w:spacing w:before="0" w:after="0" w:line="240" w:lineRule="auto"/>
              <w:jc w:val="right"/>
              <w:rPr>
                <w:rFonts w:ascii="Arial" w:hAnsi="Arial" w:cs="Arial"/>
                <w:b/>
                <w:bCs/>
                <w:sz w:val="16"/>
                <w:szCs w:val="16"/>
              </w:rPr>
            </w:pPr>
            <w:r w:rsidRPr="00673C1F">
              <w:rPr>
                <w:rFonts w:ascii="Arial" w:hAnsi="Arial" w:cs="Arial"/>
                <w:b/>
                <w:bCs/>
                <w:sz w:val="16"/>
                <w:szCs w:val="16"/>
              </w:rPr>
              <w:t>144,486</w:t>
            </w:r>
          </w:p>
        </w:tc>
        <w:tc>
          <w:tcPr>
            <w:tcW w:w="728" w:type="pct"/>
            <w:tcBorders>
              <w:top w:val="single" w:sz="4" w:space="0" w:color="293F5B"/>
              <w:left w:val="nil"/>
              <w:bottom w:val="single" w:sz="4" w:space="0" w:color="293F5B"/>
              <w:right w:val="nil"/>
            </w:tcBorders>
            <w:shd w:val="clear" w:color="000000" w:fill="E6F2FF"/>
            <w:noWrap/>
            <w:vAlign w:val="center"/>
            <w:hideMark/>
          </w:tcPr>
          <w:p w14:paraId="6DF20A72" w14:textId="77777777" w:rsidR="00996975" w:rsidRPr="00673C1F" w:rsidRDefault="00996975" w:rsidP="00996975">
            <w:pPr>
              <w:spacing w:before="0" w:after="0" w:line="240" w:lineRule="auto"/>
              <w:jc w:val="right"/>
              <w:rPr>
                <w:rFonts w:ascii="Arial" w:hAnsi="Arial" w:cs="Arial"/>
                <w:b/>
                <w:bCs/>
                <w:sz w:val="16"/>
                <w:szCs w:val="16"/>
              </w:rPr>
            </w:pPr>
            <w:r w:rsidRPr="00673C1F">
              <w:rPr>
                <w:rFonts w:ascii="Arial" w:hAnsi="Arial" w:cs="Arial"/>
                <w:b/>
                <w:bCs/>
                <w:sz w:val="16"/>
                <w:szCs w:val="16"/>
              </w:rPr>
              <w:t>144,080</w:t>
            </w:r>
          </w:p>
        </w:tc>
        <w:tc>
          <w:tcPr>
            <w:tcW w:w="58" w:type="pct"/>
            <w:tcBorders>
              <w:top w:val="nil"/>
              <w:left w:val="nil"/>
              <w:bottom w:val="nil"/>
              <w:right w:val="nil"/>
            </w:tcBorders>
            <w:shd w:val="clear" w:color="auto" w:fill="auto"/>
            <w:noWrap/>
            <w:vAlign w:val="center"/>
            <w:hideMark/>
          </w:tcPr>
          <w:p w14:paraId="7987A721" w14:textId="77777777" w:rsidR="00996975" w:rsidRPr="00673C1F" w:rsidRDefault="00996975" w:rsidP="00996975">
            <w:pPr>
              <w:spacing w:before="0" w:after="0" w:line="240" w:lineRule="auto"/>
              <w:jc w:val="right"/>
              <w:rPr>
                <w:rFonts w:ascii="Arial" w:hAnsi="Arial" w:cs="Arial"/>
                <w:b/>
                <w:bCs/>
                <w:sz w:val="16"/>
                <w:szCs w:val="16"/>
              </w:rPr>
            </w:pPr>
          </w:p>
        </w:tc>
        <w:tc>
          <w:tcPr>
            <w:tcW w:w="741" w:type="pct"/>
            <w:tcBorders>
              <w:top w:val="single" w:sz="4" w:space="0" w:color="293F5B"/>
              <w:left w:val="nil"/>
              <w:bottom w:val="single" w:sz="4" w:space="0" w:color="293F5B"/>
              <w:right w:val="nil"/>
            </w:tcBorders>
            <w:shd w:val="clear" w:color="auto" w:fill="auto"/>
            <w:noWrap/>
            <w:vAlign w:val="center"/>
            <w:hideMark/>
          </w:tcPr>
          <w:p w14:paraId="64239698" w14:textId="2CEAA981" w:rsidR="00996975" w:rsidRPr="00673C1F" w:rsidRDefault="006D727E" w:rsidP="00996975">
            <w:pPr>
              <w:spacing w:before="0" w:after="0" w:line="240" w:lineRule="auto"/>
              <w:jc w:val="right"/>
              <w:rPr>
                <w:rFonts w:ascii="Arial" w:hAnsi="Arial" w:cs="Arial"/>
                <w:b/>
                <w:bCs/>
                <w:sz w:val="16"/>
                <w:szCs w:val="16"/>
              </w:rPr>
            </w:pPr>
            <w:r w:rsidRPr="00673C1F">
              <w:rPr>
                <w:rFonts w:ascii="Arial" w:hAnsi="Arial" w:cs="Arial"/>
                <w:b/>
                <w:bCs/>
                <w:sz w:val="16"/>
                <w:szCs w:val="16"/>
              </w:rPr>
              <w:noBreakHyphen/>
            </w:r>
            <w:r w:rsidR="00996975" w:rsidRPr="00673C1F">
              <w:rPr>
                <w:rFonts w:ascii="Arial" w:hAnsi="Arial" w:cs="Arial"/>
                <w:b/>
                <w:bCs/>
                <w:sz w:val="16"/>
                <w:szCs w:val="16"/>
              </w:rPr>
              <w:t>406</w:t>
            </w:r>
          </w:p>
        </w:tc>
        <w:tc>
          <w:tcPr>
            <w:tcW w:w="741" w:type="pct"/>
            <w:tcBorders>
              <w:top w:val="single" w:sz="4" w:space="0" w:color="293F5B"/>
              <w:left w:val="nil"/>
              <w:bottom w:val="single" w:sz="4" w:space="0" w:color="293F5B"/>
              <w:right w:val="nil"/>
            </w:tcBorders>
            <w:shd w:val="clear" w:color="auto" w:fill="auto"/>
            <w:noWrap/>
            <w:vAlign w:val="center"/>
            <w:hideMark/>
          </w:tcPr>
          <w:p w14:paraId="44553DEE" w14:textId="5451AD59" w:rsidR="00996975" w:rsidRPr="00673C1F" w:rsidRDefault="006D727E" w:rsidP="00996975">
            <w:pPr>
              <w:spacing w:before="0" w:after="0" w:line="240" w:lineRule="auto"/>
              <w:jc w:val="right"/>
              <w:rPr>
                <w:rFonts w:ascii="Arial" w:hAnsi="Arial" w:cs="Arial"/>
                <w:b/>
                <w:bCs/>
                <w:sz w:val="16"/>
                <w:szCs w:val="16"/>
              </w:rPr>
            </w:pPr>
            <w:r w:rsidRPr="00673C1F">
              <w:rPr>
                <w:rFonts w:ascii="Arial" w:hAnsi="Arial" w:cs="Arial"/>
                <w:b/>
                <w:bCs/>
                <w:sz w:val="16"/>
                <w:szCs w:val="16"/>
              </w:rPr>
              <w:noBreakHyphen/>
            </w:r>
            <w:r w:rsidR="00996975" w:rsidRPr="00673C1F">
              <w:rPr>
                <w:rFonts w:ascii="Arial" w:hAnsi="Arial" w:cs="Arial"/>
                <w:b/>
                <w:bCs/>
                <w:sz w:val="16"/>
                <w:szCs w:val="16"/>
              </w:rPr>
              <w:t>0.3</w:t>
            </w:r>
          </w:p>
        </w:tc>
      </w:tr>
      <w:tr w:rsidR="00996975" w:rsidRPr="00673C1F" w14:paraId="0C80C991" w14:textId="77777777" w:rsidTr="00996975">
        <w:trPr>
          <w:trHeight w:hRule="exact" w:val="225"/>
        </w:trPr>
        <w:tc>
          <w:tcPr>
            <w:tcW w:w="2003" w:type="pct"/>
            <w:tcBorders>
              <w:top w:val="nil"/>
              <w:left w:val="nil"/>
              <w:bottom w:val="nil"/>
              <w:right w:val="nil"/>
            </w:tcBorders>
            <w:shd w:val="clear" w:color="auto" w:fill="auto"/>
            <w:noWrap/>
            <w:vAlign w:val="center"/>
            <w:hideMark/>
          </w:tcPr>
          <w:p w14:paraId="451B6D9B" w14:textId="77777777" w:rsidR="00996975" w:rsidRPr="00673C1F" w:rsidRDefault="00996975" w:rsidP="00996975">
            <w:pPr>
              <w:spacing w:before="0" w:after="0" w:line="240" w:lineRule="auto"/>
              <w:rPr>
                <w:rFonts w:ascii="Arial" w:hAnsi="Arial" w:cs="Arial"/>
                <w:b/>
                <w:bCs/>
                <w:sz w:val="16"/>
                <w:szCs w:val="16"/>
              </w:rPr>
            </w:pPr>
            <w:r w:rsidRPr="00673C1F">
              <w:rPr>
                <w:rFonts w:ascii="Arial" w:hAnsi="Arial" w:cs="Arial"/>
                <w:b/>
                <w:bCs/>
                <w:sz w:val="16"/>
                <w:szCs w:val="16"/>
              </w:rPr>
              <w:t>Taxation receipts</w:t>
            </w:r>
          </w:p>
        </w:tc>
        <w:tc>
          <w:tcPr>
            <w:tcW w:w="728" w:type="pct"/>
            <w:tcBorders>
              <w:top w:val="nil"/>
              <w:left w:val="nil"/>
              <w:bottom w:val="single" w:sz="4" w:space="0" w:color="293F5B"/>
              <w:right w:val="nil"/>
            </w:tcBorders>
            <w:shd w:val="clear" w:color="000000" w:fill="FFFFFF"/>
            <w:noWrap/>
            <w:vAlign w:val="center"/>
            <w:hideMark/>
          </w:tcPr>
          <w:p w14:paraId="4848A26F" w14:textId="77777777" w:rsidR="00996975" w:rsidRPr="00673C1F" w:rsidRDefault="00996975" w:rsidP="00996975">
            <w:pPr>
              <w:spacing w:before="0" w:after="0" w:line="240" w:lineRule="auto"/>
              <w:jc w:val="right"/>
              <w:rPr>
                <w:rFonts w:ascii="Arial" w:hAnsi="Arial" w:cs="Arial"/>
                <w:b/>
                <w:bCs/>
                <w:sz w:val="16"/>
                <w:szCs w:val="16"/>
              </w:rPr>
            </w:pPr>
            <w:r w:rsidRPr="00673C1F">
              <w:rPr>
                <w:rFonts w:ascii="Arial" w:hAnsi="Arial" w:cs="Arial"/>
                <w:b/>
                <w:bCs/>
                <w:sz w:val="16"/>
                <w:szCs w:val="16"/>
              </w:rPr>
              <w:t>632,666</w:t>
            </w:r>
          </w:p>
        </w:tc>
        <w:tc>
          <w:tcPr>
            <w:tcW w:w="728" w:type="pct"/>
            <w:tcBorders>
              <w:top w:val="nil"/>
              <w:left w:val="nil"/>
              <w:bottom w:val="single" w:sz="4" w:space="0" w:color="293F5B"/>
              <w:right w:val="nil"/>
            </w:tcBorders>
            <w:shd w:val="clear" w:color="000000" w:fill="E6F2FF"/>
            <w:noWrap/>
            <w:vAlign w:val="center"/>
            <w:hideMark/>
          </w:tcPr>
          <w:p w14:paraId="258C4EF9" w14:textId="77777777" w:rsidR="00996975" w:rsidRPr="00673C1F" w:rsidRDefault="00996975" w:rsidP="00996975">
            <w:pPr>
              <w:spacing w:before="0" w:after="0" w:line="240" w:lineRule="auto"/>
              <w:jc w:val="right"/>
              <w:rPr>
                <w:rFonts w:ascii="Arial" w:hAnsi="Arial" w:cs="Arial"/>
                <w:b/>
                <w:bCs/>
                <w:sz w:val="16"/>
                <w:szCs w:val="16"/>
              </w:rPr>
            </w:pPr>
            <w:r w:rsidRPr="00673C1F">
              <w:rPr>
                <w:rFonts w:ascii="Arial" w:hAnsi="Arial" w:cs="Arial"/>
                <w:b/>
                <w:bCs/>
                <w:sz w:val="16"/>
                <w:szCs w:val="16"/>
              </w:rPr>
              <w:t>638,750</w:t>
            </w:r>
          </w:p>
        </w:tc>
        <w:tc>
          <w:tcPr>
            <w:tcW w:w="58" w:type="pct"/>
            <w:tcBorders>
              <w:top w:val="nil"/>
              <w:left w:val="nil"/>
              <w:bottom w:val="nil"/>
              <w:right w:val="nil"/>
            </w:tcBorders>
            <w:shd w:val="clear" w:color="auto" w:fill="auto"/>
            <w:noWrap/>
            <w:vAlign w:val="center"/>
            <w:hideMark/>
          </w:tcPr>
          <w:p w14:paraId="12BE6759" w14:textId="77777777" w:rsidR="00996975" w:rsidRPr="00673C1F" w:rsidRDefault="00996975" w:rsidP="00996975">
            <w:pPr>
              <w:spacing w:before="0" w:after="0" w:line="240" w:lineRule="auto"/>
              <w:jc w:val="right"/>
              <w:rPr>
                <w:rFonts w:ascii="Arial" w:hAnsi="Arial" w:cs="Arial"/>
                <w:b/>
                <w:bCs/>
                <w:sz w:val="16"/>
                <w:szCs w:val="16"/>
              </w:rPr>
            </w:pPr>
          </w:p>
        </w:tc>
        <w:tc>
          <w:tcPr>
            <w:tcW w:w="741" w:type="pct"/>
            <w:tcBorders>
              <w:top w:val="nil"/>
              <w:left w:val="nil"/>
              <w:bottom w:val="single" w:sz="4" w:space="0" w:color="293F5B"/>
              <w:right w:val="nil"/>
            </w:tcBorders>
            <w:shd w:val="clear" w:color="auto" w:fill="auto"/>
            <w:noWrap/>
            <w:vAlign w:val="center"/>
            <w:hideMark/>
          </w:tcPr>
          <w:p w14:paraId="2D8F8059" w14:textId="77777777" w:rsidR="00996975" w:rsidRPr="00673C1F" w:rsidRDefault="00996975" w:rsidP="00996975">
            <w:pPr>
              <w:spacing w:before="0" w:after="0" w:line="240" w:lineRule="auto"/>
              <w:jc w:val="right"/>
              <w:rPr>
                <w:rFonts w:ascii="Arial" w:hAnsi="Arial" w:cs="Arial"/>
                <w:b/>
                <w:bCs/>
                <w:sz w:val="16"/>
                <w:szCs w:val="16"/>
              </w:rPr>
            </w:pPr>
            <w:r w:rsidRPr="00673C1F">
              <w:rPr>
                <w:rFonts w:ascii="Arial" w:hAnsi="Arial" w:cs="Arial"/>
                <w:b/>
                <w:bCs/>
                <w:sz w:val="16"/>
                <w:szCs w:val="16"/>
              </w:rPr>
              <w:t>6,084</w:t>
            </w:r>
          </w:p>
        </w:tc>
        <w:tc>
          <w:tcPr>
            <w:tcW w:w="741" w:type="pct"/>
            <w:tcBorders>
              <w:top w:val="nil"/>
              <w:left w:val="nil"/>
              <w:bottom w:val="single" w:sz="4" w:space="0" w:color="293F5B"/>
              <w:right w:val="nil"/>
            </w:tcBorders>
            <w:shd w:val="clear" w:color="auto" w:fill="auto"/>
            <w:noWrap/>
            <w:vAlign w:val="center"/>
            <w:hideMark/>
          </w:tcPr>
          <w:p w14:paraId="753BA6F4" w14:textId="77777777" w:rsidR="00996975" w:rsidRPr="00673C1F" w:rsidRDefault="00996975" w:rsidP="00996975">
            <w:pPr>
              <w:spacing w:before="0" w:after="0" w:line="240" w:lineRule="auto"/>
              <w:jc w:val="right"/>
              <w:rPr>
                <w:rFonts w:ascii="Arial" w:hAnsi="Arial" w:cs="Arial"/>
                <w:b/>
                <w:bCs/>
                <w:sz w:val="16"/>
                <w:szCs w:val="16"/>
              </w:rPr>
            </w:pPr>
            <w:r w:rsidRPr="00673C1F">
              <w:rPr>
                <w:rFonts w:ascii="Arial" w:hAnsi="Arial" w:cs="Arial"/>
                <w:b/>
                <w:bCs/>
                <w:sz w:val="16"/>
                <w:szCs w:val="16"/>
              </w:rPr>
              <w:t>1.0</w:t>
            </w:r>
          </w:p>
        </w:tc>
      </w:tr>
      <w:tr w:rsidR="00996975" w:rsidRPr="00673C1F" w14:paraId="62445752" w14:textId="77777777" w:rsidTr="00996975">
        <w:trPr>
          <w:trHeight w:hRule="exact" w:val="60"/>
        </w:trPr>
        <w:tc>
          <w:tcPr>
            <w:tcW w:w="2003" w:type="pct"/>
            <w:tcBorders>
              <w:top w:val="nil"/>
              <w:left w:val="nil"/>
              <w:bottom w:val="nil"/>
              <w:right w:val="nil"/>
            </w:tcBorders>
            <w:shd w:val="clear" w:color="auto" w:fill="auto"/>
            <w:noWrap/>
            <w:vAlign w:val="center"/>
            <w:hideMark/>
          </w:tcPr>
          <w:p w14:paraId="43C17AF2" w14:textId="77777777" w:rsidR="00996975" w:rsidRPr="00673C1F" w:rsidRDefault="00996975" w:rsidP="00996975">
            <w:pPr>
              <w:spacing w:before="0" w:after="0" w:line="240" w:lineRule="auto"/>
              <w:jc w:val="right"/>
              <w:rPr>
                <w:rFonts w:ascii="Arial" w:hAnsi="Arial" w:cs="Arial"/>
                <w:b/>
                <w:bCs/>
                <w:sz w:val="16"/>
                <w:szCs w:val="16"/>
              </w:rPr>
            </w:pPr>
          </w:p>
        </w:tc>
        <w:tc>
          <w:tcPr>
            <w:tcW w:w="728" w:type="pct"/>
            <w:tcBorders>
              <w:top w:val="nil"/>
              <w:left w:val="nil"/>
              <w:bottom w:val="nil"/>
              <w:right w:val="nil"/>
            </w:tcBorders>
            <w:shd w:val="clear" w:color="000000" w:fill="FFFFFF"/>
            <w:noWrap/>
            <w:vAlign w:val="center"/>
            <w:hideMark/>
          </w:tcPr>
          <w:p w14:paraId="70966363" w14:textId="77777777" w:rsidR="00996975" w:rsidRPr="00673C1F" w:rsidRDefault="00996975" w:rsidP="00996975">
            <w:pPr>
              <w:spacing w:before="0" w:after="0" w:line="240" w:lineRule="auto"/>
              <w:rPr>
                <w:rFonts w:ascii="Arial" w:hAnsi="Arial" w:cs="Arial"/>
                <w:b/>
                <w:bCs/>
                <w:sz w:val="16"/>
                <w:szCs w:val="16"/>
              </w:rPr>
            </w:pPr>
            <w:r w:rsidRPr="00673C1F">
              <w:rPr>
                <w:rFonts w:ascii="Arial" w:hAnsi="Arial" w:cs="Arial"/>
                <w:b/>
                <w:bCs/>
                <w:sz w:val="16"/>
                <w:szCs w:val="16"/>
              </w:rPr>
              <w:t> </w:t>
            </w:r>
          </w:p>
        </w:tc>
        <w:tc>
          <w:tcPr>
            <w:tcW w:w="728" w:type="pct"/>
            <w:tcBorders>
              <w:top w:val="nil"/>
              <w:left w:val="nil"/>
              <w:bottom w:val="nil"/>
              <w:right w:val="nil"/>
            </w:tcBorders>
            <w:shd w:val="clear" w:color="000000" w:fill="E6F2FF"/>
            <w:noWrap/>
            <w:vAlign w:val="center"/>
            <w:hideMark/>
          </w:tcPr>
          <w:p w14:paraId="546FC61F" w14:textId="77777777" w:rsidR="00996975" w:rsidRPr="00673C1F" w:rsidRDefault="00996975" w:rsidP="00996975">
            <w:pPr>
              <w:spacing w:before="0" w:after="0" w:line="240" w:lineRule="auto"/>
              <w:rPr>
                <w:rFonts w:ascii="Arial" w:hAnsi="Arial" w:cs="Arial"/>
                <w:b/>
                <w:bCs/>
                <w:sz w:val="16"/>
                <w:szCs w:val="16"/>
              </w:rPr>
            </w:pPr>
            <w:r w:rsidRPr="00673C1F">
              <w:rPr>
                <w:rFonts w:ascii="Arial" w:hAnsi="Arial" w:cs="Arial"/>
                <w:b/>
                <w:bCs/>
                <w:sz w:val="16"/>
                <w:szCs w:val="16"/>
              </w:rPr>
              <w:t> </w:t>
            </w:r>
          </w:p>
        </w:tc>
        <w:tc>
          <w:tcPr>
            <w:tcW w:w="58" w:type="pct"/>
            <w:tcBorders>
              <w:top w:val="nil"/>
              <w:left w:val="nil"/>
              <w:bottom w:val="nil"/>
              <w:right w:val="nil"/>
            </w:tcBorders>
            <w:shd w:val="clear" w:color="auto" w:fill="auto"/>
            <w:noWrap/>
            <w:vAlign w:val="center"/>
            <w:hideMark/>
          </w:tcPr>
          <w:p w14:paraId="5F108886" w14:textId="77777777" w:rsidR="00996975" w:rsidRPr="00673C1F" w:rsidRDefault="00996975" w:rsidP="00996975">
            <w:pPr>
              <w:spacing w:before="0" w:after="0" w:line="240" w:lineRule="auto"/>
              <w:rPr>
                <w:rFonts w:ascii="Arial" w:hAnsi="Arial" w:cs="Arial"/>
                <w:b/>
                <w:bCs/>
                <w:sz w:val="16"/>
                <w:szCs w:val="16"/>
              </w:rPr>
            </w:pPr>
          </w:p>
        </w:tc>
        <w:tc>
          <w:tcPr>
            <w:tcW w:w="741" w:type="pct"/>
            <w:tcBorders>
              <w:top w:val="nil"/>
              <w:left w:val="nil"/>
              <w:bottom w:val="nil"/>
              <w:right w:val="nil"/>
            </w:tcBorders>
            <w:shd w:val="clear" w:color="auto" w:fill="auto"/>
            <w:noWrap/>
            <w:vAlign w:val="center"/>
            <w:hideMark/>
          </w:tcPr>
          <w:p w14:paraId="185260C9" w14:textId="77777777" w:rsidR="00996975" w:rsidRPr="00673C1F" w:rsidRDefault="00996975" w:rsidP="00996975">
            <w:pPr>
              <w:spacing w:before="0" w:after="0" w:line="240" w:lineRule="auto"/>
              <w:jc w:val="right"/>
              <w:rPr>
                <w:rFonts w:ascii="Times New Roman" w:hAnsi="Times New Roman"/>
                <w:sz w:val="20"/>
              </w:rPr>
            </w:pPr>
          </w:p>
        </w:tc>
        <w:tc>
          <w:tcPr>
            <w:tcW w:w="741" w:type="pct"/>
            <w:tcBorders>
              <w:top w:val="nil"/>
              <w:left w:val="nil"/>
              <w:bottom w:val="nil"/>
              <w:right w:val="nil"/>
            </w:tcBorders>
            <w:shd w:val="clear" w:color="auto" w:fill="auto"/>
            <w:noWrap/>
            <w:vAlign w:val="center"/>
            <w:hideMark/>
          </w:tcPr>
          <w:p w14:paraId="2B57CC46" w14:textId="77777777" w:rsidR="00996975" w:rsidRPr="00673C1F" w:rsidRDefault="00996975" w:rsidP="00996975">
            <w:pPr>
              <w:spacing w:before="0" w:after="0" w:line="240" w:lineRule="auto"/>
              <w:jc w:val="right"/>
              <w:rPr>
                <w:rFonts w:ascii="Times New Roman" w:hAnsi="Times New Roman"/>
                <w:sz w:val="20"/>
              </w:rPr>
            </w:pPr>
          </w:p>
        </w:tc>
      </w:tr>
      <w:tr w:rsidR="00996975" w:rsidRPr="00673C1F" w14:paraId="5AC8F8BF" w14:textId="77777777" w:rsidTr="00996975">
        <w:trPr>
          <w:trHeight w:hRule="exact" w:val="225"/>
        </w:trPr>
        <w:tc>
          <w:tcPr>
            <w:tcW w:w="2003" w:type="pct"/>
            <w:tcBorders>
              <w:top w:val="nil"/>
              <w:left w:val="nil"/>
              <w:bottom w:val="nil"/>
              <w:right w:val="nil"/>
            </w:tcBorders>
            <w:shd w:val="clear" w:color="auto" w:fill="auto"/>
            <w:noWrap/>
            <w:vAlign w:val="center"/>
            <w:hideMark/>
          </w:tcPr>
          <w:p w14:paraId="72D6BFF9" w14:textId="77777777" w:rsidR="00996975" w:rsidRPr="00673C1F" w:rsidRDefault="00996975" w:rsidP="00996975">
            <w:pPr>
              <w:spacing w:before="0" w:after="0" w:line="240" w:lineRule="auto"/>
              <w:rPr>
                <w:rFonts w:ascii="Arial" w:hAnsi="Arial" w:cs="Arial"/>
                <w:sz w:val="16"/>
                <w:szCs w:val="16"/>
              </w:rPr>
            </w:pPr>
            <w:r w:rsidRPr="00673C1F">
              <w:rPr>
                <w:rFonts w:ascii="Arial" w:hAnsi="Arial" w:cs="Arial"/>
                <w:sz w:val="16"/>
                <w:szCs w:val="16"/>
              </w:rPr>
              <w:t>Sales of goods and services</w:t>
            </w:r>
          </w:p>
        </w:tc>
        <w:tc>
          <w:tcPr>
            <w:tcW w:w="728" w:type="pct"/>
            <w:tcBorders>
              <w:top w:val="nil"/>
              <w:left w:val="nil"/>
              <w:bottom w:val="nil"/>
              <w:right w:val="nil"/>
            </w:tcBorders>
            <w:shd w:val="clear" w:color="000000" w:fill="FFFFFF"/>
            <w:noWrap/>
            <w:vAlign w:val="center"/>
            <w:hideMark/>
          </w:tcPr>
          <w:p w14:paraId="338FB5D5"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19,764</w:t>
            </w:r>
          </w:p>
        </w:tc>
        <w:tc>
          <w:tcPr>
            <w:tcW w:w="728" w:type="pct"/>
            <w:tcBorders>
              <w:top w:val="nil"/>
              <w:left w:val="nil"/>
              <w:bottom w:val="nil"/>
              <w:right w:val="nil"/>
            </w:tcBorders>
            <w:shd w:val="clear" w:color="000000" w:fill="E6F2FF"/>
            <w:noWrap/>
            <w:vAlign w:val="center"/>
            <w:hideMark/>
          </w:tcPr>
          <w:p w14:paraId="2B3F8851"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19,938</w:t>
            </w:r>
          </w:p>
        </w:tc>
        <w:tc>
          <w:tcPr>
            <w:tcW w:w="58" w:type="pct"/>
            <w:tcBorders>
              <w:top w:val="nil"/>
              <w:left w:val="nil"/>
              <w:bottom w:val="nil"/>
              <w:right w:val="nil"/>
            </w:tcBorders>
            <w:shd w:val="clear" w:color="auto" w:fill="auto"/>
            <w:noWrap/>
            <w:vAlign w:val="center"/>
            <w:hideMark/>
          </w:tcPr>
          <w:p w14:paraId="3F5D6065" w14:textId="77777777" w:rsidR="00996975" w:rsidRPr="00673C1F" w:rsidRDefault="00996975" w:rsidP="00996975">
            <w:pPr>
              <w:spacing w:before="0" w:after="0" w:line="240" w:lineRule="auto"/>
              <w:jc w:val="right"/>
              <w:rPr>
                <w:rFonts w:ascii="Arial" w:hAnsi="Arial" w:cs="Arial"/>
                <w:sz w:val="16"/>
                <w:szCs w:val="16"/>
              </w:rPr>
            </w:pPr>
          </w:p>
        </w:tc>
        <w:tc>
          <w:tcPr>
            <w:tcW w:w="741" w:type="pct"/>
            <w:tcBorders>
              <w:top w:val="nil"/>
              <w:left w:val="nil"/>
              <w:bottom w:val="nil"/>
              <w:right w:val="nil"/>
            </w:tcBorders>
            <w:shd w:val="clear" w:color="auto" w:fill="auto"/>
            <w:noWrap/>
            <w:vAlign w:val="center"/>
            <w:hideMark/>
          </w:tcPr>
          <w:p w14:paraId="7C47DBC7"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174</w:t>
            </w:r>
          </w:p>
        </w:tc>
        <w:tc>
          <w:tcPr>
            <w:tcW w:w="741" w:type="pct"/>
            <w:tcBorders>
              <w:top w:val="nil"/>
              <w:left w:val="nil"/>
              <w:bottom w:val="nil"/>
              <w:right w:val="nil"/>
            </w:tcBorders>
            <w:shd w:val="clear" w:color="auto" w:fill="auto"/>
            <w:noWrap/>
            <w:vAlign w:val="center"/>
            <w:hideMark/>
          </w:tcPr>
          <w:p w14:paraId="6BC7605E"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0.9</w:t>
            </w:r>
          </w:p>
        </w:tc>
      </w:tr>
      <w:tr w:rsidR="00996975" w:rsidRPr="00673C1F" w14:paraId="51BE3538" w14:textId="77777777" w:rsidTr="00996975">
        <w:trPr>
          <w:trHeight w:hRule="exact" w:val="225"/>
        </w:trPr>
        <w:tc>
          <w:tcPr>
            <w:tcW w:w="2003" w:type="pct"/>
            <w:tcBorders>
              <w:top w:val="nil"/>
              <w:left w:val="nil"/>
              <w:bottom w:val="nil"/>
              <w:right w:val="nil"/>
            </w:tcBorders>
            <w:shd w:val="clear" w:color="auto" w:fill="auto"/>
            <w:noWrap/>
            <w:vAlign w:val="center"/>
            <w:hideMark/>
          </w:tcPr>
          <w:p w14:paraId="6AFBA84D" w14:textId="77777777" w:rsidR="00996975" w:rsidRPr="00673C1F" w:rsidRDefault="00996975" w:rsidP="00996975">
            <w:pPr>
              <w:spacing w:before="0" w:after="0" w:line="240" w:lineRule="auto"/>
              <w:rPr>
                <w:rFonts w:ascii="Arial" w:hAnsi="Arial" w:cs="Arial"/>
                <w:sz w:val="16"/>
                <w:szCs w:val="16"/>
              </w:rPr>
            </w:pPr>
            <w:r w:rsidRPr="00673C1F">
              <w:rPr>
                <w:rFonts w:ascii="Arial" w:hAnsi="Arial" w:cs="Arial"/>
                <w:sz w:val="16"/>
                <w:szCs w:val="16"/>
              </w:rPr>
              <w:t>Interest received</w:t>
            </w:r>
          </w:p>
        </w:tc>
        <w:tc>
          <w:tcPr>
            <w:tcW w:w="728" w:type="pct"/>
            <w:tcBorders>
              <w:top w:val="nil"/>
              <w:left w:val="nil"/>
              <w:bottom w:val="nil"/>
              <w:right w:val="nil"/>
            </w:tcBorders>
            <w:shd w:val="clear" w:color="000000" w:fill="FFFFFF"/>
            <w:noWrap/>
            <w:vAlign w:val="center"/>
            <w:hideMark/>
          </w:tcPr>
          <w:p w14:paraId="537487E9"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8,862</w:t>
            </w:r>
          </w:p>
        </w:tc>
        <w:tc>
          <w:tcPr>
            <w:tcW w:w="728" w:type="pct"/>
            <w:tcBorders>
              <w:top w:val="nil"/>
              <w:left w:val="nil"/>
              <w:bottom w:val="nil"/>
              <w:right w:val="nil"/>
            </w:tcBorders>
            <w:shd w:val="clear" w:color="000000" w:fill="E6F2FF"/>
            <w:noWrap/>
            <w:vAlign w:val="center"/>
            <w:hideMark/>
          </w:tcPr>
          <w:p w14:paraId="388ECBE3"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10,404</w:t>
            </w:r>
          </w:p>
        </w:tc>
        <w:tc>
          <w:tcPr>
            <w:tcW w:w="58" w:type="pct"/>
            <w:tcBorders>
              <w:top w:val="nil"/>
              <w:left w:val="nil"/>
              <w:bottom w:val="nil"/>
              <w:right w:val="nil"/>
            </w:tcBorders>
            <w:shd w:val="clear" w:color="auto" w:fill="auto"/>
            <w:noWrap/>
            <w:vAlign w:val="center"/>
            <w:hideMark/>
          </w:tcPr>
          <w:p w14:paraId="59309FED" w14:textId="77777777" w:rsidR="00996975" w:rsidRPr="00673C1F" w:rsidRDefault="00996975" w:rsidP="00996975">
            <w:pPr>
              <w:spacing w:before="0" w:after="0" w:line="240" w:lineRule="auto"/>
              <w:jc w:val="right"/>
              <w:rPr>
                <w:rFonts w:ascii="Arial" w:hAnsi="Arial" w:cs="Arial"/>
                <w:sz w:val="16"/>
                <w:szCs w:val="16"/>
              </w:rPr>
            </w:pPr>
          </w:p>
        </w:tc>
        <w:tc>
          <w:tcPr>
            <w:tcW w:w="741" w:type="pct"/>
            <w:tcBorders>
              <w:top w:val="nil"/>
              <w:left w:val="nil"/>
              <w:bottom w:val="nil"/>
              <w:right w:val="nil"/>
            </w:tcBorders>
            <w:shd w:val="clear" w:color="auto" w:fill="auto"/>
            <w:noWrap/>
            <w:vAlign w:val="center"/>
            <w:hideMark/>
          </w:tcPr>
          <w:p w14:paraId="3974267B"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1,542</w:t>
            </w:r>
          </w:p>
        </w:tc>
        <w:tc>
          <w:tcPr>
            <w:tcW w:w="741" w:type="pct"/>
            <w:tcBorders>
              <w:top w:val="nil"/>
              <w:left w:val="nil"/>
              <w:bottom w:val="nil"/>
              <w:right w:val="nil"/>
            </w:tcBorders>
            <w:shd w:val="clear" w:color="auto" w:fill="auto"/>
            <w:noWrap/>
            <w:vAlign w:val="center"/>
            <w:hideMark/>
          </w:tcPr>
          <w:p w14:paraId="37F51F4A"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17.4</w:t>
            </w:r>
          </w:p>
        </w:tc>
      </w:tr>
      <w:tr w:rsidR="00996975" w:rsidRPr="00673C1F" w14:paraId="1B3A050C" w14:textId="77777777" w:rsidTr="00996975">
        <w:trPr>
          <w:trHeight w:hRule="exact" w:val="225"/>
        </w:trPr>
        <w:tc>
          <w:tcPr>
            <w:tcW w:w="2003" w:type="pct"/>
            <w:tcBorders>
              <w:top w:val="nil"/>
              <w:left w:val="nil"/>
              <w:bottom w:val="nil"/>
              <w:right w:val="nil"/>
            </w:tcBorders>
            <w:shd w:val="clear" w:color="auto" w:fill="auto"/>
            <w:noWrap/>
            <w:vAlign w:val="center"/>
            <w:hideMark/>
          </w:tcPr>
          <w:p w14:paraId="090C8F4C" w14:textId="77777777" w:rsidR="00996975" w:rsidRPr="00673C1F" w:rsidRDefault="00996975" w:rsidP="00996975">
            <w:pPr>
              <w:spacing w:before="0" w:after="0" w:line="240" w:lineRule="auto"/>
              <w:rPr>
                <w:rFonts w:ascii="Arial" w:hAnsi="Arial" w:cs="Arial"/>
                <w:sz w:val="16"/>
                <w:szCs w:val="16"/>
              </w:rPr>
            </w:pPr>
            <w:r w:rsidRPr="00673C1F">
              <w:rPr>
                <w:rFonts w:ascii="Arial" w:hAnsi="Arial" w:cs="Arial"/>
                <w:sz w:val="16"/>
                <w:szCs w:val="16"/>
              </w:rPr>
              <w:t>Dividends and distributions</w:t>
            </w:r>
          </w:p>
        </w:tc>
        <w:tc>
          <w:tcPr>
            <w:tcW w:w="728" w:type="pct"/>
            <w:tcBorders>
              <w:top w:val="nil"/>
              <w:left w:val="nil"/>
              <w:bottom w:val="nil"/>
              <w:right w:val="nil"/>
            </w:tcBorders>
            <w:shd w:val="clear" w:color="000000" w:fill="FFFFFF"/>
            <w:noWrap/>
            <w:vAlign w:val="center"/>
            <w:hideMark/>
          </w:tcPr>
          <w:p w14:paraId="41E203F1"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6,936</w:t>
            </w:r>
          </w:p>
        </w:tc>
        <w:tc>
          <w:tcPr>
            <w:tcW w:w="728" w:type="pct"/>
            <w:tcBorders>
              <w:top w:val="nil"/>
              <w:left w:val="nil"/>
              <w:bottom w:val="nil"/>
              <w:right w:val="nil"/>
            </w:tcBorders>
            <w:shd w:val="clear" w:color="000000" w:fill="E6F2FF"/>
            <w:noWrap/>
            <w:vAlign w:val="center"/>
            <w:hideMark/>
          </w:tcPr>
          <w:p w14:paraId="16BE0A46"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5,918</w:t>
            </w:r>
          </w:p>
        </w:tc>
        <w:tc>
          <w:tcPr>
            <w:tcW w:w="58" w:type="pct"/>
            <w:tcBorders>
              <w:top w:val="nil"/>
              <w:left w:val="nil"/>
              <w:bottom w:val="nil"/>
              <w:right w:val="nil"/>
            </w:tcBorders>
            <w:shd w:val="clear" w:color="auto" w:fill="auto"/>
            <w:noWrap/>
            <w:vAlign w:val="center"/>
            <w:hideMark/>
          </w:tcPr>
          <w:p w14:paraId="139CCB1E" w14:textId="77777777" w:rsidR="00996975" w:rsidRPr="00673C1F" w:rsidRDefault="00996975" w:rsidP="00996975">
            <w:pPr>
              <w:spacing w:before="0" w:after="0" w:line="240" w:lineRule="auto"/>
              <w:jc w:val="right"/>
              <w:rPr>
                <w:rFonts w:ascii="Arial" w:hAnsi="Arial" w:cs="Arial"/>
                <w:sz w:val="16"/>
                <w:szCs w:val="16"/>
              </w:rPr>
            </w:pPr>
          </w:p>
        </w:tc>
        <w:tc>
          <w:tcPr>
            <w:tcW w:w="741" w:type="pct"/>
            <w:tcBorders>
              <w:top w:val="nil"/>
              <w:left w:val="nil"/>
              <w:bottom w:val="nil"/>
              <w:right w:val="nil"/>
            </w:tcBorders>
            <w:shd w:val="clear" w:color="auto" w:fill="auto"/>
            <w:noWrap/>
            <w:vAlign w:val="center"/>
            <w:hideMark/>
          </w:tcPr>
          <w:p w14:paraId="0128ED68" w14:textId="6E53A354" w:rsidR="00996975" w:rsidRPr="00673C1F" w:rsidRDefault="006D727E" w:rsidP="00996975">
            <w:pPr>
              <w:spacing w:before="0" w:after="0" w:line="240" w:lineRule="auto"/>
              <w:jc w:val="right"/>
              <w:rPr>
                <w:rFonts w:ascii="Arial" w:hAnsi="Arial" w:cs="Arial"/>
                <w:sz w:val="16"/>
                <w:szCs w:val="16"/>
              </w:rPr>
            </w:pPr>
            <w:r w:rsidRPr="00673C1F">
              <w:rPr>
                <w:rFonts w:ascii="Arial" w:hAnsi="Arial" w:cs="Arial"/>
                <w:sz w:val="16"/>
                <w:szCs w:val="16"/>
              </w:rPr>
              <w:noBreakHyphen/>
            </w:r>
            <w:r w:rsidR="00996975" w:rsidRPr="00673C1F">
              <w:rPr>
                <w:rFonts w:ascii="Arial" w:hAnsi="Arial" w:cs="Arial"/>
                <w:sz w:val="16"/>
                <w:szCs w:val="16"/>
              </w:rPr>
              <w:t>1,018</w:t>
            </w:r>
          </w:p>
        </w:tc>
        <w:tc>
          <w:tcPr>
            <w:tcW w:w="741" w:type="pct"/>
            <w:tcBorders>
              <w:top w:val="nil"/>
              <w:left w:val="nil"/>
              <w:bottom w:val="nil"/>
              <w:right w:val="nil"/>
            </w:tcBorders>
            <w:shd w:val="clear" w:color="auto" w:fill="auto"/>
            <w:noWrap/>
            <w:vAlign w:val="center"/>
            <w:hideMark/>
          </w:tcPr>
          <w:p w14:paraId="1A286867" w14:textId="3BBCBD63" w:rsidR="00996975" w:rsidRPr="00673C1F" w:rsidRDefault="006D727E" w:rsidP="00996975">
            <w:pPr>
              <w:spacing w:before="0" w:after="0" w:line="240" w:lineRule="auto"/>
              <w:jc w:val="right"/>
              <w:rPr>
                <w:rFonts w:ascii="Arial" w:hAnsi="Arial" w:cs="Arial"/>
                <w:sz w:val="16"/>
                <w:szCs w:val="16"/>
              </w:rPr>
            </w:pPr>
            <w:r w:rsidRPr="00673C1F">
              <w:rPr>
                <w:rFonts w:ascii="Arial" w:hAnsi="Arial" w:cs="Arial"/>
                <w:sz w:val="16"/>
                <w:szCs w:val="16"/>
              </w:rPr>
              <w:noBreakHyphen/>
            </w:r>
            <w:r w:rsidR="00996975" w:rsidRPr="00673C1F">
              <w:rPr>
                <w:rFonts w:ascii="Arial" w:hAnsi="Arial" w:cs="Arial"/>
                <w:sz w:val="16"/>
                <w:szCs w:val="16"/>
              </w:rPr>
              <w:t>14.7</w:t>
            </w:r>
          </w:p>
        </w:tc>
      </w:tr>
      <w:tr w:rsidR="00996975" w:rsidRPr="00673C1F" w14:paraId="35FD1310" w14:textId="77777777" w:rsidTr="00996975">
        <w:trPr>
          <w:trHeight w:hRule="exact" w:val="225"/>
        </w:trPr>
        <w:tc>
          <w:tcPr>
            <w:tcW w:w="2003" w:type="pct"/>
            <w:tcBorders>
              <w:top w:val="nil"/>
              <w:left w:val="nil"/>
              <w:bottom w:val="nil"/>
              <w:right w:val="nil"/>
            </w:tcBorders>
            <w:shd w:val="clear" w:color="auto" w:fill="auto"/>
            <w:noWrap/>
            <w:vAlign w:val="center"/>
            <w:hideMark/>
          </w:tcPr>
          <w:p w14:paraId="1BE0633C" w14:textId="513E5065" w:rsidR="00996975" w:rsidRPr="00673C1F" w:rsidRDefault="00996975" w:rsidP="00996975">
            <w:pPr>
              <w:spacing w:before="0" w:after="0" w:line="240" w:lineRule="auto"/>
              <w:rPr>
                <w:rFonts w:ascii="Arial" w:hAnsi="Arial" w:cs="Arial"/>
                <w:sz w:val="16"/>
                <w:szCs w:val="16"/>
              </w:rPr>
            </w:pPr>
            <w:r w:rsidRPr="00673C1F">
              <w:rPr>
                <w:rFonts w:ascii="Arial" w:hAnsi="Arial" w:cs="Arial"/>
                <w:sz w:val="16"/>
                <w:szCs w:val="16"/>
              </w:rPr>
              <w:t>Other non</w:t>
            </w:r>
            <w:r w:rsidR="006D727E" w:rsidRPr="00673C1F">
              <w:rPr>
                <w:rFonts w:ascii="Arial" w:hAnsi="Arial" w:cs="Arial"/>
                <w:sz w:val="16"/>
                <w:szCs w:val="16"/>
              </w:rPr>
              <w:noBreakHyphen/>
            </w:r>
            <w:r w:rsidRPr="00673C1F">
              <w:rPr>
                <w:rFonts w:ascii="Arial" w:hAnsi="Arial" w:cs="Arial"/>
                <w:sz w:val="16"/>
                <w:szCs w:val="16"/>
              </w:rPr>
              <w:t>taxation receipts</w:t>
            </w:r>
          </w:p>
        </w:tc>
        <w:tc>
          <w:tcPr>
            <w:tcW w:w="728" w:type="pct"/>
            <w:tcBorders>
              <w:top w:val="nil"/>
              <w:left w:val="nil"/>
              <w:bottom w:val="nil"/>
              <w:right w:val="nil"/>
            </w:tcBorders>
            <w:shd w:val="clear" w:color="000000" w:fill="FFFFFF"/>
            <w:noWrap/>
            <w:vAlign w:val="center"/>
            <w:hideMark/>
          </w:tcPr>
          <w:p w14:paraId="0A4BA3AB"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17,038</w:t>
            </w:r>
          </w:p>
        </w:tc>
        <w:tc>
          <w:tcPr>
            <w:tcW w:w="728" w:type="pct"/>
            <w:tcBorders>
              <w:top w:val="nil"/>
              <w:left w:val="nil"/>
              <w:bottom w:val="nil"/>
              <w:right w:val="nil"/>
            </w:tcBorders>
            <w:shd w:val="clear" w:color="000000" w:fill="E6F2FF"/>
            <w:noWrap/>
            <w:vAlign w:val="center"/>
            <w:hideMark/>
          </w:tcPr>
          <w:p w14:paraId="12D28F0F"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17,297</w:t>
            </w:r>
          </w:p>
        </w:tc>
        <w:tc>
          <w:tcPr>
            <w:tcW w:w="58" w:type="pct"/>
            <w:tcBorders>
              <w:top w:val="nil"/>
              <w:left w:val="nil"/>
              <w:bottom w:val="nil"/>
              <w:right w:val="nil"/>
            </w:tcBorders>
            <w:shd w:val="clear" w:color="auto" w:fill="auto"/>
            <w:noWrap/>
            <w:vAlign w:val="center"/>
            <w:hideMark/>
          </w:tcPr>
          <w:p w14:paraId="32C6E98F" w14:textId="77777777" w:rsidR="00996975" w:rsidRPr="00673C1F" w:rsidRDefault="00996975" w:rsidP="00996975">
            <w:pPr>
              <w:spacing w:before="0" w:after="0" w:line="240" w:lineRule="auto"/>
              <w:jc w:val="right"/>
              <w:rPr>
                <w:rFonts w:ascii="Arial" w:hAnsi="Arial" w:cs="Arial"/>
                <w:sz w:val="16"/>
                <w:szCs w:val="16"/>
              </w:rPr>
            </w:pPr>
          </w:p>
        </w:tc>
        <w:tc>
          <w:tcPr>
            <w:tcW w:w="741" w:type="pct"/>
            <w:tcBorders>
              <w:top w:val="nil"/>
              <w:left w:val="nil"/>
              <w:bottom w:val="nil"/>
              <w:right w:val="nil"/>
            </w:tcBorders>
            <w:shd w:val="clear" w:color="auto" w:fill="auto"/>
            <w:noWrap/>
            <w:vAlign w:val="center"/>
            <w:hideMark/>
          </w:tcPr>
          <w:p w14:paraId="13FAF080"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259</w:t>
            </w:r>
          </w:p>
        </w:tc>
        <w:tc>
          <w:tcPr>
            <w:tcW w:w="741" w:type="pct"/>
            <w:tcBorders>
              <w:top w:val="nil"/>
              <w:left w:val="nil"/>
              <w:bottom w:val="nil"/>
              <w:right w:val="nil"/>
            </w:tcBorders>
            <w:shd w:val="clear" w:color="auto" w:fill="auto"/>
            <w:noWrap/>
            <w:vAlign w:val="center"/>
            <w:hideMark/>
          </w:tcPr>
          <w:p w14:paraId="1CE91CA8" w14:textId="77777777" w:rsidR="00996975" w:rsidRPr="00673C1F" w:rsidRDefault="00996975" w:rsidP="00996975">
            <w:pPr>
              <w:spacing w:before="0" w:after="0" w:line="240" w:lineRule="auto"/>
              <w:jc w:val="right"/>
              <w:rPr>
                <w:rFonts w:ascii="Arial" w:hAnsi="Arial" w:cs="Arial"/>
                <w:sz w:val="16"/>
                <w:szCs w:val="16"/>
              </w:rPr>
            </w:pPr>
            <w:r w:rsidRPr="00673C1F">
              <w:rPr>
                <w:rFonts w:ascii="Arial" w:hAnsi="Arial" w:cs="Arial"/>
                <w:sz w:val="16"/>
                <w:szCs w:val="16"/>
              </w:rPr>
              <w:t>1.5</w:t>
            </w:r>
          </w:p>
        </w:tc>
      </w:tr>
      <w:tr w:rsidR="00996975" w:rsidRPr="00673C1F" w14:paraId="3536CB64" w14:textId="77777777" w:rsidTr="00996975">
        <w:trPr>
          <w:trHeight w:hRule="exact" w:val="225"/>
        </w:trPr>
        <w:tc>
          <w:tcPr>
            <w:tcW w:w="2003" w:type="pct"/>
            <w:tcBorders>
              <w:top w:val="nil"/>
              <w:left w:val="nil"/>
              <w:bottom w:val="nil"/>
              <w:right w:val="nil"/>
            </w:tcBorders>
            <w:shd w:val="clear" w:color="auto" w:fill="auto"/>
            <w:noWrap/>
            <w:vAlign w:val="center"/>
            <w:hideMark/>
          </w:tcPr>
          <w:p w14:paraId="48D12D95" w14:textId="19CCCB42" w:rsidR="00996975" w:rsidRPr="00673C1F" w:rsidRDefault="00996975" w:rsidP="00996975">
            <w:pPr>
              <w:spacing w:before="0" w:after="0" w:line="240" w:lineRule="auto"/>
              <w:rPr>
                <w:rFonts w:ascii="Arial" w:hAnsi="Arial" w:cs="Arial"/>
                <w:b/>
                <w:bCs/>
                <w:sz w:val="16"/>
                <w:szCs w:val="16"/>
              </w:rPr>
            </w:pPr>
            <w:r w:rsidRPr="00673C1F">
              <w:rPr>
                <w:rFonts w:ascii="Arial" w:hAnsi="Arial" w:cs="Arial"/>
                <w:b/>
                <w:bCs/>
                <w:sz w:val="16"/>
                <w:szCs w:val="16"/>
              </w:rPr>
              <w:t>Non</w:t>
            </w:r>
            <w:r w:rsidR="006D727E" w:rsidRPr="00673C1F">
              <w:rPr>
                <w:rFonts w:ascii="Arial" w:hAnsi="Arial" w:cs="Arial"/>
                <w:b/>
                <w:bCs/>
                <w:sz w:val="16"/>
                <w:szCs w:val="16"/>
              </w:rPr>
              <w:noBreakHyphen/>
            </w:r>
            <w:r w:rsidRPr="00673C1F">
              <w:rPr>
                <w:rFonts w:ascii="Arial" w:hAnsi="Arial" w:cs="Arial"/>
                <w:b/>
                <w:bCs/>
                <w:sz w:val="16"/>
                <w:szCs w:val="16"/>
              </w:rPr>
              <w:t>taxation receipts</w:t>
            </w:r>
          </w:p>
        </w:tc>
        <w:tc>
          <w:tcPr>
            <w:tcW w:w="728" w:type="pct"/>
            <w:tcBorders>
              <w:top w:val="single" w:sz="4" w:space="0" w:color="293F5B"/>
              <w:left w:val="nil"/>
              <w:bottom w:val="nil"/>
              <w:right w:val="nil"/>
            </w:tcBorders>
            <w:shd w:val="clear" w:color="000000" w:fill="FFFFFF"/>
            <w:noWrap/>
            <w:vAlign w:val="center"/>
            <w:hideMark/>
          </w:tcPr>
          <w:p w14:paraId="1BCE8A58" w14:textId="77777777" w:rsidR="00996975" w:rsidRPr="00673C1F" w:rsidRDefault="00996975" w:rsidP="00996975">
            <w:pPr>
              <w:spacing w:before="0" w:after="0" w:line="240" w:lineRule="auto"/>
              <w:jc w:val="right"/>
              <w:rPr>
                <w:rFonts w:ascii="Arial" w:hAnsi="Arial" w:cs="Arial"/>
                <w:b/>
                <w:bCs/>
                <w:sz w:val="16"/>
                <w:szCs w:val="16"/>
              </w:rPr>
            </w:pPr>
            <w:r w:rsidRPr="00673C1F">
              <w:rPr>
                <w:rFonts w:ascii="Arial" w:hAnsi="Arial" w:cs="Arial"/>
                <w:b/>
                <w:bCs/>
                <w:sz w:val="16"/>
                <w:szCs w:val="16"/>
              </w:rPr>
              <w:t>52,600</w:t>
            </w:r>
          </w:p>
        </w:tc>
        <w:tc>
          <w:tcPr>
            <w:tcW w:w="728" w:type="pct"/>
            <w:tcBorders>
              <w:top w:val="single" w:sz="4" w:space="0" w:color="293F5B"/>
              <w:left w:val="nil"/>
              <w:bottom w:val="nil"/>
              <w:right w:val="nil"/>
            </w:tcBorders>
            <w:shd w:val="clear" w:color="000000" w:fill="E6F2FF"/>
            <w:noWrap/>
            <w:vAlign w:val="center"/>
            <w:hideMark/>
          </w:tcPr>
          <w:p w14:paraId="5D9E03F2" w14:textId="77777777" w:rsidR="00996975" w:rsidRPr="00673C1F" w:rsidRDefault="00996975" w:rsidP="00996975">
            <w:pPr>
              <w:spacing w:before="0" w:after="0" w:line="240" w:lineRule="auto"/>
              <w:jc w:val="right"/>
              <w:rPr>
                <w:rFonts w:ascii="Arial" w:hAnsi="Arial" w:cs="Arial"/>
                <w:b/>
                <w:bCs/>
                <w:sz w:val="16"/>
                <w:szCs w:val="16"/>
              </w:rPr>
            </w:pPr>
            <w:r w:rsidRPr="00673C1F">
              <w:rPr>
                <w:rFonts w:ascii="Arial" w:hAnsi="Arial" w:cs="Arial"/>
                <w:b/>
                <w:bCs/>
                <w:sz w:val="16"/>
                <w:szCs w:val="16"/>
              </w:rPr>
              <w:t>53,557</w:t>
            </w:r>
          </w:p>
        </w:tc>
        <w:tc>
          <w:tcPr>
            <w:tcW w:w="58" w:type="pct"/>
            <w:tcBorders>
              <w:top w:val="nil"/>
              <w:left w:val="nil"/>
              <w:bottom w:val="nil"/>
              <w:right w:val="nil"/>
            </w:tcBorders>
            <w:shd w:val="clear" w:color="auto" w:fill="auto"/>
            <w:noWrap/>
            <w:vAlign w:val="center"/>
            <w:hideMark/>
          </w:tcPr>
          <w:p w14:paraId="120A3AAD" w14:textId="77777777" w:rsidR="00996975" w:rsidRPr="00673C1F" w:rsidRDefault="00996975" w:rsidP="00996975">
            <w:pPr>
              <w:spacing w:before="0" w:after="0" w:line="240" w:lineRule="auto"/>
              <w:jc w:val="right"/>
              <w:rPr>
                <w:rFonts w:ascii="Arial" w:hAnsi="Arial" w:cs="Arial"/>
                <w:b/>
                <w:bCs/>
                <w:sz w:val="16"/>
                <w:szCs w:val="16"/>
              </w:rPr>
            </w:pPr>
          </w:p>
        </w:tc>
        <w:tc>
          <w:tcPr>
            <w:tcW w:w="741" w:type="pct"/>
            <w:tcBorders>
              <w:top w:val="single" w:sz="4" w:space="0" w:color="293F5B"/>
              <w:left w:val="nil"/>
              <w:bottom w:val="nil"/>
              <w:right w:val="nil"/>
            </w:tcBorders>
            <w:shd w:val="clear" w:color="auto" w:fill="auto"/>
            <w:noWrap/>
            <w:vAlign w:val="center"/>
            <w:hideMark/>
          </w:tcPr>
          <w:p w14:paraId="2D79B792" w14:textId="77777777" w:rsidR="00996975" w:rsidRPr="00673C1F" w:rsidRDefault="00996975" w:rsidP="00996975">
            <w:pPr>
              <w:spacing w:before="0" w:after="0" w:line="240" w:lineRule="auto"/>
              <w:jc w:val="right"/>
              <w:rPr>
                <w:rFonts w:ascii="Arial" w:hAnsi="Arial" w:cs="Arial"/>
                <w:b/>
                <w:bCs/>
                <w:sz w:val="16"/>
                <w:szCs w:val="16"/>
              </w:rPr>
            </w:pPr>
            <w:r w:rsidRPr="00673C1F">
              <w:rPr>
                <w:rFonts w:ascii="Arial" w:hAnsi="Arial" w:cs="Arial"/>
                <w:b/>
                <w:bCs/>
                <w:sz w:val="16"/>
                <w:szCs w:val="16"/>
              </w:rPr>
              <w:t>958</w:t>
            </w:r>
          </w:p>
        </w:tc>
        <w:tc>
          <w:tcPr>
            <w:tcW w:w="741" w:type="pct"/>
            <w:tcBorders>
              <w:top w:val="single" w:sz="4" w:space="0" w:color="293F5B"/>
              <w:left w:val="nil"/>
              <w:bottom w:val="nil"/>
              <w:right w:val="nil"/>
            </w:tcBorders>
            <w:shd w:val="clear" w:color="auto" w:fill="auto"/>
            <w:noWrap/>
            <w:vAlign w:val="center"/>
            <w:hideMark/>
          </w:tcPr>
          <w:p w14:paraId="318422C6" w14:textId="77777777" w:rsidR="00996975" w:rsidRPr="00673C1F" w:rsidRDefault="00996975" w:rsidP="00996975">
            <w:pPr>
              <w:spacing w:before="0" w:after="0" w:line="240" w:lineRule="auto"/>
              <w:jc w:val="right"/>
              <w:rPr>
                <w:rFonts w:ascii="Arial" w:hAnsi="Arial" w:cs="Arial"/>
                <w:b/>
                <w:bCs/>
                <w:sz w:val="16"/>
                <w:szCs w:val="16"/>
              </w:rPr>
            </w:pPr>
            <w:r w:rsidRPr="00673C1F">
              <w:rPr>
                <w:rFonts w:ascii="Arial" w:hAnsi="Arial" w:cs="Arial"/>
                <w:b/>
                <w:bCs/>
                <w:sz w:val="16"/>
                <w:szCs w:val="16"/>
              </w:rPr>
              <w:t>1.8</w:t>
            </w:r>
          </w:p>
        </w:tc>
      </w:tr>
      <w:tr w:rsidR="00996975" w:rsidRPr="00673C1F" w14:paraId="555C5839" w14:textId="77777777" w:rsidTr="00996975">
        <w:trPr>
          <w:trHeight w:hRule="exact" w:val="225"/>
        </w:trPr>
        <w:tc>
          <w:tcPr>
            <w:tcW w:w="2003" w:type="pct"/>
            <w:tcBorders>
              <w:top w:val="nil"/>
              <w:left w:val="nil"/>
              <w:bottom w:val="single" w:sz="4" w:space="0" w:color="293F5B"/>
              <w:right w:val="nil"/>
            </w:tcBorders>
            <w:shd w:val="clear" w:color="auto" w:fill="auto"/>
            <w:noWrap/>
            <w:vAlign w:val="center"/>
            <w:hideMark/>
          </w:tcPr>
          <w:p w14:paraId="12257D6B" w14:textId="77777777" w:rsidR="00996975" w:rsidRPr="00673C1F" w:rsidRDefault="00996975" w:rsidP="00996975">
            <w:pPr>
              <w:spacing w:before="0" w:after="0" w:line="240" w:lineRule="auto"/>
              <w:rPr>
                <w:rFonts w:ascii="Arial" w:hAnsi="Arial" w:cs="Arial"/>
                <w:b/>
                <w:bCs/>
                <w:sz w:val="16"/>
                <w:szCs w:val="16"/>
              </w:rPr>
            </w:pPr>
            <w:r w:rsidRPr="00673C1F">
              <w:rPr>
                <w:rFonts w:ascii="Arial" w:hAnsi="Arial" w:cs="Arial"/>
                <w:b/>
                <w:bCs/>
                <w:sz w:val="16"/>
                <w:szCs w:val="16"/>
              </w:rPr>
              <w:t>Total receipts</w:t>
            </w:r>
          </w:p>
        </w:tc>
        <w:tc>
          <w:tcPr>
            <w:tcW w:w="728" w:type="pct"/>
            <w:tcBorders>
              <w:top w:val="nil"/>
              <w:left w:val="nil"/>
              <w:bottom w:val="single" w:sz="4" w:space="0" w:color="293F5B"/>
              <w:right w:val="nil"/>
            </w:tcBorders>
            <w:shd w:val="clear" w:color="000000" w:fill="FFFFFF"/>
            <w:noWrap/>
            <w:vAlign w:val="center"/>
            <w:hideMark/>
          </w:tcPr>
          <w:p w14:paraId="43492D4A" w14:textId="77777777" w:rsidR="00996975" w:rsidRPr="00673C1F" w:rsidRDefault="00996975" w:rsidP="00996975">
            <w:pPr>
              <w:spacing w:before="0" w:after="0" w:line="240" w:lineRule="auto"/>
              <w:jc w:val="right"/>
              <w:rPr>
                <w:rFonts w:ascii="Arial" w:hAnsi="Arial" w:cs="Arial"/>
                <w:b/>
                <w:bCs/>
                <w:sz w:val="16"/>
                <w:szCs w:val="16"/>
              </w:rPr>
            </w:pPr>
            <w:r w:rsidRPr="00673C1F">
              <w:rPr>
                <w:rFonts w:ascii="Arial" w:hAnsi="Arial" w:cs="Arial"/>
                <w:b/>
                <w:bCs/>
                <w:sz w:val="16"/>
                <w:szCs w:val="16"/>
              </w:rPr>
              <w:t>685,266</w:t>
            </w:r>
          </w:p>
        </w:tc>
        <w:tc>
          <w:tcPr>
            <w:tcW w:w="728" w:type="pct"/>
            <w:tcBorders>
              <w:top w:val="nil"/>
              <w:left w:val="nil"/>
              <w:bottom w:val="single" w:sz="4" w:space="0" w:color="293F5B"/>
              <w:right w:val="nil"/>
            </w:tcBorders>
            <w:shd w:val="clear" w:color="000000" w:fill="E6F2FF"/>
            <w:noWrap/>
            <w:vAlign w:val="center"/>
            <w:hideMark/>
          </w:tcPr>
          <w:p w14:paraId="695B4B4B" w14:textId="77777777" w:rsidR="00996975" w:rsidRPr="00673C1F" w:rsidRDefault="00996975" w:rsidP="00996975">
            <w:pPr>
              <w:spacing w:before="0" w:after="0" w:line="240" w:lineRule="auto"/>
              <w:jc w:val="right"/>
              <w:rPr>
                <w:rFonts w:ascii="Arial" w:hAnsi="Arial" w:cs="Arial"/>
                <w:b/>
                <w:bCs/>
                <w:sz w:val="16"/>
                <w:szCs w:val="16"/>
              </w:rPr>
            </w:pPr>
            <w:r w:rsidRPr="00673C1F">
              <w:rPr>
                <w:rFonts w:ascii="Arial" w:hAnsi="Arial" w:cs="Arial"/>
                <w:b/>
                <w:bCs/>
                <w:sz w:val="16"/>
                <w:szCs w:val="16"/>
              </w:rPr>
              <w:t>692,307</w:t>
            </w:r>
          </w:p>
        </w:tc>
        <w:tc>
          <w:tcPr>
            <w:tcW w:w="58" w:type="pct"/>
            <w:tcBorders>
              <w:top w:val="nil"/>
              <w:left w:val="nil"/>
              <w:bottom w:val="single" w:sz="4" w:space="0" w:color="293F5B"/>
              <w:right w:val="nil"/>
            </w:tcBorders>
            <w:shd w:val="clear" w:color="auto" w:fill="auto"/>
            <w:noWrap/>
            <w:vAlign w:val="center"/>
            <w:hideMark/>
          </w:tcPr>
          <w:p w14:paraId="6E646D29" w14:textId="77777777" w:rsidR="00996975" w:rsidRPr="00673C1F" w:rsidRDefault="00996975" w:rsidP="00996975">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741" w:type="pct"/>
            <w:tcBorders>
              <w:top w:val="nil"/>
              <w:left w:val="nil"/>
              <w:bottom w:val="single" w:sz="4" w:space="0" w:color="293F5B"/>
              <w:right w:val="nil"/>
            </w:tcBorders>
            <w:shd w:val="clear" w:color="auto" w:fill="auto"/>
            <w:noWrap/>
            <w:vAlign w:val="center"/>
            <w:hideMark/>
          </w:tcPr>
          <w:p w14:paraId="1DBCB3D6" w14:textId="77777777" w:rsidR="00996975" w:rsidRPr="00673C1F" w:rsidRDefault="00996975" w:rsidP="00996975">
            <w:pPr>
              <w:spacing w:before="0" w:after="0" w:line="240" w:lineRule="auto"/>
              <w:jc w:val="right"/>
              <w:rPr>
                <w:rFonts w:ascii="Arial" w:hAnsi="Arial" w:cs="Arial"/>
                <w:b/>
                <w:bCs/>
                <w:sz w:val="16"/>
                <w:szCs w:val="16"/>
              </w:rPr>
            </w:pPr>
            <w:r w:rsidRPr="00673C1F">
              <w:rPr>
                <w:rFonts w:ascii="Arial" w:hAnsi="Arial" w:cs="Arial"/>
                <w:b/>
                <w:bCs/>
                <w:sz w:val="16"/>
                <w:szCs w:val="16"/>
              </w:rPr>
              <w:t>7,042</w:t>
            </w:r>
          </w:p>
        </w:tc>
        <w:tc>
          <w:tcPr>
            <w:tcW w:w="741" w:type="pct"/>
            <w:tcBorders>
              <w:top w:val="nil"/>
              <w:left w:val="nil"/>
              <w:bottom w:val="single" w:sz="4" w:space="0" w:color="293F5B"/>
              <w:right w:val="nil"/>
            </w:tcBorders>
            <w:shd w:val="clear" w:color="auto" w:fill="auto"/>
            <w:noWrap/>
            <w:vAlign w:val="center"/>
            <w:hideMark/>
          </w:tcPr>
          <w:p w14:paraId="6B4BC89E" w14:textId="77777777" w:rsidR="00996975" w:rsidRPr="00673C1F" w:rsidRDefault="00996975" w:rsidP="00996975">
            <w:pPr>
              <w:spacing w:before="0" w:after="0" w:line="240" w:lineRule="auto"/>
              <w:jc w:val="right"/>
              <w:rPr>
                <w:rFonts w:ascii="Arial" w:hAnsi="Arial" w:cs="Arial"/>
                <w:b/>
                <w:bCs/>
                <w:sz w:val="16"/>
                <w:szCs w:val="16"/>
              </w:rPr>
            </w:pPr>
            <w:r w:rsidRPr="00673C1F">
              <w:rPr>
                <w:rFonts w:ascii="Arial" w:hAnsi="Arial" w:cs="Arial"/>
                <w:b/>
                <w:bCs/>
                <w:sz w:val="16"/>
                <w:szCs w:val="16"/>
              </w:rPr>
              <w:t>1.0</w:t>
            </w:r>
          </w:p>
        </w:tc>
      </w:tr>
      <w:tr w:rsidR="00996975" w:rsidRPr="00673C1F" w14:paraId="0C882DF0" w14:textId="77777777" w:rsidTr="00996975">
        <w:trPr>
          <w:trHeight w:hRule="exact" w:val="225"/>
        </w:trPr>
        <w:tc>
          <w:tcPr>
            <w:tcW w:w="2003" w:type="pct"/>
            <w:tcBorders>
              <w:top w:val="nil"/>
              <w:left w:val="nil"/>
              <w:bottom w:val="nil"/>
              <w:right w:val="nil"/>
            </w:tcBorders>
            <w:shd w:val="clear" w:color="auto" w:fill="auto"/>
            <w:noWrap/>
            <w:vAlign w:val="center"/>
            <w:hideMark/>
          </w:tcPr>
          <w:p w14:paraId="52B1623D" w14:textId="77777777" w:rsidR="00996975" w:rsidRPr="00673C1F" w:rsidRDefault="00996975" w:rsidP="00996975">
            <w:pPr>
              <w:spacing w:before="0" w:after="0" w:line="240" w:lineRule="auto"/>
              <w:rPr>
                <w:rFonts w:ascii="Arial" w:hAnsi="Arial" w:cs="Arial"/>
                <w:i/>
                <w:iCs/>
                <w:sz w:val="16"/>
                <w:szCs w:val="16"/>
              </w:rPr>
            </w:pPr>
            <w:r w:rsidRPr="00673C1F">
              <w:rPr>
                <w:rFonts w:ascii="Arial" w:hAnsi="Arial" w:cs="Arial"/>
                <w:i/>
                <w:iCs/>
                <w:sz w:val="16"/>
                <w:szCs w:val="16"/>
              </w:rPr>
              <w:t>Memorandum:</w:t>
            </w:r>
          </w:p>
        </w:tc>
        <w:tc>
          <w:tcPr>
            <w:tcW w:w="728" w:type="pct"/>
            <w:tcBorders>
              <w:top w:val="nil"/>
              <w:left w:val="nil"/>
              <w:bottom w:val="nil"/>
              <w:right w:val="nil"/>
            </w:tcBorders>
            <w:shd w:val="clear" w:color="000000" w:fill="FFFFFF"/>
            <w:noWrap/>
            <w:vAlign w:val="center"/>
            <w:hideMark/>
          </w:tcPr>
          <w:p w14:paraId="7A12AEB3" w14:textId="77777777" w:rsidR="00996975" w:rsidRPr="00673C1F" w:rsidRDefault="00996975" w:rsidP="00996975">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728" w:type="pct"/>
            <w:tcBorders>
              <w:top w:val="nil"/>
              <w:left w:val="nil"/>
              <w:bottom w:val="nil"/>
              <w:right w:val="nil"/>
            </w:tcBorders>
            <w:shd w:val="clear" w:color="000000" w:fill="E6F2FF"/>
            <w:noWrap/>
            <w:vAlign w:val="center"/>
            <w:hideMark/>
          </w:tcPr>
          <w:p w14:paraId="39C5027D" w14:textId="77777777" w:rsidR="00996975" w:rsidRPr="00673C1F" w:rsidRDefault="00996975" w:rsidP="00996975">
            <w:pPr>
              <w:spacing w:before="0" w:after="0" w:line="240" w:lineRule="auto"/>
              <w:rPr>
                <w:rFonts w:ascii="Arial" w:hAnsi="Arial" w:cs="Arial"/>
                <w:b/>
                <w:bCs/>
                <w:sz w:val="16"/>
                <w:szCs w:val="16"/>
              </w:rPr>
            </w:pPr>
            <w:r w:rsidRPr="00673C1F">
              <w:rPr>
                <w:rFonts w:ascii="Arial" w:hAnsi="Arial" w:cs="Arial"/>
                <w:b/>
                <w:bCs/>
                <w:sz w:val="16"/>
                <w:szCs w:val="16"/>
              </w:rPr>
              <w:t> </w:t>
            </w:r>
          </w:p>
        </w:tc>
        <w:tc>
          <w:tcPr>
            <w:tcW w:w="58" w:type="pct"/>
            <w:tcBorders>
              <w:top w:val="nil"/>
              <w:left w:val="nil"/>
              <w:bottom w:val="nil"/>
              <w:right w:val="nil"/>
            </w:tcBorders>
            <w:shd w:val="clear" w:color="auto" w:fill="auto"/>
            <w:noWrap/>
            <w:vAlign w:val="center"/>
            <w:hideMark/>
          </w:tcPr>
          <w:p w14:paraId="55FD39D2" w14:textId="77777777" w:rsidR="00996975" w:rsidRPr="00673C1F" w:rsidRDefault="00996975" w:rsidP="00996975">
            <w:pPr>
              <w:spacing w:before="0" w:after="0" w:line="240" w:lineRule="auto"/>
              <w:rPr>
                <w:rFonts w:ascii="Arial" w:hAnsi="Arial" w:cs="Arial"/>
                <w:b/>
                <w:bCs/>
                <w:sz w:val="16"/>
                <w:szCs w:val="16"/>
              </w:rPr>
            </w:pPr>
          </w:p>
        </w:tc>
        <w:tc>
          <w:tcPr>
            <w:tcW w:w="741" w:type="pct"/>
            <w:tcBorders>
              <w:top w:val="nil"/>
              <w:left w:val="nil"/>
              <w:bottom w:val="nil"/>
              <w:right w:val="nil"/>
            </w:tcBorders>
            <w:shd w:val="clear" w:color="auto" w:fill="auto"/>
            <w:noWrap/>
            <w:vAlign w:val="center"/>
            <w:hideMark/>
          </w:tcPr>
          <w:p w14:paraId="6EA000E8" w14:textId="77777777" w:rsidR="00996975" w:rsidRPr="00673C1F" w:rsidRDefault="00996975" w:rsidP="00996975">
            <w:pPr>
              <w:spacing w:before="0" w:after="0" w:line="240" w:lineRule="auto"/>
              <w:jc w:val="right"/>
              <w:rPr>
                <w:rFonts w:ascii="Times New Roman" w:hAnsi="Times New Roman"/>
                <w:sz w:val="20"/>
              </w:rPr>
            </w:pPr>
          </w:p>
        </w:tc>
        <w:tc>
          <w:tcPr>
            <w:tcW w:w="741" w:type="pct"/>
            <w:tcBorders>
              <w:top w:val="nil"/>
              <w:left w:val="nil"/>
              <w:bottom w:val="nil"/>
              <w:right w:val="nil"/>
            </w:tcBorders>
            <w:shd w:val="clear" w:color="auto" w:fill="auto"/>
            <w:noWrap/>
            <w:vAlign w:val="center"/>
            <w:hideMark/>
          </w:tcPr>
          <w:p w14:paraId="0B4FB966" w14:textId="77777777" w:rsidR="00996975" w:rsidRPr="00673C1F" w:rsidRDefault="00996975" w:rsidP="00996975">
            <w:pPr>
              <w:spacing w:before="0" w:after="0" w:line="240" w:lineRule="auto"/>
              <w:jc w:val="right"/>
              <w:rPr>
                <w:rFonts w:ascii="Times New Roman" w:hAnsi="Times New Roman"/>
                <w:sz w:val="20"/>
              </w:rPr>
            </w:pPr>
          </w:p>
        </w:tc>
      </w:tr>
      <w:tr w:rsidR="00996975" w:rsidRPr="00673C1F" w14:paraId="6174C940" w14:textId="77777777" w:rsidTr="00996975">
        <w:trPr>
          <w:trHeight w:hRule="exact" w:val="225"/>
        </w:trPr>
        <w:tc>
          <w:tcPr>
            <w:tcW w:w="2003" w:type="pct"/>
            <w:tcBorders>
              <w:top w:val="nil"/>
              <w:left w:val="nil"/>
              <w:bottom w:val="nil"/>
              <w:right w:val="nil"/>
            </w:tcBorders>
            <w:shd w:val="clear" w:color="auto" w:fill="auto"/>
            <w:noWrap/>
            <w:vAlign w:val="center"/>
            <w:hideMark/>
          </w:tcPr>
          <w:p w14:paraId="5F570649" w14:textId="77777777" w:rsidR="00996975" w:rsidRPr="00673C1F" w:rsidRDefault="00996975" w:rsidP="00996975">
            <w:pPr>
              <w:spacing w:before="0" w:after="0" w:line="240" w:lineRule="auto"/>
              <w:ind w:left="170"/>
              <w:rPr>
                <w:rFonts w:ascii="Arial" w:hAnsi="Arial" w:cs="Arial"/>
                <w:i/>
                <w:iCs/>
                <w:sz w:val="16"/>
                <w:szCs w:val="16"/>
              </w:rPr>
            </w:pPr>
            <w:r w:rsidRPr="00673C1F">
              <w:rPr>
                <w:rFonts w:ascii="Arial" w:hAnsi="Arial" w:cs="Arial"/>
                <w:i/>
                <w:iCs/>
                <w:sz w:val="16"/>
                <w:szCs w:val="16"/>
              </w:rPr>
              <w:t xml:space="preserve">Total excise </w:t>
            </w:r>
          </w:p>
        </w:tc>
        <w:tc>
          <w:tcPr>
            <w:tcW w:w="728" w:type="pct"/>
            <w:tcBorders>
              <w:top w:val="nil"/>
              <w:left w:val="nil"/>
              <w:bottom w:val="nil"/>
              <w:right w:val="nil"/>
            </w:tcBorders>
            <w:shd w:val="clear" w:color="auto" w:fill="auto"/>
            <w:noWrap/>
            <w:vAlign w:val="center"/>
            <w:hideMark/>
          </w:tcPr>
          <w:p w14:paraId="2898FDE8" w14:textId="77777777" w:rsidR="00996975" w:rsidRPr="00673C1F" w:rsidRDefault="00996975" w:rsidP="00996975">
            <w:pPr>
              <w:spacing w:before="0" w:after="0" w:line="240" w:lineRule="auto"/>
              <w:jc w:val="right"/>
              <w:rPr>
                <w:rFonts w:ascii="Arial" w:hAnsi="Arial" w:cs="Arial"/>
                <w:i/>
                <w:iCs/>
                <w:sz w:val="16"/>
                <w:szCs w:val="16"/>
              </w:rPr>
            </w:pPr>
            <w:r w:rsidRPr="00673C1F">
              <w:rPr>
                <w:rFonts w:ascii="Arial" w:hAnsi="Arial" w:cs="Arial"/>
                <w:i/>
                <w:iCs/>
                <w:sz w:val="16"/>
                <w:szCs w:val="16"/>
              </w:rPr>
              <w:t>29,990</w:t>
            </w:r>
          </w:p>
        </w:tc>
        <w:tc>
          <w:tcPr>
            <w:tcW w:w="728" w:type="pct"/>
            <w:tcBorders>
              <w:top w:val="nil"/>
              <w:left w:val="nil"/>
              <w:bottom w:val="nil"/>
              <w:right w:val="nil"/>
            </w:tcBorders>
            <w:shd w:val="clear" w:color="000000" w:fill="E6F2FF"/>
            <w:noWrap/>
            <w:vAlign w:val="center"/>
            <w:hideMark/>
          </w:tcPr>
          <w:p w14:paraId="10516987" w14:textId="77777777" w:rsidR="00996975" w:rsidRPr="00673C1F" w:rsidRDefault="00996975" w:rsidP="00996975">
            <w:pPr>
              <w:spacing w:before="0" w:after="0" w:line="240" w:lineRule="auto"/>
              <w:jc w:val="right"/>
              <w:rPr>
                <w:rFonts w:ascii="Arial" w:hAnsi="Arial" w:cs="Arial"/>
                <w:i/>
                <w:iCs/>
                <w:sz w:val="16"/>
                <w:szCs w:val="16"/>
              </w:rPr>
            </w:pPr>
            <w:r w:rsidRPr="00673C1F">
              <w:rPr>
                <w:rFonts w:ascii="Arial" w:hAnsi="Arial" w:cs="Arial"/>
                <w:i/>
                <w:iCs/>
                <w:sz w:val="16"/>
                <w:szCs w:val="16"/>
              </w:rPr>
              <w:t>29,940</w:t>
            </w:r>
          </w:p>
        </w:tc>
        <w:tc>
          <w:tcPr>
            <w:tcW w:w="58" w:type="pct"/>
            <w:tcBorders>
              <w:top w:val="nil"/>
              <w:left w:val="nil"/>
              <w:bottom w:val="nil"/>
              <w:right w:val="nil"/>
            </w:tcBorders>
            <w:shd w:val="clear" w:color="auto" w:fill="auto"/>
            <w:noWrap/>
            <w:vAlign w:val="center"/>
            <w:hideMark/>
          </w:tcPr>
          <w:p w14:paraId="1E4A1505" w14:textId="77777777" w:rsidR="00996975" w:rsidRPr="00673C1F" w:rsidRDefault="00996975" w:rsidP="00996975">
            <w:pPr>
              <w:spacing w:before="0" w:after="0" w:line="240" w:lineRule="auto"/>
              <w:jc w:val="right"/>
              <w:rPr>
                <w:rFonts w:ascii="Arial" w:hAnsi="Arial" w:cs="Arial"/>
                <w:i/>
                <w:iCs/>
                <w:sz w:val="16"/>
                <w:szCs w:val="16"/>
              </w:rPr>
            </w:pPr>
          </w:p>
        </w:tc>
        <w:tc>
          <w:tcPr>
            <w:tcW w:w="741" w:type="pct"/>
            <w:tcBorders>
              <w:top w:val="nil"/>
              <w:left w:val="nil"/>
              <w:bottom w:val="nil"/>
              <w:right w:val="nil"/>
            </w:tcBorders>
            <w:shd w:val="clear" w:color="auto" w:fill="auto"/>
            <w:noWrap/>
            <w:vAlign w:val="center"/>
            <w:hideMark/>
          </w:tcPr>
          <w:p w14:paraId="1B152468" w14:textId="36BD826C" w:rsidR="00996975" w:rsidRPr="00673C1F" w:rsidRDefault="006D727E" w:rsidP="00996975">
            <w:pPr>
              <w:spacing w:before="0" w:after="0" w:line="240" w:lineRule="auto"/>
              <w:jc w:val="right"/>
              <w:rPr>
                <w:rFonts w:ascii="Arial" w:hAnsi="Arial" w:cs="Arial"/>
                <w:i/>
                <w:iCs/>
                <w:sz w:val="16"/>
                <w:szCs w:val="16"/>
              </w:rPr>
            </w:pPr>
            <w:r w:rsidRPr="00673C1F">
              <w:rPr>
                <w:rFonts w:ascii="Arial" w:hAnsi="Arial" w:cs="Arial"/>
                <w:i/>
                <w:iCs/>
                <w:sz w:val="16"/>
                <w:szCs w:val="16"/>
              </w:rPr>
              <w:noBreakHyphen/>
            </w:r>
            <w:r w:rsidR="00996975" w:rsidRPr="00673C1F">
              <w:rPr>
                <w:rFonts w:ascii="Arial" w:hAnsi="Arial" w:cs="Arial"/>
                <w:i/>
                <w:iCs/>
                <w:sz w:val="16"/>
                <w:szCs w:val="16"/>
              </w:rPr>
              <w:t>50</w:t>
            </w:r>
          </w:p>
        </w:tc>
        <w:tc>
          <w:tcPr>
            <w:tcW w:w="741" w:type="pct"/>
            <w:tcBorders>
              <w:top w:val="nil"/>
              <w:left w:val="nil"/>
              <w:bottom w:val="nil"/>
              <w:right w:val="nil"/>
            </w:tcBorders>
            <w:shd w:val="clear" w:color="auto" w:fill="auto"/>
            <w:noWrap/>
            <w:vAlign w:val="center"/>
            <w:hideMark/>
          </w:tcPr>
          <w:p w14:paraId="1522571E" w14:textId="26E4D3FF" w:rsidR="00996975" w:rsidRPr="00673C1F" w:rsidRDefault="006D727E" w:rsidP="00996975">
            <w:pPr>
              <w:spacing w:before="0" w:after="0" w:line="240" w:lineRule="auto"/>
              <w:jc w:val="right"/>
              <w:rPr>
                <w:rFonts w:ascii="Arial" w:hAnsi="Arial" w:cs="Arial"/>
                <w:i/>
                <w:iCs/>
                <w:sz w:val="16"/>
                <w:szCs w:val="16"/>
              </w:rPr>
            </w:pPr>
            <w:r w:rsidRPr="00673C1F">
              <w:rPr>
                <w:rFonts w:ascii="Arial" w:hAnsi="Arial" w:cs="Arial"/>
                <w:i/>
                <w:iCs/>
                <w:sz w:val="16"/>
                <w:szCs w:val="16"/>
              </w:rPr>
              <w:noBreakHyphen/>
            </w:r>
            <w:r w:rsidR="00996975" w:rsidRPr="00673C1F">
              <w:rPr>
                <w:rFonts w:ascii="Arial" w:hAnsi="Arial" w:cs="Arial"/>
                <w:i/>
                <w:iCs/>
                <w:sz w:val="16"/>
                <w:szCs w:val="16"/>
              </w:rPr>
              <w:t>0.2</w:t>
            </w:r>
          </w:p>
        </w:tc>
      </w:tr>
      <w:tr w:rsidR="00996975" w:rsidRPr="00673C1F" w14:paraId="56D3CFB6" w14:textId="77777777" w:rsidTr="00996975">
        <w:trPr>
          <w:trHeight w:hRule="exact" w:val="225"/>
        </w:trPr>
        <w:tc>
          <w:tcPr>
            <w:tcW w:w="2003" w:type="pct"/>
            <w:tcBorders>
              <w:top w:val="nil"/>
              <w:left w:val="nil"/>
              <w:bottom w:val="nil"/>
              <w:right w:val="nil"/>
            </w:tcBorders>
            <w:shd w:val="clear" w:color="auto" w:fill="auto"/>
            <w:noWrap/>
            <w:vAlign w:val="center"/>
            <w:hideMark/>
          </w:tcPr>
          <w:p w14:paraId="585994A9" w14:textId="77777777" w:rsidR="00996975" w:rsidRPr="00673C1F" w:rsidRDefault="00996975" w:rsidP="00996975">
            <w:pPr>
              <w:spacing w:before="0" w:after="0" w:line="240" w:lineRule="auto"/>
              <w:ind w:left="170"/>
              <w:rPr>
                <w:rFonts w:ascii="Arial" w:hAnsi="Arial" w:cs="Arial"/>
                <w:i/>
                <w:iCs/>
                <w:sz w:val="16"/>
                <w:szCs w:val="16"/>
              </w:rPr>
            </w:pPr>
            <w:r w:rsidRPr="00673C1F">
              <w:rPr>
                <w:rFonts w:ascii="Arial" w:hAnsi="Arial" w:cs="Arial"/>
                <w:i/>
                <w:iCs/>
                <w:sz w:val="16"/>
                <w:szCs w:val="16"/>
              </w:rPr>
              <w:t xml:space="preserve">Total customs duty </w:t>
            </w:r>
          </w:p>
        </w:tc>
        <w:tc>
          <w:tcPr>
            <w:tcW w:w="728" w:type="pct"/>
            <w:tcBorders>
              <w:top w:val="nil"/>
              <w:left w:val="nil"/>
              <w:bottom w:val="nil"/>
              <w:right w:val="nil"/>
            </w:tcBorders>
            <w:shd w:val="clear" w:color="auto" w:fill="auto"/>
            <w:noWrap/>
            <w:vAlign w:val="center"/>
            <w:hideMark/>
          </w:tcPr>
          <w:p w14:paraId="7FA8ED42" w14:textId="77777777" w:rsidR="00996975" w:rsidRPr="00673C1F" w:rsidRDefault="00996975" w:rsidP="00996975">
            <w:pPr>
              <w:spacing w:before="0" w:after="0" w:line="240" w:lineRule="auto"/>
              <w:jc w:val="right"/>
              <w:rPr>
                <w:rFonts w:ascii="Arial" w:hAnsi="Arial" w:cs="Arial"/>
                <w:i/>
                <w:iCs/>
                <w:sz w:val="16"/>
                <w:szCs w:val="16"/>
              </w:rPr>
            </w:pPr>
            <w:r w:rsidRPr="00673C1F">
              <w:rPr>
                <w:rFonts w:ascii="Arial" w:hAnsi="Arial" w:cs="Arial"/>
                <w:i/>
                <w:iCs/>
                <w:sz w:val="16"/>
                <w:szCs w:val="16"/>
              </w:rPr>
              <w:t>17,260</w:t>
            </w:r>
          </w:p>
        </w:tc>
        <w:tc>
          <w:tcPr>
            <w:tcW w:w="728" w:type="pct"/>
            <w:tcBorders>
              <w:top w:val="nil"/>
              <w:left w:val="nil"/>
              <w:bottom w:val="nil"/>
              <w:right w:val="nil"/>
            </w:tcBorders>
            <w:shd w:val="clear" w:color="000000" w:fill="E6F2FF"/>
            <w:noWrap/>
            <w:vAlign w:val="center"/>
            <w:hideMark/>
          </w:tcPr>
          <w:p w14:paraId="0EA30354" w14:textId="77777777" w:rsidR="00996975" w:rsidRPr="00673C1F" w:rsidRDefault="00996975" w:rsidP="00996975">
            <w:pPr>
              <w:spacing w:before="0" w:after="0" w:line="240" w:lineRule="auto"/>
              <w:jc w:val="right"/>
              <w:rPr>
                <w:rFonts w:ascii="Arial" w:hAnsi="Arial" w:cs="Arial"/>
                <w:i/>
                <w:iCs/>
                <w:sz w:val="16"/>
                <w:szCs w:val="16"/>
              </w:rPr>
            </w:pPr>
            <w:r w:rsidRPr="00673C1F">
              <w:rPr>
                <w:rFonts w:ascii="Arial" w:hAnsi="Arial" w:cs="Arial"/>
                <w:i/>
                <w:iCs/>
                <w:sz w:val="16"/>
                <w:szCs w:val="16"/>
              </w:rPr>
              <w:t>14,590</w:t>
            </w:r>
          </w:p>
        </w:tc>
        <w:tc>
          <w:tcPr>
            <w:tcW w:w="58" w:type="pct"/>
            <w:tcBorders>
              <w:top w:val="nil"/>
              <w:left w:val="nil"/>
              <w:bottom w:val="nil"/>
              <w:right w:val="nil"/>
            </w:tcBorders>
            <w:shd w:val="clear" w:color="auto" w:fill="auto"/>
            <w:noWrap/>
            <w:vAlign w:val="center"/>
            <w:hideMark/>
          </w:tcPr>
          <w:p w14:paraId="1EC354DB" w14:textId="77777777" w:rsidR="00996975" w:rsidRPr="00673C1F" w:rsidRDefault="00996975" w:rsidP="00996975">
            <w:pPr>
              <w:spacing w:before="0" w:after="0" w:line="240" w:lineRule="auto"/>
              <w:jc w:val="right"/>
              <w:rPr>
                <w:rFonts w:ascii="Arial" w:hAnsi="Arial" w:cs="Arial"/>
                <w:i/>
                <w:iCs/>
                <w:sz w:val="16"/>
                <w:szCs w:val="16"/>
              </w:rPr>
            </w:pPr>
          </w:p>
        </w:tc>
        <w:tc>
          <w:tcPr>
            <w:tcW w:w="741" w:type="pct"/>
            <w:tcBorders>
              <w:top w:val="nil"/>
              <w:left w:val="nil"/>
              <w:bottom w:val="nil"/>
              <w:right w:val="nil"/>
            </w:tcBorders>
            <w:shd w:val="clear" w:color="auto" w:fill="auto"/>
            <w:noWrap/>
            <w:vAlign w:val="center"/>
            <w:hideMark/>
          </w:tcPr>
          <w:p w14:paraId="469B16E5" w14:textId="75D04842" w:rsidR="00996975" w:rsidRPr="00673C1F" w:rsidRDefault="006D727E" w:rsidP="00996975">
            <w:pPr>
              <w:spacing w:before="0" w:after="0" w:line="240" w:lineRule="auto"/>
              <w:jc w:val="right"/>
              <w:rPr>
                <w:rFonts w:ascii="Arial" w:hAnsi="Arial" w:cs="Arial"/>
                <w:i/>
                <w:iCs/>
                <w:sz w:val="16"/>
                <w:szCs w:val="16"/>
              </w:rPr>
            </w:pPr>
            <w:r w:rsidRPr="00673C1F">
              <w:rPr>
                <w:rFonts w:ascii="Arial" w:hAnsi="Arial" w:cs="Arial"/>
                <w:i/>
                <w:iCs/>
                <w:sz w:val="16"/>
                <w:szCs w:val="16"/>
              </w:rPr>
              <w:noBreakHyphen/>
            </w:r>
            <w:r w:rsidR="00996975" w:rsidRPr="00673C1F">
              <w:rPr>
                <w:rFonts w:ascii="Arial" w:hAnsi="Arial" w:cs="Arial"/>
                <w:i/>
                <w:iCs/>
                <w:sz w:val="16"/>
                <w:szCs w:val="16"/>
              </w:rPr>
              <w:t>2,670</w:t>
            </w:r>
          </w:p>
        </w:tc>
        <w:tc>
          <w:tcPr>
            <w:tcW w:w="741" w:type="pct"/>
            <w:tcBorders>
              <w:top w:val="nil"/>
              <w:left w:val="nil"/>
              <w:bottom w:val="nil"/>
              <w:right w:val="nil"/>
            </w:tcBorders>
            <w:shd w:val="clear" w:color="auto" w:fill="auto"/>
            <w:noWrap/>
            <w:vAlign w:val="center"/>
            <w:hideMark/>
          </w:tcPr>
          <w:p w14:paraId="46CA3804" w14:textId="55E472C5" w:rsidR="00996975" w:rsidRPr="00673C1F" w:rsidRDefault="006D727E" w:rsidP="00996975">
            <w:pPr>
              <w:spacing w:before="0" w:after="0" w:line="240" w:lineRule="auto"/>
              <w:jc w:val="right"/>
              <w:rPr>
                <w:rFonts w:ascii="Arial" w:hAnsi="Arial" w:cs="Arial"/>
                <w:i/>
                <w:iCs/>
                <w:sz w:val="16"/>
                <w:szCs w:val="16"/>
              </w:rPr>
            </w:pPr>
            <w:r w:rsidRPr="00673C1F">
              <w:rPr>
                <w:rFonts w:ascii="Arial" w:hAnsi="Arial" w:cs="Arial"/>
                <w:i/>
                <w:iCs/>
                <w:sz w:val="16"/>
                <w:szCs w:val="16"/>
              </w:rPr>
              <w:noBreakHyphen/>
            </w:r>
            <w:r w:rsidR="00996975" w:rsidRPr="00673C1F">
              <w:rPr>
                <w:rFonts w:ascii="Arial" w:hAnsi="Arial" w:cs="Arial"/>
                <w:i/>
                <w:iCs/>
                <w:sz w:val="16"/>
                <w:szCs w:val="16"/>
              </w:rPr>
              <w:t>15.5</w:t>
            </w:r>
          </w:p>
        </w:tc>
      </w:tr>
      <w:tr w:rsidR="00996975" w:rsidRPr="00673C1F" w14:paraId="4D752A39" w14:textId="77777777" w:rsidTr="00996975">
        <w:trPr>
          <w:trHeight w:val="225"/>
        </w:trPr>
        <w:tc>
          <w:tcPr>
            <w:tcW w:w="2003" w:type="pct"/>
            <w:tcBorders>
              <w:top w:val="nil"/>
              <w:left w:val="nil"/>
              <w:bottom w:val="single" w:sz="4" w:space="0" w:color="293F5B"/>
              <w:right w:val="nil"/>
            </w:tcBorders>
            <w:shd w:val="clear" w:color="auto" w:fill="auto"/>
            <w:noWrap/>
            <w:vAlign w:val="center"/>
            <w:hideMark/>
          </w:tcPr>
          <w:p w14:paraId="16D4664A" w14:textId="77777777" w:rsidR="00996975" w:rsidRPr="00673C1F" w:rsidRDefault="00996975" w:rsidP="00996975">
            <w:pPr>
              <w:spacing w:before="0" w:after="0" w:line="240" w:lineRule="auto"/>
              <w:ind w:firstLineChars="100" w:firstLine="160"/>
              <w:rPr>
                <w:rFonts w:ascii="Arial" w:hAnsi="Arial" w:cs="Arial"/>
                <w:i/>
                <w:iCs/>
                <w:sz w:val="16"/>
                <w:szCs w:val="16"/>
              </w:rPr>
            </w:pPr>
            <w:r w:rsidRPr="00673C1F">
              <w:rPr>
                <w:rFonts w:ascii="Arial" w:hAnsi="Arial" w:cs="Arial"/>
                <w:i/>
                <w:iCs/>
                <w:sz w:val="16"/>
                <w:szCs w:val="16"/>
              </w:rPr>
              <w:t>Capital gains tax(b)</w:t>
            </w:r>
          </w:p>
        </w:tc>
        <w:tc>
          <w:tcPr>
            <w:tcW w:w="728" w:type="pct"/>
            <w:tcBorders>
              <w:top w:val="nil"/>
              <w:left w:val="nil"/>
              <w:bottom w:val="single" w:sz="4" w:space="0" w:color="293F5B"/>
              <w:right w:val="nil"/>
            </w:tcBorders>
            <w:shd w:val="clear" w:color="000000" w:fill="FFFFFF"/>
            <w:noWrap/>
            <w:vAlign w:val="center"/>
            <w:hideMark/>
          </w:tcPr>
          <w:p w14:paraId="6D64F14F" w14:textId="77777777" w:rsidR="00996975" w:rsidRPr="00673C1F" w:rsidRDefault="00996975" w:rsidP="00996975">
            <w:pPr>
              <w:spacing w:before="0" w:after="0" w:line="240" w:lineRule="auto"/>
              <w:jc w:val="right"/>
              <w:rPr>
                <w:rFonts w:ascii="Arial" w:hAnsi="Arial" w:cs="Arial"/>
                <w:i/>
                <w:iCs/>
                <w:sz w:val="16"/>
                <w:szCs w:val="16"/>
              </w:rPr>
            </w:pPr>
            <w:r w:rsidRPr="00673C1F">
              <w:rPr>
                <w:rFonts w:ascii="Arial" w:hAnsi="Arial" w:cs="Arial"/>
                <w:i/>
                <w:iCs/>
                <w:sz w:val="16"/>
                <w:szCs w:val="16"/>
              </w:rPr>
              <w:t>25,000</w:t>
            </w:r>
          </w:p>
        </w:tc>
        <w:tc>
          <w:tcPr>
            <w:tcW w:w="728" w:type="pct"/>
            <w:tcBorders>
              <w:top w:val="nil"/>
              <w:left w:val="nil"/>
              <w:bottom w:val="single" w:sz="4" w:space="0" w:color="293F5B"/>
              <w:right w:val="nil"/>
            </w:tcBorders>
            <w:shd w:val="clear" w:color="000000" w:fill="E6F2FF"/>
            <w:noWrap/>
            <w:vAlign w:val="center"/>
            <w:hideMark/>
          </w:tcPr>
          <w:p w14:paraId="548A4807" w14:textId="77777777" w:rsidR="00996975" w:rsidRPr="00673C1F" w:rsidRDefault="00996975" w:rsidP="00996975">
            <w:pPr>
              <w:spacing w:before="0" w:after="0" w:line="240" w:lineRule="auto"/>
              <w:jc w:val="right"/>
              <w:rPr>
                <w:rFonts w:ascii="Arial" w:hAnsi="Arial" w:cs="Arial"/>
                <w:i/>
                <w:iCs/>
                <w:sz w:val="16"/>
                <w:szCs w:val="16"/>
              </w:rPr>
            </w:pPr>
            <w:r w:rsidRPr="00673C1F">
              <w:rPr>
                <w:rFonts w:ascii="Arial" w:hAnsi="Arial" w:cs="Arial"/>
                <w:i/>
                <w:iCs/>
                <w:sz w:val="16"/>
                <w:szCs w:val="16"/>
              </w:rPr>
              <w:t>26,400</w:t>
            </w:r>
          </w:p>
        </w:tc>
        <w:tc>
          <w:tcPr>
            <w:tcW w:w="58" w:type="pct"/>
            <w:tcBorders>
              <w:top w:val="nil"/>
              <w:left w:val="nil"/>
              <w:bottom w:val="single" w:sz="4" w:space="0" w:color="293F5B"/>
              <w:right w:val="nil"/>
            </w:tcBorders>
            <w:shd w:val="clear" w:color="auto" w:fill="auto"/>
            <w:noWrap/>
            <w:vAlign w:val="center"/>
            <w:hideMark/>
          </w:tcPr>
          <w:p w14:paraId="57FA16C6" w14:textId="77777777" w:rsidR="00996975" w:rsidRPr="00673C1F" w:rsidRDefault="00996975" w:rsidP="00996975">
            <w:pPr>
              <w:spacing w:before="0" w:after="0" w:line="240" w:lineRule="auto"/>
              <w:jc w:val="right"/>
              <w:rPr>
                <w:rFonts w:ascii="Arial" w:hAnsi="Arial" w:cs="Arial"/>
                <w:i/>
                <w:iCs/>
                <w:sz w:val="16"/>
                <w:szCs w:val="16"/>
              </w:rPr>
            </w:pPr>
            <w:r w:rsidRPr="00673C1F">
              <w:rPr>
                <w:rFonts w:ascii="Arial" w:hAnsi="Arial" w:cs="Arial"/>
                <w:i/>
                <w:iCs/>
                <w:sz w:val="16"/>
                <w:szCs w:val="16"/>
              </w:rPr>
              <w:t> </w:t>
            </w:r>
          </w:p>
        </w:tc>
        <w:tc>
          <w:tcPr>
            <w:tcW w:w="741" w:type="pct"/>
            <w:tcBorders>
              <w:top w:val="nil"/>
              <w:left w:val="nil"/>
              <w:bottom w:val="single" w:sz="4" w:space="0" w:color="293F5B"/>
              <w:right w:val="nil"/>
            </w:tcBorders>
            <w:shd w:val="clear" w:color="auto" w:fill="auto"/>
            <w:noWrap/>
            <w:vAlign w:val="center"/>
            <w:hideMark/>
          </w:tcPr>
          <w:p w14:paraId="304888CA" w14:textId="77777777" w:rsidR="00996975" w:rsidRPr="00673C1F" w:rsidRDefault="00996975" w:rsidP="00996975">
            <w:pPr>
              <w:spacing w:before="0" w:after="0" w:line="240" w:lineRule="auto"/>
              <w:jc w:val="right"/>
              <w:rPr>
                <w:rFonts w:ascii="Arial" w:hAnsi="Arial" w:cs="Arial"/>
                <w:i/>
                <w:iCs/>
                <w:sz w:val="16"/>
                <w:szCs w:val="16"/>
              </w:rPr>
            </w:pPr>
            <w:r w:rsidRPr="00673C1F">
              <w:rPr>
                <w:rFonts w:ascii="Arial" w:hAnsi="Arial" w:cs="Arial"/>
                <w:i/>
                <w:iCs/>
                <w:sz w:val="16"/>
                <w:szCs w:val="16"/>
              </w:rPr>
              <w:t>1,400</w:t>
            </w:r>
          </w:p>
        </w:tc>
        <w:tc>
          <w:tcPr>
            <w:tcW w:w="741" w:type="pct"/>
            <w:tcBorders>
              <w:top w:val="nil"/>
              <w:left w:val="nil"/>
              <w:bottom w:val="single" w:sz="4" w:space="0" w:color="293F5B"/>
              <w:right w:val="nil"/>
            </w:tcBorders>
            <w:shd w:val="clear" w:color="auto" w:fill="auto"/>
            <w:noWrap/>
            <w:vAlign w:val="center"/>
            <w:hideMark/>
          </w:tcPr>
          <w:p w14:paraId="69B48592" w14:textId="77777777" w:rsidR="00996975" w:rsidRPr="00673C1F" w:rsidRDefault="00996975" w:rsidP="00996975">
            <w:pPr>
              <w:spacing w:before="0" w:after="0" w:line="240" w:lineRule="auto"/>
              <w:jc w:val="right"/>
              <w:rPr>
                <w:rFonts w:ascii="Arial" w:hAnsi="Arial" w:cs="Arial"/>
                <w:i/>
                <w:iCs/>
                <w:sz w:val="16"/>
                <w:szCs w:val="16"/>
              </w:rPr>
            </w:pPr>
            <w:r w:rsidRPr="00673C1F">
              <w:rPr>
                <w:rFonts w:ascii="Arial" w:hAnsi="Arial" w:cs="Arial"/>
                <w:i/>
                <w:iCs/>
                <w:sz w:val="16"/>
                <w:szCs w:val="16"/>
              </w:rPr>
              <w:t>5.6</w:t>
            </w:r>
          </w:p>
        </w:tc>
      </w:tr>
    </w:tbl>
    <w:p w14:paraId="5B1CA197" w14:textId="11DA9227" w:rsidR="00D513F8" w:rsidRPr="00673C1F" w:rsidRDefault="006D727E" w:rsidP="00D513F8">
      <w:pPr>
        <w:pStyle w:val="ChartandTableFootnoteAlpha"/>
        <w:numPr>
          <w:ilvl w:val="0"/>
          <w:numId w:val="37"/>
        </w:numPr>
        <w:rPr>
          <w:color w:val="auto"/>
        </w:rPr>
      </w:pPr>
      <w:r w:rsidRPr="00673C1F">
        <w:rPr>
          <w:color w:val="auto"/>
        </w:rPr>
        <w:t>‘</w:t>
      </w:r>
      <w:r w:rsidR="00356E70" w:rsidRPr="00673C1F">
        <w:rPr>
          <w:color w:val="auto"/>
        </w:rPr>
        <w:t>Other alcoholic beverages</w:t>
      </w:r>
      <w:r w:rsidRPr="00673C1F">
        <w:rPr>
          <w:color w:val="auto"/>
        </w:rPr>
        <w:t>’</w:t>
      </w:r>
      <w:r w:rsidR="00356E70" w:rsidRPr="00673C1F">
        <w:rPr>
          <w:color w:val="auto"/>
        </w:rPr>
        <w:t xml:space="preserve"> are those not exceeding 10</w:t>
      </w:r>
      <w:r w:rsidR="007B112E" w:rsidRPr="00673C1F">
        <w:rPr>
          <w:color w:val="auto"/>
        </w:rPr>
        <w:t> </w:t>
      </w:r>
      <w:r w:rsidR="00356E70" w:rsidRPr="00673C1F">
        <w:rPr>
          <w:color w:val="auto"/>
        </w:rPr>
        <w:t>per</w:t>
      </w:r>
      <w:r w:rsidR="007B112E" w:rsidRPr="00673C1F">
        <w:rPr>
          <w:color w:val="auto"/>
        </w:rPr>
        <w:t> </w:t>
      </w:r>
      <w:r w:rsidR="00356E70" w:rsidRPr="00673C1F">
        <w:rPr>
          <w:color w:val="auto"/>
        </w:rPr>
        <w:t xml:space="preserve">cent by volume of alcohol (excluding beer, brandy and wine). </w:t>
      </w:r>
    </w:p>
    <w:p w14:paraId="44A910D9" w14:textId="2C1E5DA0" w:rsidR="00356E70" w:rsidRPr="00673C1F" w:rsidRDefault="006D727E" w:rsidP="00DC2AAA">
      <w:pPr>
        <w:pStyle w:val="ChartandTableFootnoteAlpha"/>
        <w:rPr>
          <w:color w:val="auto"/>
        </w:rPr>
      </w:pPr>
      <w:r w:rsidRPr="00673C1F">
        <w:rPr>
          <w:color w:val="auto"/>
        </w:rPr>
        <w:t>‘</w:t>
      </w:r>
      <w:r w:rsidR="00356E70" w:rsidRPr="00673C1F">
        <w:rPr>
          <w:color w:val="auto"/>
        </w:rPr>
        <w:t>Capital gains tax</w:t>
      </w:r>
      <w:r w:rsidRPr="00673C1F">
        <w:rPr>
          <w:color w:val="auto"/>
        </w:rPr>
        <w:t>’</w:t>
      </w:r>
      <w:r w:rsidR="00356E70" w:rsidRPr="00673C1F">
        <w:rPr>
          <w:color w:val="auto"/>
        </w:rPr>
        <w:t xml:space="preserve"> is part of gross other individuals, company tax and superannuation fund taxes.</w:t>
      </w:r>
    </w:p>
    <w:p w14:paraId="04980470" w14:textId="77777777" w:rsidR="00DC2AAA" w:rsidRPr="00673C1F" w:rsidRDefault="00DC2AAA" w:rsidP="00AD3124">
      <w:pPr>
        <w:pStyle w:val="TableLine"/>
      </w:pPr>
    </w:p>
    <w:p w14:paraId="6FE6D284" w14:textId="0676AFA6" w:rsidR="003B54EA" w:rsidRPr="00673C1F" w:rsidRDefault="00356E70" w:rsidP="005E7F5A">
      <w:pPr>
        <w:pStyle w:val="TableHeading"/>
        <w:rPr>
          <w:rFonts w:asciiTheme="minorHAnsi" w:eastAsiaTheme="minorHAnsi" w:hAnsiTheme="minorHAnsi" w:cstheme="minorBidi"/>
          <w:sz w:val="22"/>
          <w:szCs w:val="22"/>
          <w:lang w:eastAsia="en-US"/>
        </w:rPr>
      </w:pPr>
      <w:r w:rsidRPr="00673C1F">
        <w:lastRenderedPageBreak/>
        <w:t>Table 5.6: Reconciliation of 202</w:t>
      </w:r>
      <w:r w:rsidR="00897C7F" w:rsidRPr="00673C1F">
        <w:t>4</w:t>
      </w:r>
      <w:r w:rsidRPr="00673C1F">
        <w:t>–2</w:t>
      </w:r>
      <w:r w:rsidR="00897C7F" w:rsidRPr="00673C1F">
        <w:t>5</w:t>
      </w:r>
      <w:r w:rsidRPr="00673C1F">
        <w:t xml:space="preserve"> general government (cash) receipt</w:t>
      </w:r>
      <w:r w:rsidR="00991E60" w:rsidRPr="00673C1F">
        <w:t>s</w:t>
      </w:r>
    </w:p>
    <w:tbl>
      <w:tblPr>
        <w:tblW w:w="5000" w:type="pct"/>
        <w:tblCellMar>
          <w:left w:w="0" w:type="dxa"/>
          <w:right w:w="28" w:type="dxa"/>
        </w:tblCellMar>
        <w:tblLook w:val="04A0" w:firstRow="1" w:lastRow="0" w:firstColumn="1" w:lastColumn="0" w:noHBand="0" w:noVBand="1"/>
      </w:tblPr>
      <w:tblGrid>
        <w:gridCol w:w="3085"/>
        <w:gridCol w:w="1135"/>
        <w:gridCol w:w="1135"/>
        <w:gridCol w:w="88"/>
        <w:gridCol w:w="1135"/>
        <w:gridCol w:w="1132"/>
      </w:tblGrid>
      <w:tr w:rsidR="003B54EA" w:rsidRPr="00673C1F" w14:paraId="077F4B35" w14:textId="77777777" w:rsidTr="003B54EA">
        <w:trPr>
          <w:trHeight w:hRule="exact" w:val="225"/>
        </w:trPr>
        <w:tc>
          <w:tcPr>
            <w:tcW w:w="2001" w:type="pct"/>
            <w:tcBorders>
              <w:top w:val="single" w:sz="4" w:space="0" w:color="293F5B"/>
              <w:left w:val="nil"/>
              <w:bottom w:val="nil"/>
              <w:right w:val="nil"/>
            </w:tcBorders>
            <w:shd w:val="clear" w:color="auto" w:fill="auto"/>
            <w:noWrap/>
            <w:vAlign w:val="center"/>
            <w:hideMark/>
          </w:tcPr>
          <w:p w14:paraId="6034035C" w14:textId="5F76E973"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 </w:t>
            </w:r>
          </w:p>
        </w:tc>
        <w:tc>
          <w:tcPr>
            <w:tcW w:w="1471" w:type="pct"/>
            <w:gridSpan w:val="2"/>
            <w:tcBorders>
              <w:top w:val="single" w:sz="4" w:space="0" w:color="293F5B"/>
              <w:left w:val="nil"/>
              <w:bottom w:val="nil"/>
              <w:right w:val="nil"/>
            </w:tcBorders>
            <w:shd w:val="clear" w:color="auto" w:fill="auto"/>
            <w:noWrap/>
            <w:vAlign w:val="center"/>
            <w:hideMark/>
          </w:tcPr>
          <w:p w14:paraId="4671C7AC" w14:textId="77777777" w:rsidR="003B54EA" w:rsidRPr="00673C1F" w:rsidRDefault="003B54EA" w:rsidP="003B54EA">
            <w:pPr>
              <w:spacing w:before="0" w:after="0" w:line="240" w:lineRule="auto"/>
              <w:jc w:val="center"/>
              <w:rPr>
                <w:rFonts w:ascii="Arial" w:hAnsi="Arial" w:cs="Arial"/>
                <w:sz w:val="16"/>
                <w:szCs w:val="16"/>
              </w:rPr>
            </w:pPr>
            <w:r w:rsidRPr="00673C1F">
              <w:rPr>
                <w:rFonts w:ascii="Arial" w:hAnsi="Arial" w:cs="Arial"/>
                <w:sz w:val="16"/>
                <w:szCs w:val="16"/>
              </w:rPr>
              <w:t>Estimates</w:t>
            </w:r>
          </w:p>
        </w:tc>
        <w:tc>
          <w:tcPr>
            <w:tcW w:w="57" w:type="pct"/>
            <w:tcBorders>
              <w:top w:val="single" w:sz="4" w:space="0" w:color="293F5B"/>
              <w:left w:val="nil"/>
              <w:bottom w:val="nil"/>
              <w:right w:val="nil"/>
            </w:tcBorders>
            <w:shd w:val="clear" w:color="auto" w:fill="auto"/>
            <w:noWrap/>
            <w:vAlign w:val="center"/>
            <w:hideMark/>
          </w:tcPr>
          <w:p w14:paraId="1605F6DE"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1471" w:type="pct"/>
            <w:gridSpan w:val="2"/>
            <w:tcBorders>
              <w:top w:val="single" w:sz="4" w:space="0" w:color="293F5B"/>
              <w:left w:val="nil"/>
              <w:bottom w:val="nil"/>
              <w:right w:val="nil"/>
            </w:tcBorders>
            <w:shd w:val="clear" w:color="auto" w:fill="auto"/>
            <w:noWrap/>
            <w:vAlign w:val="center"/>
            <w:hideMark/>
          </w:tcPr>
          <w:p w14:paraId="7DDC4CE8" w14:textId="77777777" w:rsidR="003B54EA" w:rsidRPr="00673C1F" w:rsidRDefault="003B54EA" w:rsidP="003B54EA">
            <w:pPr>
              <w:spacing w:before="0" w:after="0" w:line="240" w:lineRule="auto"/>
              <w:jc w:val="center"/>
              <w:rPr>
                <w:rFonts w:ascii="Arial" w:hAnsi="Arial" w:cs="Arial"/>
                <w:sz w:val="16"/>
                <w:szCs w:val="16"/>
              </w:rPr>
            </w:pPr>
            <w:r w:rsidRPr="00673C1F">
              <w:rPr>
                <w:rFonts w:ascii="Arial" w:hAnsi="Arial" w:cs="Arial"/>
                <w:sz w:val="16"/>
                <w:szCs w:val="16"/>
              </w:rPr>
              <w:t>Change on MYEFO</w:t>
            </w:r>
          </w:p>
        </w:tc>
      </w:tr>
      <w:tr w:rsidR="003B54EA" w:rsidRPr="00673C1F" w14:paraId="15DA4593" w14:textId="77777777" w:rsidTr="003B54EA">
        <w:trPr>
          <w:trHeight w:hRule="exact" w:val="225"/>
        </w:trPr>
        <w:tc>
          <w:tcPr>
            <w:tcW w:w="2001" w:type="pct"/>
            <w:tcBorders>
              <w:top w:val="nil"/>
              <w:left w:val="nil"/>
              <w:bottom w:val="nil"/>
              <w:right w:val="nil"/>
            </w:tcBorders>
            <w:shd w:val="clear" w:color="auto" w:fill="auto"/>
            <w:noWrap/>
            <w:vAlign w:val="center"/>
            <w:hideMark/>
          </w:tcPr>
          <w:p w14:paraId="3974EB86" w14:textId="77777777" w:rsidR="003B54EA" w:rsidRPr="00673C1F" w:rsidRDefault="003B54EA" w:rsidP="003B54EA">
            <w:pPr>
              <w:spacing w:before="0" w:after="0" w:line="240" w:lineRule="auto"/>
              <w:jc w:val="center"/>
              <w:rPr>
                <w:rFonts w:ascii="Arial" w:hAnsi="Arial" w:cs="Arial"/>
                <w:sz w:val="16"/>
                <w:szCs w:val="16"/>
              </w:rPr>
            </w:pPr>
          </w:p>
        </w:tc>
        <w:tc>
          <w:tcPr>
            <w:tcW w:w="736" w:type="pct"/>
            <w:tcBorders>
              <w:top w:val="single" w:sz="4" w:space="0" w:color="293F5B"/>
              <w:left w:val="nil"/>
              <w:bottom w:val="nil"/>
              <w:right w:val="nil"/>
            </w:tcBorders>
            <w:shd w:val="clear" w:color="000000" w:fill="FFFFFF"/>
            <w:noWrap/>
            <w:vAlign w:val="center"/>
            <w:hideMark/>
          </w:tcPr>
          <w:p w14:paraId="557C4128"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MYEFO</w:t>
            </w:r>
          </w:p>
        </w:tc>
        <w:tc>
          <w:tcPr>
            <w:tcW w:w="736" w:type="pct"/>
            <w:tcBorders>
              <w:top w:val="single" w:sz="4" w:space="0" w:color="293F5B"/>
              <w:left w:val="nil"/>
              <w:bottom w:val="nil"/>
              <w:right w:val="nil"/>
            </w:tcBorders>
            <w:shd w:val="clear" w:color="000000" w:fill="E6F2FF"/>
            <w:noWrap/>
            <w:vAlign w:val="center"/>
            <w:hideMark/>
          </w:tcPr>
          <w:p w14:paraId="1ADC6E54"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Budget</w:t>
            </w:r>
          </w:p>
        </w:tc>
        <w:tc>
          <w:tcPr>
            <w:tcW w:w="57" w:type="pct"/>
            <w:tcBorders>
              <w:top w:val="nil"/>
              <w:left w:val="nil"/>
              <w:bottom w:val="nil"/>
              <w:right w:val="nil"/>
            </w:tcBorders>
            <w:shd w:val="clear" w:color="auto" w:fill="auto"/>
            <w:noWrap/>
            <w:vAlign w:val="center"/>
            <w:hideMark/>
          </w:tcPr>
          <w:p w14:paraId="15815B58" w14:textId="77777777" w:rsidR="003B54EA" w:rsidRPr="00673C1F" w:rsidRDefault="003B54EA" w:rsidP="003B54EA">
            <w:pPr>
              <w:spacing w:before="0" w:after="0" w:line="240" w:lineRule="auto"/>
              <w:jc w:val="right"/>
              <w:rPr>
                <w:rFonts w:ascii="Arial" w:hAnsi="Arial" w:cs="Arial"/>
                <w:sz w:val="16"/>
                <w:szCs w:val="16"/>
              </w:rPr>
            </w:pPr>
          </w:p>
        </w:tc>
        <w:tc>
          <w:tcPr>
            <w:tcW w:w="736" w:type="pct"/>
            <w:tcBorders>
              <w:top w:val="single" w:sz="4" w:space="0" w:color="293F5B"/>
              <w:left w:val="nil"/>
              <w:bottom w:val="nil"/>
              <w:right w:val="nil"/>
            </w:tcBorders>
            <w:shd w:val="clear" w:color="auto" w:fill="auto"/>
            <w:noWrap/>
            <w:vAlign w:val="center"/>
            <w:hideMark/>
          </w:tcPr>
          <w:p w14:paraId="1E99F5BE"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6" w:type="pct"/>
            <w:tcBorders>
              <w:top w:val="single" w:sz="4" w:space="0" w:color="293F5B"/>
              <w:left w:val="nil"/>
              <w:bottom w:val="nil"/>
              <w:right w:val="nil"/>
            </w:tcBorders>
            <w:shd w:val="clear" w:color="auto" w:fill="auto"/>
            <w:noWrap/>
            <w:vAlign w:val="center"/>
            <w:hideMark/>
          </w:tcPr>
          <w:p w14:paraId="13754B66"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r>
      <w:tr w:rsidR="003B54EA" w:rsidRPr="00673C1F" w14:paraId="36983669" w14:textId="77777777" w:rsidTr="003B54EA">
        <w:trPr>
          <w:trHeight w:hRule="exact" w:val="225"/>
        </w:trPr>
        <w:tc>
          <w:tcPr>
            <w:tcW w:w="2001" w:type="pct"/>
            <w:tcBorders>
              <w:top w:val="nil"/>
              <w:left w:val="nil"/>
              <w:bottom w:val="nil"/>
              <w:right w:val="nil"/>
            </w:tcBorders>
            <w:shd w:val="clear" w:color="auto" w:fill="auto"/>
            <w:vAlign w:val="center"/>
            <w:hideMark/>
          </w:tcPr>
          <w:p w14:paraId="71ABD0BF" w14:textId="77777777" w:rsidR="003B54EA" w:rsidRPr="00673C1F" w:rsidRDefault="003B54EA" w:rsidP="003B54EA">
            <w:pPr>
              <w:spacing w:before="0" w:after="0" w:line="240" w:lineRule="auto"/>
              <w:jc w:val="right"/>
              <w:rPr>
                <w:rFonts w:ascii="Arial" w:hAnsi="Arial" w:cs="Arial"/>
                <w:sz w:val="16"/>
                <w:szCs w:val="16"/>
              </w:rPr>
            </w:pPr>
          </w:p>
        </w:tc>
        <w:tc>
          <w:tcPr>
            <w:tcW w:w="736" w:type="pct"/>
            <w:tcBorders>
              <w:top w:val="nil"/>
              <w:left w:val="nil"/>
              <w:bottom w:val="nil"/>
              <w:right w:val="nil"/>
            </w:tcBorders>
            <w:shd w:val="clear" w:color="auto" w:fill="auto"/>
            <w:vAlign w:val="center"/>
            <w:hideMark/>
          </w:tcPr>
          <w:p w14:paraId="67742000"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$m</w:t>
            </w:r>
          </w:p>
        </w:tc>
        <w:tc>
          <w:tcPr>
            <w:tcW w:w="736" w:type="pct"/>
            <w:tcBorders>
              <w:top w:val="nil"/>
              <w:left w:val="nil"/>
              <w:bottom w:val="nil"/>
              <w:right w:val="nil"/>
            </w:tcBorders>
            <w:shd w:val="clear" w:color="000000" w:fill="E6F2FF"/>
            <w:noWrap/>
            <w:vAlign w:val="center"/>
            <w:hideMark/>
          </w:tcPr>
          <w:p w14:paraId="6CFCA080"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$m</w:t>
            </w:r>
          </w:p>
        </w:tc>
        <w:tc>
          <w:tcPr>
            <w:tcW w:w="57" w:type="pct"/>
            <w:tcBorders>
              <w:top w:val="nil"/>
              <w:left w:val="nil"/>
              <w:bottom w:val="nil"/>
              <w:right w:val="nil"/>
            </w:tcBorders>
            <w:shd w:val="clear" w:color="auto" w:fill="auto"/>
            <w:vAlign w:val="center"/>
            <w:hideMark/>
          </w:tcPr>
          <w:p w14:paraId="32A63C0C" w14:textId="77777777" w:rsidR="003B54EA" w:rsidRPr="00673C1F" w:rsidRDefault="003B54EA" w:rsidP="003B54EA">
            <w:pPr>
              <w:spacing w:before="0" w:after="0" w:line="240" w:lineRule="auto"/>
              <w:jc w:val="right"/>
              <w:rPr>
                <w:rFonts w:ascii="Arial" w:hAnsi="Arial" w:cs="Arial"/>
                <w:sz w:val="16"/>
                <w:szCs w:val="16"/>
              </w:rPr>
            </w:pPr>
          </w:p>
        </w:tc>
        <w:tc>
          <w:tcPr>
            <w:tcW w:w="736" w:type="pct"/>
            <w:tcBorders>
              <w:top w:val="nil"/>
              <w:left w:val="nil"/>
              <w:bottom w:val="nil"/>
              <w:right w:val="nil"/>
            </w:tcBorders>
            <w:shd w:val="clear" w:color="auto" w:fill="auto"/>
            <w:vAlign w:val="center"/>
            <w:hideMark/>
          </w:tcPr>
          <w:p w14:paraId="2E5A616A"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$m</w:t>
            </w:r>
          </w:p>
        </w:tc>
        <w:tc>
          <w:tcPr>
            <w:tcW w:w="736" w:type="pct"/>
            <w:tcBorders>
              <w:top w:val="nil"/>
              <w:left w:val="nil"/>
              <w:bottom w:val="nil"/>
              <w:right w:val="nil"/>
            </w:tcBorders>
            <w:shd w:val="clear" w:color="auto" w:fill="auto"/>
            <w:vAlign w:val="center"/>
            <w:hideMark/>
          </w:tcPr>
          <w:p w14:paraId="5C57FD2B"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w:t>
            </w:r>
          </w:p>
        </w:tc>
      </w:tr>
      <w:tr w:rsidR="003B54EA" w:rsidRPr="00673C1F" w14:paraId="7B7DBED8" w14:textId="77777777" w:rsidTr="003B54EA">
        <w:trPr>
          <w:trHeight w:hRule="exact" w:val="225"/>
        </w:trPr>
        <w:tc>
          <w:tcPr>
            <w:tcW w:w="2001" w:type="pct"/>
            <w:tcBorders>
              <w:top w:val="nil"/>
              <w:left w:val="nil"/>
              <w:bottom w:val="nil"/>
              <w:right w:val="nil"/>
            </w:tcBorders>
            <w:shd w:val="clear" w:color="auto" w:fill="auto"/>
            <w:noWrap/>
            <w:vAlign w:val="center"/>
            <w:hideMark/>
          </w:tcPr>
          <w:p w14:paraId="086C212E"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Individuals and other withholding taxes</w:t>
            </w:r>
          </w:p>
        </w:tc>
        <w:tc>
          <w:tcPr>
            <w:tcW w:w="736" w:type="pct"/>
            <w:tcBorders>
              <w:top w:val="single" w:sz="4" w:space="0" w:color="293F5B"/>
              <w:left w:val="nil"/>
              <w:bottom w:val="nil"/>
              <w:right w:val="nil"/>
            </w:tcBorders>
            <w:shd w:val="clear" w:color="auto" w:fill="auto"/>
            <w:noWrap/>
            <w:vAlign w:val="center"/>
            <w:hideMark/>
          </w:tcPr>
          <w:p w14:paraId="37419CAE"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6" w:type="pct"/>
            <w:tcBorders>
              <w:top w:val="single" w:sz="4" w:space="0" w:color="293F5B"/>
              <w:left w:val="nil"/>
              <w:bottom w:val="nil"/>
              <w:right w:val="nil"/>
            </w:tcBorders>
            <w:shd w:val="clear" w:color="000000" w:fill="E6F2FF"/>
            <w:noWrap/>
            <w:vAlign w:val="center"/>
            <w:hideMark/>
          </w:tcPr>
          <w:p w14:paraId="6B24972D"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 </w:t>
            </w:r>
          </w:p>
        </w:tc>
        <w:tc>
          <w:tcPr>
            <w:tcW w:w="57" w:type="pct"/>
            <w:tcBorders>
              <w:top w:val="nil"/>
              <w:left w:val="nil"/>
              <w:bottom w:val="nil"/>
              <w:right w:val="nil"/>
            </w:tcBorders>
            <w:shd w:val="clear" w:color="auto" w:fill="auto"/>
            <w:noWrap/>
            <w:vAlign w:val="center"/>
            <w:hideMark/>
          </w:tcPr>
          <w:p w14:paraId="75C87CA0" w14:textId="77777777" w:rsidR="003B54EA" w:rsidRPr="00673C1F" w:rsidRDefault="003B54EA" w:rsidP="003B54EA">
            <w:pPr>
              <w:spacing w:before="0" w:after="0" w:line="240" w:lineRule="auto"/>
              <w:rPr>
                <w:rFonts w:ascii="Arial" w:hAnsi="Arial" w:cs="Arial"/>
                <w:sz w:val="16"/>
                <w:szCs w:val="16"/>
              </w:rPr>
            </w:pPr>
          </w:p>
        </w:tc>
        <w:tc>
          <w:tcPr>
            <w:tcW w:w="736" w:type="pct"/>
            <w:tcBorders>
              <w:top w:val="single" w:sz="4" w:space="0" w:color="293F5B"/>
              <w:left w:val="nil"/>
              <w:bottom w:val="nil"/>
              <w:right w:val="nil"/>
            </w:tcBorders>
            <w:shd w:val="clear" w:color="auto" w:fill="auto"/>
            <w:noWrap/>
            <w:vAlign w:val="center"/>
            <w:hideMark/>
          </w:tcPr>
          <w:p w14:paraId="2761F9E4" w14:textId="77777777" w:rsidR="003B54EA" w:rsidRPr="00673C1F" w:rsidRDefault="003B54EA" w:rsidP="003B54EA">
            <w:pPr>
              <w:spacing w:before="0" w:after="0" w:line="240" w:lineRule="auto"/>
              <w:rPr>
                <w:rFonts w:ascii="Arial" w:hAnsi="Arial" w:cs="Arial"/>
                <w:b/>
                <w:bCs/>
                <w:sz w:val="16"/>
                <w:szCs w:val="16"/>
              </w:rPr>
            </w:pPr>
            <w:r w:rsidRPr="00673C1F">
              <w:rPr>
                <w:rFonts w:ascii="Arial" w:hAnsi="Arial" w:cs="Arial"/>
                <w:b/>
                <w:bCs/>
                <w:sz w:val="16"/>
                <w:szCs w:val="16"/>
              </w:rPr>
              <w:t> </w:t>
            </w:r>
          </w:p>
        </w:tc>
        <w:tc>
          <w:tcPr>
            <w:tcW w:w="736" w:type="pct"/>
            <w:tcBorders>
              <w:top w:val="single" w:sz="4" w:space="0" w:color="293F5B"/>
              <w:left w:val="nil"/>
              <w:bottom w:val="nil"/>
              <w:right w:val="nil"/>
            </w:tcBorders>
            <w:shd w:val="clear" w:color="auto" w:fill="auto"/>
            <w:noWrap/>
            <w:vAlign w:val="center"/>
            <w:hideMark/>
          </w:tcPr>
          <w:p w14:paraId="74BC6BBA" w14:textId="77777777" w:rsidR="003B54EA" w:rsidRPr="00673C1F" w:rsidRDefault="003B54EA" w:rsidP="003B54EA">
            <w:pPr>
              <w:spacing w:before="0" w:after="0" w:line="240" w:lineRule="auto"/>
              <w:rPr>
                <w:rFonts w:ascii="Arial" w:hAnsi="Arial" w:cs="Arial"/>
                <w:b/>
                <w:bCs/>
                <w:sz w:val="16"/>
                <w:szCs w:val="16"/>
              </w:rPr>
            </w:pPr>
            <w:r w:rsidRPr="00673C1F">
              <w:rPr>
                <w:rFonts w:ascii="Arial" w:hAnsi="Arial" w:cs="Arial"/>
                <w:b/>
                <w:bCs/>
                <w:sz w:val="16"/>
                <w:szCs w:val="16"/>
              </w:rPr>
              <w:t> </w:t>
            </w:r>
          </w:p>
        </w:tc>
      </w:tr>
      <w:tr w:rsidR="003B54EA" w:rsidRPr="00673C1F" w14:paraId="7595DD7A" w14:textId="77777777" w:rsidTr="003B54EA">
        <w:trPr>
          <w:trHeight w:hRule="exact" w:val="225"/>
        </w:trPr>
        <w:tc>
          <w:tcPr>
            <w:tcW w:w="2001" w:type="pct"/>
            <w:tcBorders>
              <w:top w:val="nil"/>
              <w:left w:val="nil"/>
              <w:bottom w:val="nil"/>
              <w:right w:val="nil"/>
            </w:tcBorders>
            <w:shd w:val="clear" w:color="auto" w:fill="auto"/>
            <w:noWrap/>
            <w:vAlign w:val="center"/>
            <w:hideMark/>
          </w:tcPr>
          <w:p w14:paraId="220F6379" w14:textId="77777777" w:rsidR="003B54EA" w:rsidRPr="00673C1F" w:rsidRDefault="003B54EA" w:rsidP="003B54EA">
            <w:pPr>
              <w:spacing w:before="0" w:after="0" w:line="240" w:lineRule="auto"/>
              <w:ind w:left="170"/>
              <w:rPr>
                <w:rFonts w:ascii="Arial" w:hAnsi="Arial" w:cs="Arial"/>
                <w:sz w:val="16"/>
                <w:szCs w:val="16"/>
              </w:rPr>
            </w:pPr>
            <w:r w:rsidRPr="00673C1F">
              <w:rPr>
                <w:rFonts w:ascii="Arial" w:hAnsi="Arial" w:cs="Arial"/>
                <w:sz w:val="16"/>
                <w:szCs w:val="16"/>
              </w:rPr>
              <w:t>Gross income tax withholding</w:t>
            </w:r>
          </w:p>
        </w:tc>
        <w:tc>
          <w:tcPr>
            <w:tcW w:w="736" w:type="pct"/>
            <w:tcBorders>
              <w:top w:val="nil"/>
              <w:left w:val="nil"/>
              <w:bottom w:val="nil"/>
              <w:right w:val="nil"/>
            </w:tcBorders>
            <w:shd w:val="clear" w:color="auto" w:fill="auto"/>
            <w:noWrap/>
            <w:vAlign w:val="center"/>
            <w:hideMark/>
          </w:tcPr>
          <w:p w14:paraId="4367EE4D"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283,800</w:t>
            </w:r>
          </w:p>
        </w:tc>
        <w:tc>
          <w:tcPr>
            <w:tcW w:w="736" w:type="pct"/>
            <w:tcBorders>
              <w:top w:val="nil"/>
              <w:left w:val="nil"/>
              <w:bottom w:val="nil"/>
              <w:right w:val="nil"/>
            </w:tcBorders>
            <w:shd w:val="clear" w:color="000000" w:fill="E6F2FF"/>
            <w:noWrap/>
            <w:vAlign w:val="center"/>
            <w:hideMark/>
          </w:tcPr>
          <w:p w14:paraId="052DD58B"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290,300</w:t>
            </w:r>
          </w:p>
        </w:tc>
        <w:tc>
          <w:tcPr>
            <w:tcW w:w="57" w:type="pct"/>
            <w:tcBorders>
              <w:top w:val="nil"/>
              <w:left w:val="nil"/>
              <w:bottom w:val="nil"/>
              <w:right w:val="nil"/>
            </w:tcBorders>
            <w:shd w:val="clear" w:color="auto" w:fill="auto"/>
            <w:noWrap/>
            <w:vAlign w:val="center"/>
            <w:hideMark/>
          </w:tcPr>
          <w:p w14:paraId="4A65F99B" w14:textId="77777777" w:rsidR="003B54EA" w:rsidRPr="00673C1F" w:rsidRDefault="003B54EA" w:rsidP="003B54EA">
            <w:pPr>
              <w:spacing w:before="0" w:after="0" w:line="240" w:lineRule="auto"/>
              <w:jc w:val="right"/>
              <w:rPr>
                <w:rFonts w:ascii="Arial" w:hAnsi="Arial" w:cs="Arial"/>
                <w:sz w:val="16"/>
                <w:szCs w:val="16"/>
              </w:rPr>
            </w:pPr>
          </w:p>
        </w:tc>
        <w:tc>
          <w:tcPr>
            <w:tcW w:w="736" w:type="pct"/>
            <w:tcBorders>
              <w:top w:val="nil"/>
              <w:left w:val="nil"/>
              <w:bottom w:val="nil"/>
              <w:right w:val="nil"/>
            </w:tcBorders>
            <w:shd w:val="clear" w:color="auto" w:fill="auto"/>
            <w:noWrap/>
            <w:vAlign w:val="center"/>
            <w:hideMark/>
          </w:tcPr>
          <w:p w14:paraId="45258D6B"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6,500</w:t>
            </w:r>
          </w:p>
        </w:tc>
        <w:tc>
          <w:tcPr>
            <w:tcW w:w="736" w:type="pct"/>
            <w:tcBorders>
              <w:top w:val="nil"/>
              <w:left w:val="nil"/>
              <w:bottom w:val="nil"/>
              <w:right w:val="nil"/>
            </w:tcBorders>
            <w:shd w:val="clear" w:color="auto" w:fill="auto"/>
            <w:noWrap/>
            <w:vAlign w:val="center"/>
            <w:hideMark/>
          </w:tcPr>
          <w:p w14:paraId="4CAF211B"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2.3</w:t>
            </w:r>
          </w:p>
        </w:tc>
      </w:tr>
      <w:tr w:rsidR="003B54EA" w:rsidRPr="00673C1F" w14:paraId="24A01047" w14:textId="77777777" w:rsidTr="003B54EA">
        <w:trPr>
          <w:trHeight w:hRule="exact" w:val="225"/>
        </w:trPr>
        <w:tc>
          <w:tcPr>
            <w:tcW w:w="2001" w:type="pct"/>
            <w:tcBorders>
              <w:top w:val="nil"/>
              <w:left w:val="nil"/>
              <w:bottom w:val="nil"/>
              <w:right w:val="nil"/>
            </w:tcBorders>
            <w:shd w:val="clear" w:color="auto" w:fill="auto"/>
            <w:noWrap/>
            <w:vAlign w:val="center"/>
            <w:hideMark/>
          </w:tcPr>
          <w:p w14:paraId="115E74E7" w14:textId="77777777" w:rsidR="003B54EA" w:rsidRPr="00673C1F" w:rsidRDefault="003B54EA" w:rsidP="003B54EA">
            <w:pPr>
              <w:spacing w:before="0" w:after="0" w:line="240" w:lineRule="auto"/>
              <w:ind w:left="170"/>
              <w:rPr>
                <w:rFonts w:ascii="Arial" w:hAnsi="Arial" w:cs="Arial"/>
                <w:sz w:val="16"/>
                <w:szCs w:val="16"/>
              </w:rPr>
            </w:pPr>
            <w:r w:rsidRPr="00673C1F">
              <w:rPr>
                <w:rFonts w:ascii="Arial" w:hAnsi="Arial" w:cs="Arial"/>
                <w:sz w:val="16"/>
                <w:szCs w:val="16"/>
              </w:rPr>
              <w:t>Gross other individuals</w:t>
            </w:r>
          </w:p>
        </w:tc>
        <w:tc>
          <w:tcPr>
            <w:tcW w:w="736" w:type="pct"/>
            <w:tcBorders>
              <w:top w:val="nil"/>
              <w:left w:val="nil"/>
              <w:bottom w:val="nil"/>
              <w:right w:val="nil"/>
            </w:tcBorders>
            <w:shd w:val="clear" w:color="auto" w:fill="auto"/>
            <w:noWrap/>
            <w:vAlign w:val="center"/>
            <w:hideMark/>
          </w:tcPr>
          <w:p w14:paraId="6FB784D4"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73,800</w:t>
            </w:r>
          </w:p>
        </w:tc>
        <w:tc>
          <w:tcPr>
            <w:tcW w:w="736" w:type="pct"/>
            <w:tcBorders>
              <w:top w:val="nil"/>
              <w:left w:val="nil"/>
              <w:bottom w:val="nil"/>
              <w:right w:val="nil"/>
            </w:tcBorders>
            <w:shd w:val="clear" w:color="000000" w:fill="E6F2FF"/>
            <w:noWrap/>
            <w:vAlign w:val="center"/>
            <w:hideMark/>
          </w:tcPr>
          <w:p w14:paraId="6E6F9AB8"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76,800</w:t>
            </w:r>
          </w:p>
        </w:tc>
        <w:tc>
          <w:tcPr>
            <w:tcW w:w="57" w:type="pct"/>
            <w:tcBorders>
              <w:top w:val="nil"/>
              <w:left w:val="nil"/>
              <w:bottom w:val="nil"/>
              <w:right w:val="nil"/>
            </w:tcBorders>
            <w:shd w:val="clear" w:color="auto" w:fill="auto"/>
            <w:noWrap/>
            <w:vAlign w:val="center"/>
            <w:hideMark/>
          </w:tcPr>
          <w:p w14:paraId="4A8F7FA7" w14:textId="77777777" w:rsidR="003B54EA" w:rsidRPr="00673C1F" w:rsidRDefault="003B54EA" w:rsidP="003B54EA">
            <w:pPr>
              <w:spacing w:before="0" w:after="0" w:line="240" w:lineRule="auto"/>
              <w:jc w:val="right"/>
              <w:rPr>
                <w:rFonts w:ascii="Arial" w:hAnsi="Arial" w:cs="Arial"/>
                <w:sz w:val="16"/>
                <w:szCs w:val="16"/>
              </w:rPr>
            </w:pPr>
          </w:p>
        </w:tc>
        <w:tc>
          <w:tcPr>
            <w:tcW w:w="736" w:type="pct"/>
            <w:tcBorders>
              <w:top w:val="nil"/>
              <w:left w:val="nil"/>
              <w:bottom w:val="nil"/>
              <w:right w:val="nil"/>
            </w:tcBorders>
            <w:shd w:val="clear" w:color="auto" w:fill="auto"/>
            <w:noWrap/>
            <w:vAlign w:val="center"/>
            <w:hideMark/>
          </w:tcPr>
          <w:p w14:paraId="7E20F86A"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3,000</w:t>
            </w:r>
          </w:p>
        </w:tc>
        <w:tc>
          <w:tcPr>
            <w:tcW w:w="736" w:type="pct"/>
            <w:tcBorders>
              <w:top w:val="nil"/>
              <w:left w:val="nil"/>
              <w:bottom w:val="nil"/>
              <w:right w:val="nil"/>
            </w:tcBorders>
            <w:shd w:val="clear" w:color="auto" w:fill="auto"/>
            <w:noWrap/>
            <w:vAlign w:val="center"/>
            <w:hideMark/>
          </w:tcPr>
          <w:p w14:paraId="51E6F70A"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4.1</w:t>
            </w:r>
          </w:p>
        </w:tc>
      </w:tr>
      <w:tr w:rsidR="003B54EA" w:rsidRPr="00673C1F" w14:paraId="61BBC887" w14:textId="77777777" w:rsidTr="003B54EA">
        <w:trPr>
          <w:trHeight w:hRule="exact" w:val="225"/>
        </w:trPr>
        <w:tc>
          <w:tcPr>
            <w:tcW w:w="2001" w:type="pct"/>
            <w:tcBorders>
              <w:top w:val="nil"/>
              <w:left w:val="nil"/>
              <w:bottom w:val="nil"/>
              <w:right w:val="nil"/>
            </w:tcBorders>
            <w:shd w:val="clear" w:color="auto" w:fill="auto"/>
            <w:noWrap/>
            <w:vAlign w:val="center"/>
            <w:hideMark/>
          </w:tcPr>
          <w:p w14:paraId="2B9D3EDF" w14:textId="77777777" w:rsidR="003B54EA" w:rsidRPr="00673C1F" w:rsidRDefault="003B54EA" w:rsidP="003B54EA">
            <w:pPr>
              <w:spacing w:before="0" w:after="0" w:line="240" w:lineRule="auto"/>
              <w:ind w:left="170"/>
              <w:rPr>
                <w:rFonts w:ascii="Arial" w:hAnsi="Arial" w:cs="Arial"/>
                <w:i/>
                <w:iCs/>
                <w:sz w:val="16"/>
                <w:szCs w:val="16"/>
              </w:rPr>
            </w:pPr>
            <w:r w:rsidRPr="00673C1F">
              <w:rPr>
                <w:rFonts w:ascii="Arial" w:hAnsi="Arial" w:cs="Arial"/>
                <w:i/>
                <w:iCs/>
                <w:sz w:val="16"/>
                <w:szCs w:val="16"/>
              </w:rPr>
              <w:t xml:space="preserve">less: </w:t>
            </w:r>
            <w:r w:rsidRPr="00673C1F">
              <w:rPr>
                <w:rFonts w:ascii="Arial" w:hAnsi="Arial" w:cs="Arial"/>
                <w:sz w:val="16"/>
                <w:szCs w:val="16"/>
              </w:rPr>
              <w:t>Refunds</w:t>
            </w:r>
          </w:p>
        </w:tc>
        <w:tc>
          <w:tcPr>
            <w:tcW w:w="736" w:type="pct"/>
            <w:tcBorders>
              <w:top w:val="nil"/>
              <w:left w:val="nil"/>
              <w:bottom w:val="single" w:sz="4" w:space="0" w:color="293F5B"/>
              <w:right w:val="nil"/>
            </w:tcBorders>
            <w:shd w:val="clear" w:color="auto" w:fill="auto"/>
            <w:noWrap/>
            <w:vAlign w:val="center"/>
            <w:hideMark/>
          </w:tcPr>
          <w:p w14:paraId="4A81CB00"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39,100</w:t>
            </w:r>
          </w:p>
        </w:tc>
        <w:tc>
          <w:tcPr>
            <w:tcW w:w="736" w:type="pct"/>
            <w:tcBorders>
              <w:top w:val="nil"/>
              <w:left w:val="nil"/>
              <w:bottom w:val="single" w:sz="4" w:space="0" w:color="293F5B"/>
              <w:right w:val="nil"/>
            </w:tcBorders>
            <w:shd w:val="clear" w:color="000000" w:fill="E6F2FF"/>
            <w:noWrap/>
            <w:vAlign w:val="center"/>
            <w:hideMark/>
          </w:tcPr>
          <w:p w14:paraId="70559E9B"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40,600</w:t>
            </w:r>
          </w:p>
        </w:tc>
        <w:tc>
          <w:tcPr>
            <w:tcW w:w="57" w:type="pct"/>
            <w:tcBorders>
              <w:top w:val="nil"/>
              <w:left w:val="nil"/>
              <w:bottom w:val="nil"/>
              <w:right w:val="nil"/>
            </w:tcBorders>
            <w:shd w:val="clear" w:color="auto" w:fill="auto"/>
            <w:noWrap/>
            <w:vAlign w:val="center"/>
            <w:hideMark/>
          </w:tcPr>
          <w:p w14:paraId="1FB297D2" w14:textId="77777777" w:rsidR="003B54EA" w:rsidRPr="00673C1F" w:rsidRDefault="003B54EA" w:rsidP="003B54EA">
            <w:pPr>
              <w:spacing w:before="0" w:after="0" w:line="240" w:lineRule="auto"/>
              <w:jc w:val="right"/>
              <w:rPr>
                <w:rFonts w:ascii="Arial" w:hAnsi="Arial" w:cs="Arial"/>
                <w:sz w:val="16"/>
                <w:szCs w:val="16"/>
              </w:rPr>
            </w:pPr>
          </w:p>
        </w:tc>
        <w:tc>
          <w:tcPr>
            <w:tcW w:w="736" w:type="pct"/>
            <w:tcBorders>
              <w:top w:val="nil"/>
              <w:left w:val="nil"/>
              <w:bottom w:val="single" w:sz="4" w:space="0" w:color="293F5B"/>
              <w:right w:val="nil"/>
            </w:tcBorders>
            <w:shd w:val="clear" w:color="auto" w:fill="auto"/>
            <w:noWrap/>
            <w:vAlign w:val="center"/>
            <w:hideMark/>
          </w:tcPr>
          <w:p w14:paraId="21772257"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1,500</w:t>
            </w:r>
          </w:p>
        </w:tc>
        <w:tc>
          <w:tcPr>
            <w:tcW w:w="736" w:type="pct"/>
            <w:tcBorders>
              <w:top w:val="nil"/>
              <w:left w:val="nil"/>
              <w:bottom w:val="single" w:sz="4" w:space="0" w:color="293F5B"/>
              <w:right w:val="nil"/>
            </w:tcBorders>
            <w:shd w:val="clear" w:color="auto" w:fill="auto"/>
            <w:noWrap/>
            <w:vAlign w:val="center"/>
            <w:hideMark/>
          </w:tcPr>
          <w:p w14:paraId="726D2F48"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3.8</w:t>
            </w:r>
          </w:p>
        </w:tc>
      </w:tr>
      <w:tr w:rsidR="003B54EA" w:rsidRPr="00673C1F" w14:paraId="3D0401B0" w14:textId="77777777" w:rsidTr="003B54EA">
        <w:trPr>
          <w:trHeight w:hRule="exact" w:val="225"/>
        </w:trPr>
        <w:tc>
          <w:tcPr>
            <w:tcW w:w="2001" w:type="pct"/>
            <w:tcBorders>
              <w:top w:val="nil"/>
              <w:left w:val="nil"/>
              <w:bottom w:val="nil"/>
              <w:right w:val="nil"/>
            </w:tcBorders>
            <w:shd w:val="clear" w:color="auto" w:fill="auto"/>
            <w:noWrap/>
            <w:vAlign w:val="center"/>
            <w:hideMark/>
          </w:tcPr>
          <w:p w14:paraId="7C08C81E"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Total individuals and other withholding tax</w:t>
            </w:r>
          </w:p>
        </w:tc>
        <w:tc>
          <w:tcPr>
            <w:tcW w:w="736" w:type="pct"/>
            <w:tcBorders>
              <w:top w:val="nil"/>
              <w:left w:val="nil"/>
              <w:bottom w:val="nil"/>
              <w:right w:val="nil"/>
            </w:tcBorders>
            <w:shd w:val="clear" w:color="auto" w:fill="auto"/>
            <w:noWrap/>
            <w:vAlign w:val="center"/>
            <w:hideMark/>
          </w:tcPr>
          <w:p w14:paraId="77F2285F"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318,500</w:t>
            </w:r>
          </w:p>
        </w:tc>
        <w:tc>
          <w:tcPr>
            <w:tcW w:w="736" w:type="pct"/>
            <w:tcBorders>
              <w:top w:val="nil"/>
              <w:left w:val="nil"/>
              <w:bottom w:val="nil"/>
              <w:right w:val="nil"/>
            </w:tcBorders>
            <w:shd w:val="clear" w:color="000000" w:fill="E6F2FF"/>
            <w:noWrap/>
            <w:vAlign w:val="center"/>
            <w:hideMark/>
          </w:tcPr>
          <w:p w14:paraId="2003BFEC"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326,500</w:t>
            </w:r>
          </w:p>
        </w:tc>
        <w:tc>
          <w:tcPr>
            <w:tcW w:w="57" w:type="pct"/>
            <w:tcBorders>
              <w:top w:val="nil"/>
              <w:left w:val="nil"/>
              <w:bottom w:val="nil"/>
              <w:right w:val="nil"/>
            </w:tcBorders>
            <w:shd w:val="clear" w:color="auto" w:fill="auto"/>
            <w:noWrap/>
            <w:vAlign w:val="center"/>
            <w:hideMark/>
          </w:tcPr>
          <w:p w14:paraId="4AE67A81" w14:textId="77777777" w:rsidR="003B54EA" w:rsidRPr="00673C1F" w:rsidRDefault="003B54EA" w:rsidP="003B54EA">
            <w:pPr>
              <w:spacing w:before="0" w:after="0" w:line="240" w:lineRule="auto"/>
              <w:jc w:val="right"/>
              <w:rPr>
                <w:rFonts w:ascii="Arial" w:hAnsi="Arial" w:cs="Arial"/>
                <w:sz w:val="16"/>
                <w:szCs w:val="16"/>
              </w:rPr>
            </w:pPr>
          </w:p>
        </w:tc>
        <w:tc>
          <w:tcPr>
            <w:tcW w:w="736" w:type="pct"/>
            <w:tcBorders>
              <w:top w:val="nil"/>
              <w:left w:val="nil"/>
              <w:bottom w:val="nil"/>
              <w:right w:val="nil"/>
            </w:tcBorders>
            <w:shd w:val="clear" w:color="auto" w:fill="auto"/>
            <w:noWrap/>
            <w:vAlign w:val="center"/>
            <w:hideMark/>
          </w:tcPr>
          <w:p w14:paraId="06F6826E"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8,000</w:t>
            </w:r>
          </w:p>
        </w:tc>
        <w:tc>
          <w:tcPr>
            <w:tcW w:w="736" w:type="pct"/>
            <w:tcBorders>
              <w:top w:val="nil"/>
              <w:left w:val="nil"/>
              <w:bottom w:val="nil"/>
              <w:right w:val="nil"/>
            </w:tcBorders>
            <w:shd w:val="clear" w:color="auto" w:fill="auto"/>
            <w:noWrap/>
            <w:vAlign w:val="center"/>
            <w:hideMark/>
          </w:tcPr>
          <w:p w14:paraId="39F66817"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2.5</w:t>
            </w:r>
          </w:p>
        </w:tc>
      </w:tr>
      <w:tr w:rsidR="003B54EA" w:rsidRPr="00673C1F" w14:paraId="4C644B5F" w14:textId="77777777" w:rsidTr="003B54EA">
        <w:trPr>
          <w:trHeight w:hRule="exact" w:val="225"/>
        </w:trPr>
        <w:tc>
          <w:tcPr>
            <w:tcW w:w="2001" w:type="pct"/>
            <w:tcBorders>
              <w:top w:val="nil"/>
              <w:left w:val="nil"/>
              <w:bottom w:val="nil"/>
              <w:right w:val="nil"/>
            </w:tcBorders>
            <w:shd w:val="clear" w:color="auto" w:fill="auto"/>
            <w:noWrap/>
            <w:vAlign w:val="center"/>
            <w:hideMark/>
          </w:tcPr>
          <w:p w14:paraId="5DC193C7"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Fringe benefits tax</w:t>
            </w:r>
          </w:p>
        </w:tc>
        <w:tc>
          <w:tcPr>
            <w:tcW w:w="736" w:type="pct"/>
            <w:tcBorders>
              <w:top w:val="nil"/>
              <w:left w:val="nil"/>
              <w:bottom w:val="nil"/>
              <w:right w:val="nil"/>
            </w:tcBorders>
            <w:shd w:val="clear" w:color="auto" w:fill="auto"/>
            <w:noWrap/>
            <w:vAlign w:val="center"/>
            <w:hideMark/>
          </w:tcPr>
          <w:p w14:paraId="664F2723"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4,130</w:t>
            </w:r>
          </w:p>
        </w:tc>
        <w:tc>
          <w:tcPr>
            <w:tcW w:w="736" w:type="pct"/>
            <w:tcBorders>
              <w:top w:val="nil"/>
              <w:left w:val="nil"/>
              <w:bottom w:val="nil"/>
              <w:right w:val="nil"/>
            </w:tcBorders>
            <w:shd w:val="clear" w:color="000000" w:fill="E6F2FF"/>
            <w:noWrap/>
            <w:vAlign w:val="center"/>
            <w:hideMark/>
          </w:tcPr>
          <w:p w14:paraId="059D4E7F"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4,210</w:t>
            </w:r>
          </w:p>
        </w:tc>
        <w:tc>
          <w:tcPr>
            <w:tcW w:w="57" w:type="pct"/>
            <w:tcBorders>
              <w:top w:val="nil"/>
              <w:left w:val="nil"/>
              <w:bottom w:val="nil"/>
              <w:right w:val="nil"/>
            </w:tcBorders>
            <w:shd w:val="clear" w:color="auto" w:fill="auto"/>
            <w:noWrap/>
            <w:vAlign w:val="center"/>
            <w:hideMark/>
          </w:tcPr>
          <w:p w14:paraId="7ED91D5F" w14:textId="77777777" w:rsidR="003B54EA" w:rsidRPr="00673C1F" w:rsidRDefault="003B54EA" w:rsidP="003B54EA">
            <w:pPr>
              <w:spacing w:before="0" w:after="0" w:line="240" w:lineRule="auto"/>
              <w:jc w:val="right"/>
              <w:rPr>
                <w:rFonts w:ascii="Arial" w:hAnsi="Arial" w:cs="Arial"/>
                <w:sz w:val="16"/>
                <w:szCs w:val="16"/>
              </w:rPr>
            </w:pPr>
          </w:p>
        </w:tc>
        <w:tc>
          <w:tcPr>
            <w:tcW w:w="736" w:type="pct"/>
            <w:tcBorders>
              <w:top w:val="nil"/>
              <w:left w:val="nil"/>
              <w:bottom w:val="nil"/>
              <w:right w:val="nil"/>
            </w:tcBorders>
            <w:shd w:val="clear" w:color="auto" w:fill="auto"/>
            <w:noWrap/>
            <w:vAlign w:val="center"/>
            <w:hideMark/>
          </w:tcPr>
          <w:p w14:paraId="6A48D167"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80</w:t>
            </w:r>
          </w:p>
        </w:tc>
        <w:tc>
          <w:tcPr>
            <w:tcW w:w="736" w:type="pct"/>
            <w:tcBorders>
              <w:top w:val="nil"/>
              <w:left w:val="nil"/>
              <w:bottom w:val="nil"/>
              <w:right w:val="nil"/>
            </w:tcBorders>
            <w:shd w:val="clear" w:color="auto" w:fill="auto"/>
            <w:noWrap/>
            <w:vAlign w:val="center"/>
            <w:hideMark/>
          </w:tcPr>
          <w:p w14:paraId="06963B0E"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1.9</w:t>
            </w:r>
          </w:p>
        </w:tc>
      </w:tr>
      <w:tr w:rsidR="003B54EA" w:rsidRPr="00673C1F" w14:paraId="45C26E33" w14:textId="77777777" w:rsidTr="003B54EA">
        <w:trPr>
          <w:trHeight w:hRule="exact" w:val="225"/>
        </w:trPr>
        <w:tc>
          <w:tcPr>
            <w:tcW w:w="2001" w:type="pct"/>
            <w:tcBorders>
              <w:top w:val="nil"/>
              <w:left w:val="nil"/>
              <w:bottom w:val="nil"/>
              <w:right w:val="nil"/>
            </w:tcBorders>
            <w:shd w:val="clear" w:color="auto" w:fill="auto"/>
            <w:noWrap/>
            <w:vAlign w:val="center"/>
            <w:hideMark/>
          </w:tcPr>
          <w:p w14:paraId="3EAC59B2"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Company tax</w:t>
            </w:r>
          </w:p>
        </w:tc>
        <w:tc>
          <w:tcPr>
            <w:tcW w:w="736" w:type="pct"/>
            <w:tcBorders>
              <w:top w:val="nil"/>
              <w:left w:val="nil"/>
              <w:bottom w:val="nil"/>
              <w:right w:val="nil"/>
            </w:tcBorders>
            <w:shd w:val="clear" w:color="auto" w:fill="auto"/>
            <w:noWrap/>
            <w:vAlign w:val="center"/>
            <w:hideMark/>
          </w:tcPr>
          <w:p w14:paraId="74F9E7DD"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133,600</w:t>
            </w:r>
          </w:p>
        </w:tc>
        <w:tc>
          <w:tcPr>
            <w:tcW w:w="736" w:type="pct"/>
            <w:tcBorders>
              <w:top w:val="nil"/>
              <w:left w:val="nil"/>
              <w:bottom w:val="nil"/>
              <w:right w:val="nil"/>
            </w:tcBorders>
            <w:shd w:val="clear" w:color="000000" w:fill="E6F2FF"/>
            <w:noWrap/>
            <w:vAlign w:val="center"/>
            <w:hideMark/>
          </w:tcPr>
          <w:p w14:paraId="32410033"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139,100</w:t>
            </w:r>
          </w:p>
        </w:tc>
        <w:tc>
          <w:tcPr>
            <w:tcW w:w="57" w:type="pct"/>
            <w:tcBorders>
              <w:top w:val="nil"/>
              <w:left w:val="nil"/>
              <w:bottom w:val="nil"/>
              <w:right w:val="nil"/>
            </w:tcBorders>
            <w:shd w:val="clear" w:color="auto" w:fill="auto"/>
            <w:noWrap/>
            <w:vAlign w:val="center"/>
            <w:hideMark/>
          </w:tcPr>
          <w:p w14:paraId="02B16233" w14:textId="77777777" w:rsidR="003B54EA" w:rsidRPr="00673C1F" w:rsidRDefault="003B54EA" w:rsidP="003B54EA">
            <w:pPr>
              <w:spacing w:before="0" w:after="0" w:line="240" w:lineRule="auto"/>
              <w:jc w:val="right"/>
              <w:rPr>
                <w:rFonts w:ascii="Arial" w:hAnsi="Arial" w:cs="Arial"/>
                <w:sz w:val="16"/>
                <w:szCs w:val="16"/>
              </w:rPr>
            </w:pPr>
          </w:p>
        </w:tc>
        <w:tc>
          <w:tcPr>
            <w:tcW w:w="736" w:type="pct"/>
            <w:tcBorders>
              <w:top w:val="nil"/>
              <w:left w:val="nil"/>
              <w:bottom w:val="nil"/>
              <w:right w:val="nil"/>
            </w:tcBorders>
            <w:shd w:val="clear" w:color="auto" w:fill="auto"/>
            <w:noWrap/>
            <w:vAlign w:val="center"/>
            <w:hideMark/>
          </w:tcPr>
          <w:p w14:paraId="6A10DE72"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5,500</w:t>
            </w:r>
          </w:p>
        </w:tc>
        <w:tc>
          <w:tcPr>
            <w:tcW w:w="736" w:type="pct"/>
            <w:tcBorders>
              <w:top w:val="nil"/>
              <w:left w:val="nil"/>
              <w:bottom w:val="nil"/>
              <w:right w:val="nil"/>
            </w:tcBorders>
            <w:shd w:val="clear" w:color="auto" w:fill="auto"/>
            <w:noWrap/>
            <w:vAlign w:val="center"/>
            <w:hideMark/>
          </w:tcPr>
          <w:p w14:paraId="2432A3CB"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4.1</w:t>
            </w:r>
          </w:p>
        </w:tc>
      </w:tr>
      <w:tr w:rsidR="003B54EA" w:rsidRPr="00673C1F" w14:paraId="1C94FE7A" w14:textId="77777777" w:rsidTr="003B54EA">
        <w:trPr>
          <w:trHeight w:hRule="exact" w:val="225"/>
        </w:trPr>
        <w:tc>
          <w:tcPr>
            <w:tcW w:w="2001" w:type="pct"/>
            <w:tcBorders>
              <w:top w:val="nil"/>
              <w:left w:val="nil"/>
              <w:bottom w:val="nil"/>
              <w:right w:val="nil"/>
            </w:tcBorders>
            <w:shd w:val="clear" w:color="auto" w:fill="auto"/>
            <w:noWrap/>
            <w:vAlign w:val="center"/>
            <w:hideMark/>
          </w:tcPr>
          <w:p w14:paraId="4F0A70FE"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Superannuation fund taxes</w:t>
            </w:r>
          </w:p>
        </w:tc>
        <w:tc>
          <w:tcPr>
            <w:tcW w:w="736" w:type="pct"/>
            <w:tcBorders>
              <w:top w:val="nil"/>
              <w:left w:val="nil"/>
              <w:bottom w:val="nil"/>
              <w:right w:val="nil"/>
            </w:tcBorders>
            <w:shd w:val="clear" w:color="auto" w:fill="auto"/>
            <w:noWrap/>
            <w:vAlign w:val="center"/>
            <w:hideMark/>
          </w:tcPr>
          <w:p w14:paraId="5E9DB1A3"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23,160</w:t>
            </w:r>
          </w:p>
        </w:tc>
        <w:tc>
          <w:tcPr>
            <w:tcW w:w="736" w:type="pct"/>
            <w:tcBorders>
              <w:top w:val="nil"/>
              <w:left w:val="nil"/>
              <w:bottom w:val="nil"/>
              <w:right w:val="nil"/>
            </w:tcBorders>
            <w:shd w:val="clear" w:color="000000" w:fill="E6F2FF"/>
            <w:noWrap/>
            <w:vAlign w:val="center"/>
            <w:hideMark/>
          </w:tcPr>
          <w:p w14:paraId="62B4B399"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19,810</w:t>
            </w:r>
          </w:p>
        </w:tc>
        <w:tc>
          <w:tcPr>
            <w:tcW w:w="57" w:type="pct"/>
            <w:tcBorders>
              <w:top w:val="nil"/>
              <w:left w:val="nil"/>
              <w:bottom w:val="nil"/>
              <w:right w:val="nil"/>
            </w:tcBorders>
            <w:shd w:val="clear" w:color="auto" w:fill="auto"/>
            <w:noWrap/>
            <w:vAlign w:val="center"/>
            <w:hideMark/>
          </w:tcPr>
          <w:p w14:paraId="495AD850" w14:textId="77777777" w:rsidR="003B54EA" w:rsidRPr="00673C1F" w:rsidRDefault="003B54EA" w:rsidP="003B54EA">
            <w:pPr>
              <w:spacing w:before="0" w:after="0" w:line="240" w:lineRule="auto"/>
              <w:jc w:val="right"/>
              <w:rPr>
                <w:rFonts w:ascii="Arial" w:hAnsi="Arial" w:cs="Arial"/>
                <w:sz w:val="16"/>
                <w:szCs w:val="16"/>
              </w:rPr>
            </w:pPr>
          </w:p>
        </w:tc>
        <w:tc>
          <w:tcPr>
            <w:tcW w:w="736" w:type="pct"/>
            <w:tcBorders>
              <w:top w:val="nil"/>
              <w:left w:val="nil"/>
              <w:bottom w:val="nil"/>
              <w:right w:val="nil"/>
            </w:tcBorders>
            <w:shd w:val="clear" w:color="auto" w:fill="auto"/>
            <w:noWrap/>
            <w:vAlign w:val="center"/>
            <w:hideMark/>
          </w:tcPr>
          <w:p w14:paraId="3D2945D6" w14:textId="6BEB77E3"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3,350</w:t>
            </w:r>
          </w:p>
        </w:tc>
        <w:tc>
          <w:tcPr>
            <w:tcW w:w="736" w:type="pct"/>
            <w:tcBorders>
              <w:top w:val="nil"/>
              <w:left w:val="nil"/>
              <w:bottom w:val="nil"/>
              <w:right w:val="nil"/>
            </w:tcBorders>
            <w:shd w:val="clear" w:color="auto" w:fill="auto"/>
            <w:noWrap/>
            <w:vAlign w:val="center"/>
            <w:hideMark/>
          </w:tcPr>
          <w:p w14:paraId="7368F53C" w14:textId="51073ADF"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14.5</w:t>
            </w:r>
          </w:p>
        </w:tc>
      </w:tr>
      <w:tr w:rsidR="003B54EA" w:rsidRPr="00673C1F" w14:paraId="1F6C5DF2" w14:textId="77777777" w:rsidTr="003B54EA">
        <w:trPr>
          <w:trHeight w:hRule="exact" w:val="225"/>
        </w:trPr>
        <w:tc>
          <w:tcPr>
            <w:tcW w:w="2001" w:type="pct"/>
            <w:tcBorders>
              <w:top w:val="nil"/>
              <w:left w:val="nil"/>
              <w:bottom w:val="nil"/>
              <w:right w:val="nil"/>
            </w:tcBorders>
            <w:shd w:val="clear" w:color="auto" w:fill="auto"/>
            <w:noWrap/>
            <w:vAlign w:val="center"/>
            <w:hideMark/>
          </w:tcPr>
          <w:p w14:paraId="1AF35594"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Petroleum resource rent tax</w:t>
            </w:r>
          </w:p>
        </w:tc>
        <w:tc>
          <w:tcPr>
            <w:tcW w:w="736" w:type="pct"/>
            <w:tcBorders>
              <w:top w:val="nil"/>
              <w:left w:val="nil"/>
              <w:bottom w:val="nil"/>
              <w:right w:val="nil"/>
            </w:tcBorders>
            <w:shd w:val="clear" w:color="auto" w:fill="auto"/>
            <w:noWrap/>
            <w:vAlign w:val="center"/>
            <w:hideMark/>
          </w:tcPr>
          <w:p w14:paraId="0426DEA5"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2,250</w:t>
            </w:r>
          </w:p>
        </w:tc>
        <w:tc>
          <w:tcPr>
            <w:tcW w:w="736" w:type="pct"/>
            <w:tcBorders>
              <w:top w:val="nil"/>
              <w:left w:val="nil"/>
              <w:bottom w:val="nil"/>
              <w:right w:val="nil"/>
            </w:tcBorders>
            <w:shd w:val="clear" w:color="000000" w:fill="E6F2FF"/>
            <w:noWrap/>
            <w:vAlign w:val="center"/>
            <w:hideMark/>
          </w:tcPr>
          <w:p w14:paraId="6238052E"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2,650</w:t>
            </w:r>
          </w:p>
        </w:tc>
        <w:tc>
          <w:tcPr>
            <w:tcW w:w="57" w:type="pct"/>
            <w:tcBorders>
              <w:top w:val="nil"/>
              <w:left w:val="nil"/>
              <w:bottom w:val="nil"/>
              <w:right w:val="nil"/>
            </w:tcBorders>
            <w:shd w:val="clear" w:color="auto" w:fill="auto"/>
            <w:noWrap/>
            <w:vAlign w:val="center"/>
            <w:hideMark/>
          </w:tcPr>
          <w:p w14:paraId="1A2B9A1E" w14:textId="77777777" w:rsidR="003B54EA" w:rsidRPr="00673C1F" w:rsidRDefault="003B54EA" w:rsidP="003B54EA">
            <w:pPr>
              <w:spacing w:before="0" w:after="0" w:line="240" w:lineRule="auto"/>
              <w:jc w:val="right"/>
              <w:rPr>
                <w:rFonts w:ascii="Arial" w:hAnsi="Arial" w:cs="Arial"/>
                <w:sz w:val="16"/>
                <w:szCs w:val="16"/>
              </w:rPr>
            </w:pPr>
          </w:p>
        </w:tc>
        <w:tc>
          <w:tcPr>
            <w:tcW w:w="736" w:type="pct"/>
            <w:tcBorders>
              <w:top w:val="nil"/>
              <w:left w:val="nil"/>
              <w:bottom w:val="nil"/>
              <w:right w:val="nil"/>
            </w:tcBorders>
            <w:shd w:val="clear" w:color="auto" w:fill="auto"/>
            <w:noWrap/>
            <w:vAlign w:val="center"/>
            <w:hideMark/>
          </w:tcPr>
          <w:p w14:paraId="15C433AA"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400</w:t>
            </w:r>
          </w:p>
        </w:tc>
        <w:tc>
          <w:tcPr>
            <w:tcW w:w="736" w:type="pct"/>
            <w:tcBorders>
              <w:top w:val="nil"/>
              <w:left w:val="nil"/>
              <w:bottom w:val="nil"/>
              <w:right w:val="nil"/>
            </w:tcBorders>
            <w:shd w:val="clear" w:color="auto" w:fill="auto"/>
            <w:noWrap/>
            <w:vAlign w:val="center"/>
            <w:hideMark/>
          </w:tcPr>
          <w:p w14:paraId="22FEAE2B"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17.8</w:t>
            </w:r>
          </w:p>
        </w:tc>
      </w:tr>
      <w:tr w:rsidR="003B54EA" w:rsidRPr="00673C1F" w14:paraId="0FC4088A" w14:textId="77777777" w:rsidTr="003B54EA">
        <w:trPr>
          <w:trHeight w:hRule="exact" w:val="225"/>
        </w:trPr>
        <w:tc>
          <w:tcPr>
            <w:tcW w:w="2001" w:type="pct"/>
            <w:tcBorders>
              <w:top w:val="nil"/>
              <w:left w:val="nil"/>
              <w:bottom w:val="nil"/>
              <w:right w:val="nil"/>
            </w:tcBorders>
            <w:shd w:val="clear" w:color="auto" w:fill="auto"/>
            <w:noWrap/>
            <w:vAlign w:val="center"/>
            <w:hideMark/>
          </w:tcPr>
          <w:p w14:paraId="1B5CDAD8" w14:textId="77777777" w:rsidR="003B54EA" w:rsidRPr="00673C1F" w:rsidRDefault="003B54EA" w:rsidP="003B54EA">
            <w:pPr>
              <w:spacing w:before="0" w:after="0" w:line="240" w:lineRule="auto"/>
              <w:rPr>
                <w:rFonts w:ascii="Arial" w:hAnsi="Arial" w:cs="Arial"/>
                <w:b/>
                <w:bCs/>
                <w:sz w:val="16"/>
                <w:szCs w:val="16"/>
              </w:rPr>
            </w:pPr>
            <w:r w:rsidRPr="00673C1F">
              <w:rPr>
                <w:rFonts w:ascii="Arial" w:hAnsi="Arial" w:cs="Arial"/>
                <w:b/>
                <w:bCs/>
                <w:sz w:val="16"/>
                <w:szCs w:val="16"/>
              </w:rPr>
              <w:t>Income taxation receipts</w:t>
            </w:r>
          </w:p>
        </w:tc>
        <w:tc>
          <w:tcPr>
            <w:tcW w:w="736" w:type="pct"/>
            <w:tcBorders>
              <w:top w:val="single" w:sz="4" w:space="0" w:color="293F5B"/>
              <w:left w:val="nil"/>
              <w:bottom w:val="single" w:sz="4" w:space="0" w:color="293F5B"/>
              <w:right w:val="nil"/>
            </w:tcBorders>
            <w:shd w:val="clear" w:color="auto" w:fill="auto"/>
            <w:noWrap/>
            <w:vAlign w:val="center"/>
            <w:hideMark/>
          </w:tcPr>
          <w:p w14:paraId="54444059"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481,640</w:t>
            </w:r>
          </w:p>
        </w:tc>
        <w:tc>
          <w:tcPr>
            <w:tcW w:w="736" w:type="pct"/>
            <w:tcBorders>
              <w:top w:val="single" w:sz="4" w:space="0" w:color="293F5B"/>
              <w:left w:val="nil"/>
              <w:bottom w:val="single" w:sz="4" w:space="0" w:color="293F5B"/>
              <w:right w:val="nil"/>
            </w:tcBorders>
            <w:shd w:val="clear" w:color="000000" w:fill="E6F2FF"/>
            <w:noWrap/>
            <w:vAlign w:val="center"/>
            <w:hideMark/>
          </w:tcPr>
          <w:p w14:paraId="596572CB"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492,270</w:t>
            </w:r>
          </w:p>
        </w:tc>
        <w:tc>
          <w:tcPr>
            <w:tcW w:w="57" w:type="pct"/>
            <w:tcBorders>
              <w:top w:val="nil"/>
              <w:left w:val="nil"/>
              <w:bottom w:val="nil"/>
              <w:right w:val="nil"/>
            </w:tcBorders>
            <w:shd w:val="clear" w:color="auto" w:fill="auto"/>
            <w:noWrap/>
            <w:vAlign w:val="center"/>
            <w:hideMark/>
          </w:tcPr>
          <w:p w14:paraId="23F1B522" w14:textId="77777777" w:rsidR="003B54EA" w:rsidRPr="00673C1F" w:rsidRDefault="003B54EA" w:rsidP="003B54EA">
            <w:pPr>
              <w:spacing w:before="0" w:after="0" w:line="240" w:lineRule="auto"/>
              <w:jc w:val="right"/>
              <w:rPr>
                <w:rFonts w:ascii="Arial" w:hAnsi="Arial" w:cs="Arial"/>
                <w:b/>
                <w:bCs/>
                <w:sz w:val="16"/>
                <w:szCs w:val="16"/>
              </w:rPr>
            </w:pPr>
          </w:p>
        </w:tc>
        <w:tc>
          <w:tcPr>
            <w:tcW w:w="736" w:type="pct"/>
            <w:tcBorders>
              <w:top w:val="single" w:sz="4" w:space="0" w:color="293F5B"/>
              <w:left w:val="nil"/>
              <w:bottom w:val="single" w:sz="4" w:space="0" w:color="293F5B"/>
              <w:right w:val="nil"/>
            </w:tcBorders>
            <w:shd w:val="clear" w:color="auto" w:fill="auto"/>
            <w:noWrap/>
            <w:vAlign w:val="center"/>
            <w:hideMark/>
          </w:tcPr>
          <w:p w14:paraId="0ABE9599"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10,630</w:t>
            </w:r>
          </w:p>
        </w:tc>
        <w:tc>
          <w:tcPr>
            <w:tcW w:w="736" w:type="pct"/>
            <w:tcBorders>
              <w:top w:val="single" w:sz="4" w:space="0" w:color="293F5B"/>
              <w:left w:val="nil"/>
              <w:bottom w:val="single" w:sz="4" w:space="0" w:color="293F5B"/>
              <w:right w:val="nil"/>
            </w:tcBorders>
            <w:shd w:val="clear" w:color="auto" w:fill="auto"/>
            <w:noWrap/>
            <w:vAlign w:val="center"/>
            <w:hideMark/>
          </w:tcPr>
          <w:p w14:paraId="4C7DC38E"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2.2</w:t>
            </w:r>
          </w:p>
        </w:tc>
      </w:tr>
      <w:tr w:rsidR="003B54EA" w:rsidRPr="00673C1F" w14:paraId="57A3BC04" w14:textId="77777777" w:rsidTr="003B54EA">
        <w:trPr>
          <w:trHeight w:hRule="exact" w:val="225"/>
        </w:trPr>
        <w:tc>
          <w:tcPr>
            <w:tcW w:w="2001" w:type="pct"/>
            <w:tcBorders>
              <w:top w:val="nil"/>
              <w:left w:val="nil"/>
              <w:bottom w:val="nil"/>
              <w:right w:val="nil"/>
            </w:tcBorders>
            <w:shd w:val="clear" w:color="auto" w:fill="auto"/>
            <w:noWrap/>
            <w:vAlign w:val="center"/>
            <w:hideMark/>
          </w:tcPr>
          <w:p w14:paraId="6E884376"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Goods and services tax</w:t>
            </w:r>
          </w:p>
        </w:tc>
        <w:tc>
          <w:tcPr>
            <w:tcW w:w="736" w:type="pct"/>
            <w:tcBorders>
              <w:top w:val="nil"/>
              <w:left w:val="nil"/>
              <w:bottom w:val="nil"/>
              <w:right w:val="nil"/>
            </w:tcBorders>
            <w:shd w:val="clear" w:color="auto" w:fill="auto"/>
            <w:noWrap/>
            <w:vAlign w:val="center"/>
            <w:hideMark/>
          </w:tcPr>
          <w:p w14:paraId="7C9101F2"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88,592</w:t>
            </w:r>
          </w:p>
        </w:tc>
        <w:tc>
          <w:tcPr>
            <w:tcW w:w="736" w:type="pct"/>
            <w:tcBorders>
              <w:top w:val="nil"/>
              <w:left w:val="nil"/>
              <w:bottom w:val="nil"/>
              <w:right w:val="nil"/>
            </w:tcBorders>
            <w:shd w:val="clear" w:color="000000" w:fill="E6F2FF"/>
            <w:noWrap/>
            <w:vAlign w:val="center"/>
            <w:hideMark/>
          </w:tcPr>
          <w:p w14:paraId="62049952"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87,673</w:t>
            </w:r>
          </w:p>
        </w:tc>
        <w:tc>
          <w:tcPr>
            <w:tcW w:w="57" w:type="pct"/>
            <w:tcBorders>
              <w:top w:val="nil"/>
              <w:left w:val="nil"/>
              <w:bottom w:val="nil"/>
              <w:right w:val="nil"/>
            </w:tcBorders>
            <w:shd w:val="clear" w:color="auto" w:fill="auto"/>
            <w:noWrap/>
            <w:vAlign w:val="center"/>
            <w:hideMark/>
          </w:tcPr>
          <w:p w14:paraId="657ADB18" w14:textId="77777777" w:rsidR="003B54EA" w:rsidRPr="00673C1F" w:rsidRDefault="003B54EA" w:rsidP="003B54EA">
            <w:pPr>
              <w:spacing w:before="0" w:after="0" w:line="240" w:lineRule="auto"/>
              <w:jc w:val="right"/>
              <w:rPr>
                <w:rFonts w:ascii="Arial" w:hAnsi="Arial" w:cs="Arial"/>
                <w:sz w:val="16"/>
                <w:szCs w:val="16"/>
              </w:rPr>
            </w:pPr>
          </w:p>
        </w:tc>
        <w:tc>
          <w:tcPr>
            <w:tcW w:w="736" w:type="pct"/>
            <w:tcBorders>
              <w:top w:val="nil"/>
              <w:left w:val="nil"/>
              <w:bottom w:val="nil"/>
              <w:right w:val="nil"/>
            </w:tcBorders>
            <w:shd w:val="clear" w:color="auto" w:fill="auto"/>
            <w:noWrap/>
            <w:vAlign w:val="center"/>
            <w:hideMark/>
          </w:tcPr>
          <w:p w14:paraId="35340EAC" w14:textId="13C9586A"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919</w:t>
            </w:r>
          </w:p>
        </w:tc>
        <w:tc>
          <w:tcPr>
            <w:tcW w:w="736" w:type="pct"/>
            <w:tcBorders>
              <w:top w:val="nil"/>
              <w:left w:val="nil"/>
              <w:bottom w:val="nil"/>
              <w:right w:val="nil"/>
            </w:tcBorders>
            <w:shd w:val="clear" w:color="auto" w:fill="auto"/>
            <w:noWrap/>
            <w:vAlign w:val="center"/>
            <w:hideMark/>
          </w:tcPr>
          <w:p w14:paraId="2923A5FE" w14:textId="097331B7"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1.0</w:t>
            </w:r>
          </w:p>
        </w:tc>
      </w:tr>
      <w:tr w:rsidR="003B54EA" w:rsidRPr="00673C1F" w14:paraId="2015C6B3" w14:textId="77777777" w:rsidTr="003B54EA">
        <w:trPr>
          <w:trHeight w:hRule="exact" w:val="225"/>
        </w:trPr>
        <w:tc>
          <w:tcPr>
            <w:tcW w:w="2001" w:type="pct"/>
            <w:tcBorders>
              <w:top w:val="nil"/>
              <w:left w:val="nil"/>
              <w:bottom w:val="nil"/>
              <w:right w:val="nil"/>
            </w:tcBorders>
            <w:shd w:val="clear" w:color="auto" w:fill="auto"/>
            <w:noWrap/>
            <w:vAlign w:val="center"/>
            <w:hideMark/>
          </w:tcPr>
          <w:p w14:paraId="3F70CEE1"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Wine equalisation tax</w:t>
            </w:r>
          </w:p>
        </w:tc>
        <w:tc>
          <w:tcPr>
            <w:tcW w:w="736" w:type="pct"/>
            <w:tcBorders>
              <w:top w:val="nil"/>
              <w:left w:val="nil"/>
              <w:bottom w:val="nil"/>
              <w:right w:val="nil"/>
            </w:tcBorders>
            <w:shd w:val="clear" w:color="auto" w:fill="auto"/>
            <w:noWrap/>
            <w:vAlign w:val="center"/>
            <w:hideMark/>
          </w:tcPr>
          <w:p w14:paraId="65BD5704"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1,160</w:t>
            </w:r>
          </w:p>
        </w:tc>
        <w:tc>
          <w:tcPr>
            <w:tcW w:w="736" w:type="pct"/>
            <w:tcBorders>
              <w:top w:val="nil"/>
              <w:left w:val="nil"/>
              <w:bottom w:val="nil"/>
              <w:right w:val="nil"/>
            </w:tcBorders>
            <w:shd w:val="clear" w:color="000000" w:fill="E6F2FF"/>
            <w:noWrap/>
            <w:vAlign w:val="center"/>
            <w:hideMark/>
          </w:tcPr>
          <w:p w14:paraId="2BC02705"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1,150</w:t>
            </w:r>
          </w:p>
        </w:tc>
        <w:tc>
          <w:tcPr>
            <w:tcW w:w="57" w:type="pct"/>
            <w:tcBorders>
              <w:top w:val="nil"/>
              <w:left w:val="nil"/>
              <w:bottom w:val="nil"/>
              <w:right w:val="nil"/>
            </w:tcBorders>
            <w:shd w:val="clear" w:color="auto" w:fill="auto"/>
            <w:noWrap/>
            <w:vAlign w:val="center"/>
            <w:hideMark/>
          </w:tcPr>
          <w:p w14:paraId="05A5BA3F" w14:textId="77777777" w:rsidR="003B54EA" w:rsidRPr="00673C1F" w:rsidRDefault="003B54EA" w:rsidP="003B54EA">
            <w:pPr>
              <w:spacing w:before="0" w:after="0" w:line="240" w:lineRule="auto"/>
              <w:jc w:val="right"/>
              <w:rPr>
                <w:rFonts w:ascii="Arial" w:hAnsi="Arial" w:cs="Arial"/>
                <w:sz w:val="16"/>
                <w:szCs w:val="16"/>
              </w:rPr>
            </w:pPr>
          </w:p>
        </w:tc>
        <w:tc>
          <w:tcPr>
            <w:tcW w:w="736" w:type="pct"/>
            <w:tcBorders>
              <w:top w:val="nil"/>
              <w:left w:val="nil"/>
              <w:bottom w:val="nil"/>
              <w:right w:val="nil"/>
            </w:tcBorders>
            <w:shd w:val="clear" w:color="auto" w:fill="auto"/>
            <w:noWrap/>
            <w:vAlign w:val="center"/>
            <w:hideMark/>
          </w:tcPr>
          <w:p w14:paraId="41E6A4AE" w14:textId="72596C0B"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10</w:t>
            </w:r>
          </w:p>
        </w:tc>
        <w:tc>
          <w:tcPr>
            <w:tcW w:w="736" w:type="pct"/>
            <w:tcBorders>
              <w:top w:val="nil"/>
              <w:left w:val="nil"/>
              <w:bottom w:val="nil"/>
              <w:right w:val="nil"/>
            </w:tcBorders>
            <w:shd w:val="clear" w:color="auto" w:fill="auto"/>
            <w:noWrap/>
            <w:vAlign w:val="center"/>
            <w:hideMark/>
          </w:tcPr>
          <w:p w14:paraId="48487DFA" w14:textId="7DA068D3"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0.9</w:t>
            </w:r>
          </w:p>
        </w:tc>
      </w:tr>
      <w:tr w:rsidR="003B54EA" w:rsidRPr="00673C1F" w14:paraId="20CECF22" w14:textId="77777777" w:rsidTr="003B54EA">
        <w:trPr>
          <w:trHeight w:hRule="exact" w:val="225"/>
        </w:trPr>
        <w:tc>
          <w:tcPr>
            <w:tcW w:w="2001" w:type="pct"/>
            <w:tcBorders>
              <w:top w:val="nil"/>
              <w:left w:val="nil"/>
              <w:bottom w:val="nil"/>
              <w:right w:val="nil"/>
            </w:tcBorders>
            <w:shd w:val="clear" w:color="auto" w:fill="auto"/>
            <w:noWrap/>
            <w:vAlign w:val="center"/>
            <w:hideMark/>
          </w:tcPr>
          <w:p w14:paraId="7E74838F"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Luxury car tax</w:t>
            </w:r>
          </w:p>
        </w:tc>
        <w:tc>
          <w:tcPr>
            <w:tcW w:w="736" w:type="pct"/>
            <w:tcBorders>
              <w:top w:val="nil"/>
              <w:left w:val="nil"/>
              <w:bottom w:val="nil"/>
              <w:right w:val="nil"/>
            </w:tcBorders>
            <w:shd w:val="clear" w:color="auto" w:fill="auto"/>
            <w:noWrap/>
            <w:vAlign w:val="center"/>
            <w:hideMark/>
          </w:tcPr>
          <w:p w14:paraId="56E8108A"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1,100</w:t>
            </w:r>
          </w:p>
        </w:tc>
        <w:tc>
          <w:tcPr>
            <w:tcW w:w="736" w:type="pct"/>
            <w:tcBorders>
              <w:top w:val="nil"/>
              <w:left w:val="nil"/>
              <w:bottom w:val="nil"/>
              <w:right w:val="nil"/>
            </w:tcBorders>
            <w:shd w:val="clear" w:color="000000" w:fill="E6F2FF"/>
            <w:noWrap/>
            <w:vAlign w:val="center"/>
            <w:hideMark/>
          </w:tcPr>
          <w:p w14:paraId="1FCF6742"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1,140</w:t>
            </w:r>
          </w:p>
        </w:tc>
        <w:tc>
          <w:tcPr>
            <w:tcW w:w="57" w:type="pct"/>
            <w:tcBorders>
              <w:top w:val="nil"/>
              <w:left w:val="nil"/>
              <w:bottom w:val="nil"/>
              <w:right w:val="nil"/>
            </w:tcBorders>
            <w:shd w:val="clear" w:color="auto" w:fill="auto"/>
            <w:noWrap/>
            <w:vAlign w:val="center"/>
            <w:hideMark/>
          </w:tcPr>
          <w:p w14:paraId="72B922BE" w14:textId="77777777" w:rsidR="003B54EA" w:rsidRPr="00673C1F" w:rsidRDefault="003B54EA" w:rsidP="003B54EA">
            <w:pPr>
              <w:spacing w:before="0" w:after="0" w:line="240" w:lineRule="auto"/>
              <w:jc w:val="right"/>
              <w:rPr>
                <w:rFonts w:ascii="Arial" w:hAnsi="Arial" w:cs="Arial"/>
                <w:sz w:val="16"/>
                <w:szCs w:val="16"/>
              </w:rPr>
            </w:pPr>
          </w:p>
        </w:tc>
        <w:tc>
          <w:tcPr>
            <w:tcW w:w="736" w:type="pct"/>
            <w:tcBorders>
              <w:top w:val="nil"/>
              <w:left w:val="nil"/>
              <w:bottom w:val="nil"/>
              <w:right w:val="nil"/>
            </w:tcBorders>
            <w:shd w:val="clear" w:color="auto" w:fill="auto"/>
            <w:noWrap/>
            <w:vAlign w:val="center"/>
            <w:hideMark/>
          </w:tcPr>
          <w:p w14:paraId="4376D613"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40</w:t>
            </w:r>
          </w:p>
        </w:tc>
        <w:tc>
          <w:tcPr>
            <w:tcW w:w="736" w:type="pct"/>
            <w:tcBorders>
              <w:top w:val="nil"/>
              <w:left w:val="nil"/>
              <w:bottom w:val="nil"/>
              <w:right w:val="nil"/>
            </w:tcBorders>
            <w:shd w:val="clear" w:color="auto" w:fill="auto"/>
            <w:noWrap/>
            <w:vAlign w:val="center"/>
            <w:hideMark/>
          </w:tcPr>
          <w:p w14:paraId="40FF64E7"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3.6</w:t>
            </w:r>
          </w:p>
        </w:tc>
      </w:tr>
      <w:tr w:rsidR="003B54EA" w:rsidRPr="00673C1F" w14:paraId="03D57811" w14:textId="77777777" w:rsidTr="003B54EA">
        <w:trPr>
          <w:trHeight w:hRule="exact" w:val="225"/>
        </w:trPr>
        <w:tc>
          <w:tcPr>
            <w:tcW w:w="2001" w:type="pct"/>
            <w:tcBorders>
              <w:top w:val="nil"/>
              <w:left w:val="nil"/>
              <w:bottom w:val="nil"/>
              <w:right w:val="nil"/>
            </w:tcBorders>
            <w:shd w:val="clear" w:color="auto" w:fill="auto"/>
            <w:noWrap/>
            <w:vAlign w:val="center"/>
            <w:hideMark/>
          </w:tcPr>
          <w:p w14:paraId="38ECFD54"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Excise and customs duty</w:t>
            </w:r>
          </w:p>
        </w:tc>
        <w:tc>
          <w:tcPr>
            <w:tcW w:w="736" w:type="pct"/>
            <w:tcBorders>
              <w:top w:val="nil"/>
              <w:left w:val="nil"/>
              <w:bottom w:val="nil"/>
              <w:right w:val="nil"/>
            </w:tcBorders>
            <w:shd w:val="clear" w:color="auto" w:fill="auto"/>
            <w:noWrap/>
            <w:vAlign w:val="center"/>
            <w:hideMark/>
          </w:tcPr>
          <w:p w14:paraId="76BF5F45" w14:textId="77777777" w:rsidR="003B54EA" w:rsidRPr="00673C1F" w:rsidRDefault="003B54EA" w:rsidP="003B54EA">
            <w:pPr>
              <w:spacing w:before="0" w:after="0" w:line="240" w:lineRule="auto"/>
              <w:rPr>
                <w:rFonts w:ascii="Arial" w:hAnsi="Arial" w:cs="Arial"/>
                <w:sz w:val="16"/>
                <w:szCs w:val="16"/>
              </w:rPr>
            </w:pPr>
          </w:p>
        </w:tc>
        <w:tc>
          <w:tcPr>
            <w:tcW w:w="736" w:type="pct"/>
            <w:tcBorders>
              <w:top w:val="nil"/>
              <w:left w:val="nil"/>
              <w:bottom w:val="nil"/>
              <w:right w:val="nil"/>
            </w:tcBorders>
            <w:shd w:val="clear" w:color="000000" w:fill="E6F2FF"/>
            <w:noWrap/>
            <w:vAlign w:val="center"/>
            <w:hideMark/>
          </w:tcPr>
          <w:p w14:paraId="26B6DF84"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57" w:type="pct"/>
            <w:tcBorders>
              <w:top w:val="nil"/>
              <w:left w:val="nil"/>
              <w:bottom w:val="nil"/>
              <w:right w:val="nil"/>
            </w:tcBorders>
            <w:shd w:val="clear" w:color="auto" w:fill="auto"/>
            <w:noWrap/>
            <w:vAlign w:val="center"/>
            <w:hideMark/>
          </w:tcPr>
          <w:p w14:paraId="50A991C2" w14:textId="77777777" w:rsidR="003B54EA" w:rsidRPr="00673C1F" w:rsidRDefault="003B54EA" w:rsidP="003B54EA">
            <w:pPr>
              <w:spacing w:before="0" w:after="0" w:line="240" w:lineRule="auto"/>
              <w:jc w:val="right"/>
              <w:rPr>
                <w:rFonts w:ascii="Arial" w:hAnsi="Arial" w:cs="Arial"/>
                <w:sz w:val="16"/>
                <w:szCs w:val="16"/>
              </w:rPr>
            </w:pPr>
          </w:p>
        </w:tc>
        <w:tc>
          <w:tcPr>
            <w:tcW w:w="736" w:type="pct"/>
            <w:tcBorders>
              <w:top w:val="nil"/>
              <w:left w:val="nil"/>
              <w:bottom w:val="nil"/>
              <w:right w:val="nil"/>
            </w:tcBorders>
            <w:shd w:val="clear" w:color="auto" w:fill="auto"/>
            <w:noWrap/>
            <w:vAlign w:val="center"/>
            <w:hideMark/>
          </w:tcPr>
          <w:p w14:paraId="1449B245" w14:textId="77777777" w:rsidR="003B54EA" w:rsidRPr="00673C1F" w:rsidRDefault="003B54EA" w:rsidP="003B54EA">
            <w:pPr>
              <w:spacing w:before="0" w:after="0" w:line="240" w:lineRule="auto"/>
              <w:jc w:val="right"/>
              <w:rPr>
                <w:rFonts w:ascii="Times New Roman" w:hAnsi="Times New Roman"/>
                <w:sz w:val="20"/>
              </w:rPr>
            </w:pPr>
          </w:p>
        </w:tc>
        <w:tc>
          <w:tcPr>
            <w:tcW w:w="736" w:type="pct"/>
            <w:tcBorders>
              <w:top w:val="nil"/>
              <w:left w:val="nil"/>
              <w:bottom w:val="nil"/>
              <w:right w:val="nil"/>
            </w:tcBorders>
            <w:shd w:val="clear" w:color="auto" w:fill="auto"/>
            <w:noWrap/>
            <w:vAlign w:val="center"/>
            <w:hideMark/>
          </w:tcPr>
          <w:p w14:paraId="6A48BF08" w14:textId="77777777" w:rsidR="003B54EA" w:rsidRPr="00673C1F" w:rsidRDefault="003B54EA" w:rsidP="003B54EA">
            <w:pPr>
              <w:spacing w:before="0" w:after="0" w:line="240" w:lineRule="auto"/>
              <w:jc w:val="right"/>
              <w:rPr>
                <w:rFonts w:ascii="Times New Roman" w:hAnsi="Times New Roman"/>
                <w:sz w:val="20"/>
              </w:rPr>
            </w:pPr>
          </w:p>
        </w:tc>
      </w:tr>
      <w:tr w:rsidR="003B54EA" w:rsidRPr="00673C1F" w14:paraId="0A3A438B" w14:textId="77777777" w:rsidTr="003B54EA">
        <w:trPr>
          <w:trHeight w:hRule="exact" w:val="225"/>
        </w:trPr>
        <w:tc>
          <w:tcPr>
            <w:tcW w:w="2001" w:type="pct"/>
            <w:tcBorders>
              <w:top w:val="nil"/>
              <w:left w:val="nil"/>
              <w:bottom w:val="nil"/>
              <w:right w:val="nil"/>
            </w:tcBorders>
            <w:shd w:val="clear" w:color="auto" w:fill="auto"/>
            <w:noWrap/>
            <w:vAlign w:val="center"/>
            <w:hideMark/>
          </w:tcPr>
          <w:p w14:paraId="2F6BD5B4" w14:textId="77777777" w:rsidR="003B54EA" w:rsidRPr="00673C1F" w:rsidRDefault="003B54EA" w:rsidP="003B54EA">
            <w:pPr>
              <w:spacing w:before="0" w:after="0" w:line="240" w:lineRule="auto"/>
              <w:ind w:left="170"/>
              <w:rPr>
                <w:rFonts w:ascii="Arial" w:hAnsi="Arial" w:cs="Arial"/>
                <w:sz w:val="16"/>
                <w:szCs w:val="16"/>
              </w:rPr>
            </w:pPr>
            <w:r w:rsidRPr="00673C1F">
              <w:rPr>
                <w:rFonts w:ascii="Arial" w:hAnsi="Arial" w:cs="Arial"/>
                <w:sz w:val="16"/>
                <w:szCs w:val="16"/>
              </w:rPr>
              <w:t>Petrol</w:t>
            </w:r>
          </w:p>
        </w:tc>
        <w:tc>
          <w:tcPr>
            <w:tcW w:w="736" w:type="pct"/>
            <w:tcBorders>
              <w:top w:val="nil"/>
              <w:left w:val="nil"/>
              <w:bottom w:val="nil"/>
              <w:right w:val="nil"/>
            </w:tcBorders>
            <w:shd w:val="clear" w:color="auto" w:fill="auto"/>
            <w:noWrap/>
            <w:vAlign w:val="center"/>
            <w:hideMark/>
          </w:tcPr>
          <w:p w14:paraId="56F236B4"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7,350</w:t>
            </w:r>
          </w:p>
        </w:tc>
        <w:tc>
          <w:tcPr>
            <w:tcW w:w="736" w:type="pct"/>
            <w:tcBorders>
              <w:top w:val="nil"/>
              <w:left w:val="nil"/>
              <w:bottom w:val="nil"/>
              <w:right w:val="nil"/>
            </w:tcBorders>
            <w:shd w:val="clear" w:color="000000" w:fill="E6F2FF"/>
            <w:noWrap/>
            <w:vAlign w:val="center"/>
            <w:hideMark/>
          </w:tcPr>
          <w:p w14:paraId="252968D7"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7,300</w:t>
            </w:r>
          </w:p>
        </w:tc>
        <w:tc>
          <w:tcPr>
            <w:tcW w:w="57" w:type="pct"/>
            <w:tcBorders>
              <w:top w:val="nil"/>
              <w:left w:val="nil"/>
              <w:bottom w:val="nil"/>
              <w:right w:val="nil"/>
            </w:tcBorders>
            <w:shd w:val="clear" w:color="auto" w:fill="auto"/>
            <w:noWrap/>
            <w:vAlign w:val="center"/>
            <w:hideMark/>
          </w:tcPr>
          <w:p w14:paraId="40A7C497" w14:textId="77777777" w:rsidR="003B54EA" w:rsidRPr="00673C1F" w:rsidRDefault="003B54EA" w:rsidP="003B54EA">
            <w:pPr>
              <w:spacing w:before="0" w:after="0" w:line="240" w:lineRule="auto"/>
              <w:jc w:val="right"/>
              <w:rPr>
                <w:rFonts w:ascii="Arial" w:hAnsi="Arial" w:cs="Arial"/>
                <w:sz w:val="16"/>
                <w:szCs w:val="16"/>
              </w:rPr>
            </w:pPr>
          </w:p>
        </w:tc>
        <w:tc>
          <w:tcPr>
            <w:tcW w:w="736" w:type="pct"/>
            <w:tcBorders>
              <w:top w:val="nil"/>
              <w:left w:val="nil"/>
              <w:bottom w:val="nil"/>
              <w:right w:val="nil"/>
            </w:tcBorders>
            <w:shd w:val="clear" w:color="auto" w:fill="auto"/>
            <w:noWrap/>
            <w:vAlign w:val="center"/>
            <w:hideMark/>
          </w:tcPr>
          <w:p w14:paraId="7F2DAF71" w14:textId="40CD3A1A"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50</w:t>
            </w:r>
          </w:p>
        </w:tc>
        <w:tc>
          <w:tcPr>
            <w:tcW w:w="736" w:type="pct"/>
            <w:tcBorders>
              <w:top w:val="nil"/>
              <w:left w:val="nil"/>
              <w:bottom w:val="nil"/>
              <w:right w:val="nil"/>
            </w:tcBorders>
            <w:shd w:val="clear" w:color="auto" w:fill="auto"/>
            <w:noWrap/>
            <w:vAlign w:val="center"/>
            <w:hideMark/>
          </w:tcPr>
          <w:p w14:paraId="16B0730C" w14:textId="147671FC"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0.7</w:t>
            </w:r>
          </w:p>
        </w:tc>
      </w:tr>
      <w:tr w:rsidR="003B54EA" w:rsidRPr="00673C1F" w14:paraId="00CF75EB" w14:textId="77777777" w:rsidTr="003B54EA">
        <w:trPr>
          <w:trHeight w:hRule="exact" w:val="225"/>
        </w:trPr>
        <w:tc>
          <w:tcPr>
            <w:tcW w:w="2001" w:type="pct"/>
            <w:tcBorders>
              <w:top w:val="nil"/>
              <w:left w:val="nil"/>
              <w:bottom w:val="nil"/>
              <w:right w:val="nil"/>
            </w:tcBorders>
            <w:shd w:val="clear" w:color="auto" w:fill="auto"/>
            <w:noWrap/>
            <w:vAlign w:val="center"/>
            <w:hideMark/>
          </w:tcPr>
          <w:p w14:paraId="783DD71A" w14:textId="77777777" w:rsidR="003B54EA" w:rsidRPr="00673C1F" w:rsidRDefault="003B54EA" w:rsidP="003B54EA">
            <w:pPr>
              <w:spacing w:before="0" w:after="0" w:line="240" w:lineRule="auto"/>
              <w:ind w:left="170"/>
              <w:rPr>
                <w:rFonts w:ascii="Arial" w:hAnsi="Arial" w:cs="Arial"/>
                <w:sz w:val="16"/>
                <w:szCs w:val="16"/>
              </w:rPr>
            </w:pPr>
            <w:r w:rsidRPr="00673C1F">
              <w:rPr>
                <w:rFonts w:ascii="Arial" w:hAnsi="Arial" w:cs="Arial"/>
                <w:sz w:val="16"/>
                <w:szCs w:val="16"/>
              </w:rPr>
              <w:t>Diesel</w:t>
            </w:r>
          </w:p>
        </w:tc>
        <w:tc>
          <w:tcPr>
            <w:tcW w:w="736" w:type="pct"/>
            <w:tcBorders>
              <w:top w:val="nil"/>
              <w:left w:val="nil"/>
              <w:bottom w:val="nil"/>
              <w:right w:val="nil"/>
            </w:tcBorders>
            <w:shd w:val="clear" w:color="auto" w:fill="auto"/>
            <w:noWrap/>
            <w:vAlign w:val="center"/>
            <w:hideMark/>
          </w:tcPr>
          <w:p w14:paraId="7771F5B4"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17,140</w:t>
            </w:r>
          </w:p>
        </w:tc>
        <w:tc>
          <w:tcPr>
            <w:tcW w:w="736" w:type="pct"/>
            <w:tcBorders>
              <w:top w:val="nil"/>
              <w:left w:val="nil"/>
              <w:bottom w:val="nil"/>
              <w:right w:val="nil"/>
            </w:tcBorders>
            <w:shd w:val="clear" w:color="000000" w:fill="E6F2FF"/>
            <w:noWrap/>
            <w:vAlign w:val="center"/>
            <w:hideMark/>
          </w:tcPr>
          <w:p w14:paraId="69EC04EE"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17,390</w:t>
            </w:r>
          </w:p>
        </w:tc>
        <w:tc>
          <w:tcPr>
            <w:tcW w:w="57" w:type="pct"/>
            <w:tcBorders>
              <w:top w:val="nil"/>
              <w:left w:val="nil"/>
              <w:bottom w:val="nil"/>
              <w:right w:val="nil"/>
            </w:tcBorders>
            <w:shd w:val="clear" w:color="auto" w:fill="auto"/>
            <w:noWrap/>
            <w:vAlign w:val="center"/>
            <w:hideMark/>
          </w:tcPr>
          <w:p w14:paraId="1E86191F" w14:textId="77777777" w:rsidR="003B54EA" w:rsidRPr="00673C1F" w:rsidRDefault="003B54EA" w:rsidP="003B54EA">
            <w:pPr>
              <w:spacing w:before="0" w:after="0" w:line="240" w:lineRule="auto"/>
              <w:jc w:val="right"/>
              <w:rPr>
                <w:rFonts w:ascii="Arial" w:hAnsi="Arial" w:cs="Arial"/>
                <w:sz w:val="16"/>
                <w:szCs w:val="16"/>
              </w:rPr>
            </w:pPr>
          </w:p>
        </w:tc>
        <w:tc>
          <w:tcPr>
            <w:tcW w:w="736" w:type="pct"/>
            <w:tcBorders>
              <w:top w:val="nil"/>
              <w:left w:val="nil"/>
              <w:bottom w:val="nil"/>
              <w:right w:val="nil"/>
            </w:tcBorders>
            <w:shd w:val="clear" w:color="auto" w:fill="auto"/>
            <w:noWrap/>
            <w:vAlign w:val="center"/>
            <w:hideMark/>
          </w:tcPr>
          <w:p w14:paraId="197E7B01"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250</w:t>
            </w:r>
          </w:p>
        </w:tc>
        <w:tc>
          <w:tcPr>
            <w:tcW w:w="736" w:type="pct"/>
            <w:tcBorders>
              <w:top w:val="nil"/>
              <w:left w:val="nil"/>
              <w:bottom w:val="nil"/>
              <w:right w:val="nil"/>
            </w:tcBorders>
            <w:shd w:val="clear" w:color="auto" w:fill="auto"/>
            <w:noWrap/>
            <w:vAlign w:val="center"/>
            <w:hideMark/>
          </w:tcPr>
          <w:p w14:paraId="24418671"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1.5</w:t>
            </w:r>
          </w:p>
        </w:tc>
      </w:tr>
      <w:tr w:rsidR="003B54EA" w:rsidRPr="00673C1F" w14:paraId="476DDA32" w14:textId="77777777" w:rsidTr="003B54EA">
        <w:trPr>
          <w:trHeight w:hRule="exact" w:val="225"/>
        </w:trPr>
        <w:tc>
          <w:tcPr>
            <w:tcW w:w="2001" w:type="pct"/>
            <w:tcBorders>
              <w:top w:val="nil"/>
              <w:left w:val="nil"/>
              <w:bottom w:val="nil"/>
              <w:right w:val="nil"/>
            </w:tcBorders>
            <w:shd w:val="clear" w:color="auto" w:fill="auto"/>
            <w:noWrap/>
            <w:vAlign w:val="center"/>
            <w:hideMark/>
          </w:tcPr>
          <w:p w14:paraId="31EB7C2F" w14:textId="77777777" w:rsidR="003B54EA" w:rsidRPr="00673C1F" w:rsidRDefault="003B54EA" w:rsidP="003B54EA">
            <w:pPr>
              <w:spacing w:before="0" w:after="0" w:line="240" w:lineRule="auto"/>
              <w:ind w:left="170"/>
              <w:rPr>
                <w:rFonts w:ascii="Arial" w:hAnsi="Arial" w:cs="Arial"/>
                <w:sz w:val="16"/>
                <w:szCs w:val="16"/>
              </w:rPr>
            </w:pPr>
            <w:r w:rsidRPr="00673C1F">
              <w:rPr>
                <w:rFonts w:ascii="Arial" w:hAnsi="Arial" w:cs="Arial"/>
                <w:sz w:val="16"/>
                <w:szCs w:val="16"/>
              </w:rPr>
              <w:t>Other fuel products</w:t>
            </w:r>
          </w:p>
        </w:tc>
        <w:tc>
          <w:tcPr>
            <w:tcW w:w="736" w:type="pct"/>
            <w:tcBorders>
              <w:top w:val="nil"/>
              <w:left w:val="nil"/>
              <w:bottom w:val="nil"/>
              <w:right w:val="nil"/>
            </w:tcBorders>
            <w:shd w:val="clear" w:color="auto" w:fill="auto"/>
            <w:noWrap/>
            <w:vAlign w:val="center"/>
            <w:hideMark/>
          </w:tcPr>
          <w:p w14:paraId="3207D950"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2,340</w:t>
            </w:r>
          </w:p>
        </w:tc>
        <w:tc>
          <w:tcPr>
            <w:tcW w:w="736" w:type="pct"/>
            <w:tcBorders>
              <w:top w:val="nil"/>
              <w:left w:val="nil"/>
              <w:bottom w:val="nil"/>
              <w:right w:val="nil"/>
            </w:tcBorders>
            <w:shd w:val="clear" w:color="000000" w:fill="E6F2FF"/>
            <w:noWrap/>
            <w:vAlign w:val="center"/>
            <w:hideMark/>
          </w:tcPr>
          <w:p w14:paraId="7228A6EB"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2,210</w:t>
            </w:r>
          </w:p>
        </w:tc>
        <w:tc>
          <w:tcPr>
            <w:tcW w:w="57" w:type="pct"/>
            <w:tcBorders>
              <w:top w:val="nil"/>
              <w:left w:val="nil"/>
              <w:bottom w:val="nil"/>
              <w:right w:val="nil"/>
            </w:tcBorders>
            <w:shd w:val="clear" w:color="auto" w:fill="auto"/>
            <w:noWrap/>
            <w:vAlign w:val="center"/>
            <w:hideMark/>
          </w:tcPr>
          <w:p w14:paraId="1C986731" w14:textId="77777777" w:rsidR="003B54EA" w:rsidRPr="00673C1F" w:rsidRDefault="003B54EA" w:rsidP="003B54EA">
            <w:pPr>
              <w:spacing w:before="0" w:after="0" w:line="240" w:lineRule="auto"/>
              <w:jc w:val="right"/>
              <w:rPr>
                <w:rFonts w:ascii="Arial" w:hAnsi="Arial" w:cs="Arial"/>
                <w:sz w:val="16"/>
                <w:szCs w:val="16"/>
              </w:rPr>
            </w:pPr>
          </w:p>
        </w:tc>
        <w:tc>
          <w:tcPr>
            <w:tcW w:w="736" w:type="pct"/>
            <w:tcBorders>
              <w:top w:val="nil"/>
              <w:left w:val="nil"/>
              <w:bottom w:val="nil"/>
              <w:right w:val="nil"/>
            </w:tcBorders>
            <w:shd w:val="clear" w:color="auto" w:fill="auto"/>
            <w:noWrap/>
            <w:vAlign w:val="center"/>
            <w:hideMark/>
          </w:tcPr>
          <w:p w14:paraId="1DBB8E8E" w14:textId="4ACF137B"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130</w:t>
            </w:r>
          </w:p>
        </w:tc>
        <w:tc>
          <w:tcPr>
            <w:tcW w:w="736" w:type="pct"/>
            <w:tcBorders>
              <w:top w:val="nil"/>
              <w:left w:val="nil"/>
              <w:bottom w:val="nil"/>
              <w:right w:val="nil"/>
            </w:tcBorders>
            <w:shd w:val="clear" w:color="auto" w:fill="auto"/>
            <w:noWrap/>
            <w:vAlign w:val="center"/>
            <w:hideMark/>
          </w:tcPr>
          <w:p w14:paraId="3F58A990" w14:textId="66AB03C1"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5.6</w:t>
            </w:r>
          </w:p>
        </w:tc>
      </w:tr>
      <w:tr w:rsidR="003B54EA" w:rsidRPr="00673C1F" w14:paraId="7C5D0760" w14:textId="77777777" w:rsidTr="003B54EA">
        <w:trPr>
          <w:trHeight w:hRule="exact" w:val="225"/>
        </w:trPr>
        <w:tc>
          <w:tcPr>
            <w:tcW w:w="2001" w:type="pct"/>
            <w:tcBorders>
              <w:top w:val="nil"/>
              <w:left w:val="nil"/>
              <w:bottom w:val="nil"/>
              <w:right w:val="nil"/>
            </w:tcBorders>
            <w:shd w:val="clear" w:color="auto" w:fill="auto"/>
            <w:noWrap/>
            <w:vAlign w:val="center"/>
            <w:hideMark/>
          </w:tcPr>
          <w:p w14:paraId="5C5884AF" w14:textId="77777777" w:rsidR="003B54EA" w:rsidRPr="00673C1F" w:rsidRDefault="003B54EA" w:rsidP="003B54EA">
            <w:pPr>
              <w:spacing w:before="0" w:after="0" w:line="240" w:lineRule="auto"/>
              <w:ind w:left="170"/>
              <w:rPr>
                <w:rFonts w:ascii="Arial" w:hAnsi="Arial" w:cs="Arial"/>
                <w:sz w:val="16"/>
                <w:szCs w:val="16"/>
              </w:rPr>
            </w:pPr>
            <w:r w:rsidRPr="00673C1F">
              <w:rPr>
                <w:rFonts w:ascii="Arial" w:hAnsi="Arial" w:cs="Arial"/>
                <w:sz w:val="16"/>
                <w:szCs w:val="16"/>
              </w:rPr>
              <w:t>Tobacco</w:t>
            </w:r>
          </w:p>
        </w:tc>
        <w:tc>
          <w:tcPr>
            <w:tcW w:w="736" w:type="pct"/>
            <w:tcBorders>
              <w:top w:val="nil"/>
              <w:left w:val="nil"/>
              <w:bottom w:val="nil"/>
              <w:right w:val="nil"/>
            </w:tcBorders>
            <w:shd w:val="clear" w:color="auto" w:fill="auto"/>
            <w:noWrap/>
            <w:vAlign w:val="center"/>
            <w:hideMark/>
          </w:tcPr>
          <w:p w14:paraId="4AE70338"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13,250</w:t>
            </w:r>
          </w:p>
        </w:tc>
        <w:tc>
          <w:tcPr>
            <w:tcW w:w="736" w:type="pct"/>
            <w:tcBorders>
              <w:top w:val="nil"/>
              <w:left w:val="nil"/>
              <w:bottom w:val="nil"/>
              <w:right w:val="nil"/>
            </w:tcBorders>
            <w:shd w:val="clear" w:color="000000" w:fill="E6F2FF"/>
            <w:noWrap/>
            <w:vAlign w:val="center"/>
            <w:hideMark/>
          </w:tcPr>
          <w:p w14:paraId="1B73466D"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11,550</w:t>
            </w:r>
          </w:p>
        </w:tc>
        <w:tc>
          <w:tcPr>
            <w:tcW w:w="57" w:type="pct"/>
            <w:tcBorders>
              <w:top w:val="nil"/>
              <w:left w:val="nil"/>
              <w:bottom w:val="nil"/>
              <w:right w:val="nil"/>
            </w:tcBorders>
            <w:shd w:val="clear" w:color="auto" w:fill="auto"/>
            <w:noWrap/>
            <w:vAlign w:val="center"/>
            <w:hideMark/>
          </w:tcPr>
          <w:p w14:paraId="30617739" w14:textId="77777777" w:rsidR="003B54EA" w:rsidRPr="00673C1F" w:rsidRDefault="003B54EA" w:rsidP="003B54EA">
            <w:pPr>
              <w:spacing w:before="0" w:after="0" w:line="240" w:lineRule="auto"/>
              <w:jc w:val="right"/>
              <w:rPr>
                <w:rFonts w:ascii="Arial" w:hAnsi="Arial" w:cs="Arial"/>
                <w:sz w:val="16"/>
                <w:szCs w:val="16"/>
              </w:rPr>
            </w:pPr>
          </w:p>
        </w:tc>
        <w:tc>
          <w:tcPr>
            <w:tcW w:w="736" w:type="pct"/>
            <w:tcBorders>
              <w:top w:val="nil"/>
              <w:left w:val="nil"/>
              <w:bottom w:val="nil"/>
              <w:right w:val="nil"/>
            </w:tcBorders>
            <w:shd w:val="clear" w:color="auto" w:fill="auto"/>
            <w:noWrap/>
            <w:vAlign w:val="center"/>
            <w:hideMark/>
          </w:tcPr>
          <w:p w14:paraId="2627A551" w14:textId="47602B14"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1,700</w:t>
            </w:r>
          </w:p>
        </w:tc>
        <w:tc>
          <w:tcPr>
            <w:tcW w:w="736" w:type="pct"/>
            <w:tcBorders>
              <w:top w:val="nil"/>
              <w:left w:val="nil"/>
              <w:bottom w:val="nil"/>
              <w:right w:val="nil"/>
            </w:tcBorders>
            <w:shd w:val="clear" w:color="auto" w:fill="auto"/>
            <w:noWrap/>
            <w:vAlign w:val="center"/>
            <w:hideMark/>
          </w:tcPr>
          <w:p w14:paraId="59FDE592" w14:textId="6B07016F"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12.8</w:t>
            </w:r>
          </w:p>
        </w:tc>
      </w:tr>
      <w:tr w:rsidR="003B54EA" w:rsidRPr="00673C1F" w14:paraId="17BEDF5E" w14:textId="77777777" w:rsidTr="003B54EA">
        <w:trPr>
          <w:trHeight w:hRule="exact" w:val="225"/>
        </w:trPr>
        <w:tc>
          <w:tcPr>
            <w:tcW w:w="2001" w:type="pct"/>
            <w:tcBorders>
              <w:top w:val="nil"/>
              <w:left w:val="nil"/>
              <w:bottom w:val="nil"/>
              <w:right w:val="nil"/>
            </w:tcBorders>
            <w:shd w:val="clear" w:color="auto" w:fill="auto"/>
            <w:noWrap/>
            <w:vAlign w:val="center"/>
            <w:hideMark/>
          </w:tcPr>
          <w:p w14:paraId="17F0D8F3" w14:textId="77777777" w:rsidR="003B54EA" w:rsidRPr="00673C1F" w:rsidRDefault="003B54EA" w:rsidP="003B54EA">
            <w:pPr>
              <w:spacing w:before="0" w:after="0" w:line="240" w:lineRule="auto"/>
              <w:ind w:left="170"/>
              <w:rPr>
                <w:rFonts w:ascii="Arial" w:hAnsi="Arial" w:cs="Arial"/>
                <w:sz w:val="16"/>
                <w:szCs w:val="16"/>
              </w:rPr>
            </w:pPr>
            <w:r w:rsidRPr="00673C1F">
              <w:rPr>
                <w:rFonts w:ascii="Arial" w:hAnsi="Arial" w:cs="Arial"/>
                <w:sz w:val="16"/>
                <w:szCs w:val="16"/>
              </w:rPr>
              <w:t>Beer</w:t>
            </w:r>
          </w:p>
        </w:tc>
        <w:tc>
          <w:tcPr>
            <w:tcW w:w="736" w:type="pct"/>
            <w:tcBorders>
              <w:top w:val="nil"/>
              <w:left w:val="nil"/>
              <w:bottom w:val="nil"/>
              <w:right w:val="nil"/>
            </w:tcBorders>
            <w:shd w:val="clear" w:color="auto" w:fill="auto"/>
            <w:noWrap/>
            <w:vAlign w:val="center"/>
            <w:hideMark/>
          </w:tcPr>
          <w:p w14:paraId="0DBFAB7C"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2,790</w:t>
            </w:r>
          </w:p>
        </w:tc>
        <w:tc>
          <w:tcPr>
            <w:tcW w:w="736" w:type="pct"/>
            <w:tcBorders>
              <w:top w:val="nil"/>
              <w:left w:val="nil"/>
              <w:bottom w:val="nil"/>
              <w:right w:val="nil"/>
            </w:tcBorders>
            <w:shd w:val="clear" w:color="000000" w:fill="E6F2FF"/>
            <w:noWrap/>
            <w:vAlign w:val="center"/>
            <w:hideMark/>
          </w:tcPr>
          <w:p w14:paraId="0D227949"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2,760</w:t>
            </w:r>
          </w:p>
        </w:tc>
        <w:tc>
          <w:tcPr>
            <w:tcW w:w="57" w:type="pct"/>
            <w:tcBorders>
              <w:top w:val="nil"/>
              <w:left w:val="nil"/>
              <w:bottom w:val="nil"/>
              <w:right w:val="nil"/>
            </w:tcBorders>
            <w:shd w:val="clear" w:color="auto" w:fill="auto"/>
            <w:noWrap/>
            <w:vAlign w:val="center"/>
            <w:hideMark/>
          </w:tcPr>
          <w:p w14:paraId="7E9392B3" w14:textId="77777777" w:rsidR="003B54EA" w:rsidRPr="00673C1F" w:rsidRDefault="003B54EA" w:rsidP="003B54EA">
            <w:pPr>
              <w:spacing w:before="0" w:after="0" w:line="240" w:lineRule="auto"/>
              <w:jc w:val="right"/>
              <w:rPr>
                <w:rFonts w:ascii="Arial" w:hAnsi="Arial" w:cs="Arial"/>
                <w:sz w:val="16"/>
                <w:szCs w:val="16"/>
              </w:rPr>
            </w:pPr>
          </w:p>
        </w:tc>
        <w:tc>
          <w:tcPr>
            <w:tcW w:w="736" w:type="pct"/>
            <w:tcBorders>
              <w:top w:val="nil"/>
              <w:left w:val="nil"/>
              <w:bottom w:val="nil"/>
              <w:right w:val="nil"/>
            </w:tcBorders>
            <w:shd w:val="clear" w:color="auto" w:fill="auto"/>
            <w:noWrap/>
            <w:vAlign w:val="center"/>
            <w:hideMark/>
          </w:tcPr>
          <w:p w14:paraId="7E6FCB2B" w14:textId="4A5F3B8E"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30</w:t>
            </w:r>
          </w:p>
        </w:tc>
        <w:tc>
          <w:tcPr>
            <w:tcW w:w="736" w:type="pct"/>
            <w:tcBorders>
              <w:top w:val="nil"/>
              <w:left w:val="nil"/>
              <w:bottom w:val="nil"/>
              <w:right w:val="nil"/>
            </w:tcBorders>
            <w:shd w:val="clear" w:color="auto" w:fill="auto"/>
            <w:noWrap/>
            <w:vAlign w:val="center"/>
            <w:hideMark/>
          </w:tcPr>
          <w:p w14:paraId="21D2316D" w14:textId="42107C80"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1.1</w:t>
            </w:r>
          </w:p>
        </w:tc>
      </w:tr>
      <w:tr w:rsidR="003B54EA" w:rsidRPr="00673C1F" w14:paraId="20BF5C6E" w14:textId="77777777" w:rsidTr="003B54EA">
        <w:trPr>
          <w:trHeight w:hRule="exact" w:val="225"/>
        </w:trPr>
        <w:tc>
          <w:tcPr>
            <w:tcW w:w="2001" w:type="pct"/>
            <w:tcBorders>
              <w:top w:val="nil"/>
              <w:left w:val="nil"/>
              <w:bottom w:val="nil"/>
              <w:right w:val="nil"/>
            </w:tcBorders>
            <w:shd w:val="clear" w:color="auto" w:fill="auto"/>
            <w:noWrap/>
            <w:vAlign w:val="center"/>
            <w:hideMark/>
          </w:tcPr>
          <w:p w14:paraId="108BD88A" w14:textId="77777777" w:rsidR="003B54EA" w:rsidRPr="00673C1F" w:rsidRDefault="003B54EA" w:rsidP="003B54EA">
            <w:pPr>
              <w:spacing w:before="0" w:after="0" w:line="240" w:lineRule="auto"/>
              <w:ind w:left="170"/>
              <w:rPr>
                <w:rFonts w:ascii="Arial" w:hAnsi="Arial" w:cs="Arial"/>
                <w:sz w:val="16"/>
                <w:szCs w:val="16"/>
              </w:rPr>
            </w:pPr>
            <w:r w:rsidRPr="00673C1F">
              <w:rPr>
                <w:rFonts w:ascii="Arial" w:hAnsi="Arial" w:cs="Arial"/>
                <w:sz w:val="16"/>
                <w:szCs w:val="16"/>
              </w:rPr>
              <w:t>Spirits</w:t>
            </w:r>
          </w:p>
        </w:tc>
        <w:tc>
          <w:tcPr>
            <w:tcW w:w="736" w:type="pct"/>
            <w:tcBorders>
              <w:top w:val="nil"/>
              <w:left w:val="nil"/>
              <w:bottom w:val="nil"/>
              <w:right w:val="nil"/>
            </w:tcBorders>
            <w:shd w:val="clear" w:color="auto" w:fill="auto"/>
            <w:noWrap/>
            <w:vAlign w:val="center"/>
            <w:hideMark/>
          </w:tcPr>
          <w:p w14:paraId="5FFEF33B"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3,580</w:t>
            </w:r>
          </w:p>
        </w:tc>
        <w:tc>
          <w:tcPr>
            <w:tcW w:w="736" w:type="pct"/>
            <w:tcBorders>
              <w:top w:val="nil"/>
              <w:left w:val="nil"/>
              <w:bottom w:val="nil"/>
              <w:right w:val="nil"/>
            </w:tcBorders>
            <w:shd w:val="clear" w:color="000000" w:fill="E6F2FF"/>
            <w:noWrap/>
            <w:vAlign w:val="center"/>
            <w:hideMark/>
          </w:tcPr>
          <w:p w14:paraId="52C61B1D"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3,590</w:t>
            </w:r>
          </w:p>
        </w:tc>
        <w:tc>
          <w:tcPr>
            <w:tcW w:w="57" w:type="pct"/>
            <w:tcBorders>
              <w:top w:val="nil"/>
              <w:left w:val="nil"/>
              <w:bottom w:val="nil"/>
              <w:right w:val="nil"/>
            </w:tcBorders>
            <w:shd w:val="clear" w:color="auto" w:fill="auto"/>
            <w:noWrap/>
            <w:vAlign w:val="center"/>
            <w:hideMark/>
          </w:tcPr>
          <w:p w14:paraId="150B0AF8" w14:textId="77777777" w:rsidR="003B54EA" w:rsidRPr="00673C1F" w:rsidRDefault="003B54EA" w:rsidP="003B54EA">
            <w:pPr>
              <w:spacing w:before="0" w:after="0" w:line="240" w:lineRule="auto"/>
              <w:jc w:val="right"/>
              <w:rPr>
                <w:rFonts w:ascii="Arial" w:hAnsi="Arial" w:cs="Arial"/>
                <w:sz w:val="16"/>
                <w:szCs w:val="16"/>
              </w:rPr>
            </w:pPr>
          </w:p>
        </w:tc>
        <w:tc>
          <w:tcPr>
            <w:tcW w:w="736" w:type="pct"/>
            <w:tcBorders>
              <w:top w:val="nil"/>
              <w:left w:val="nil"/>
              <w:bottom w:val="nil"/>
              <w:right w:val="nil"/>
            </w:tcBorders>
            <w:shd w:val="clear" w:color="auto" w:fill="auto"/>
            <w:noWrap/>
            <w:vAlign w:val="center"/>
            <w:hideMark/>
          </w:tcPr>
          <w:p w14:paraId="63B080FE"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10</w:t>
            </w:r>
          </w:p>
        </w:tc>
        <w:tc>
          <w:tcPr>
            <w:tcW w:w="736" w:type="pct"/>
            <w:tcBorders>
              <w:top w:val="nil"/>
              <w:left w:val="nil"/>
              <w:bottom w:val="nil"/>
              <w:right w:val="nil"/>
            </w:tcBorders>
            <w:shd w:val="clear" w:color="auto" w:fill="auto"/>
            <w:noWrap/>
            <w:vAlign w:val="center"/>
            <w:hideMark/>
          </w:tcPr>
          <w:p w14:paraId="05517342"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0.3</w:t>
            </w:r>
          </w:p>
        </w:tc>
      </w:tr>
      <w:tr w:rsidR="003B54EA" w:rsidRPr="00673C1F" w14:paraId="6CB43617" w14:textId="77777777" w:rsidTr="003B54EA">
        <w:trPr>
          <w:trHeight w:hRule="exact" w:val="225"/>
        </w:trPr>
        <w:tc>
          <w:tcPr>
            <w:tcW w:w="2001" w:type="pct"/>
            <w:tcBorders>
              <w:top w:val="nil"/>
              <w:left w:val="nil"/>
              <w:bottom w:val="nil"/>
              <w:right w:val="nil"/>
            </w:tcBorders>
            <w:shd w:val="clear" w:color="auto" w:fill="auto"/>
            <w:noWrap/>
            <w:vAlign w:val="center"/>
            <w:hideMark/>
          </w:tcPr>
          <w:p w14:paraId="6849BD4D" w14:textId="77777777" w:rsidR="003B54EA" w:rsidRPr="00673C1F" w:rsidRDefault="003B54EA" w:rsidP="003B54EA">
            <w:pPr>
              <w:spacing w:before="0" w:after="0" w:line="240" w:lineRule="auto"/>
              <w:ind w:left="170"/>
              <w:rPr>
                <w:rFonts w:ascii="Arial" w:hAnsi="Arial" w:cs="Arial"/>
                <w:sz w:val="16"/>
                <w:szCs w:val="16"/>
              </w:rPr>
            </w:pPr>
            <w:r w:rsidRPr="00673C1F">
              <w:rPr>
                <w:rFonts w:ascii="Arial" w:hAnsi="Arial" w:cs="Arial"/>
                <w:sz w:val="16"/>
                <w:szCs w:val="16"/>
              </w:rPr>
              <w:t>Other alcoholic beverages(a)</w:t>
            </w:r>
          </w:p>
        </w:tc>
        <w:tc>
          <w:tcPr>
            <w:tcW w:w="736" w:type="pct"/>
            <w:tcBorders>
              <w:top w:val="nil"/>
              <w:left w:val="nil"/>
              <w:bottom w:val="nil"/>
              <w:right w:val="nil"/>
            </w:tcBorders>
            <w:shd w:val="clear" w:color="auto" w:fill="auto"/>
            <w:noWrap/>
            <w:vAlign w:val="center"/>
            <w:hideMark/>
          </w:tcPr>
          <w:p w14:paraId="6FF02EE7"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1,770</w:t>
            </w:r>
          </w:p>
        </w:tc>
        <w:tc>
          <w:tcPr>
            <w:tcW w:w="736" w:type="pct"/>
            <w:tcBorders>
              <w:top w:val="nil"/>
              <w:left w:val="nil"/>
              <w:bottom w:val="nil"/>
              <w:right w:val="nil"/>
            </w:tcBorders>
            <w:shd w:val="clear" w:color="000000" w:fill="E6F2FF"/>
            <w:noWrap/>
            <w:vAlign w:val="center"/>
            <w:hideMark/>
          </w:tcPr>
          <w:p w14:paraId="6C443E64"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1,750</w:t>
            </w:r>
          </w:p>
        </w:tc>
        <w:tc>
          <w:tcPr>
            <w:tcW w:w="57" w:type="pct"/>
            <w:tcBorders>
              <w:top w:val="nil"/>
              <w:left w:val="nil"/>
              <w:bottom w:val="nil"/>
              <w:right w:val="nil"/>
            </w:tcBorders>
            <w:shd w:val="clear" w:color="auto" w:fill="auto"/>
            <w:noWrap/>
            <w:vAlign w:val="center"/>
            <w:hideMark/>
          </w:tcPr>
          <w:p w14:paraId="111A6084" w14:textId="77777777" w:rsidR="003B54EA" w:rsidRPr="00673C1F" w:rsidRDefault="003B54EA" w:rsidP="003B54EA">
            <w:pPr>
              <w:spacing w:before="0" w:after="0" w:line="240" w:lineRule="auto"/>
              <w:jc w:val="right"/>
              <w:rPr>
                <w:rFonts w:ascii="Arial" w:hAnsi="Arial" w:cs="Arial"/>
                <w:sz w:val="16"/>
                <w:szCs w:val="16"/>
              </w:rPr>
            </w:pPr>
          </w:p>
        </w:tc>
        <w:tc>
          <w:tcPr>
            <w:tcW w:w="736" w:type="pct"/>
            <w:tcBorders>
              <w:top w:val="nil"/>
              <w:left w:val="nil"/>
              <w:bottom w:val="nil"/>
              <w:right w:val="nil"/>
            </w:tcBorders>
            <w:shd w:val="clear" w:color="auto" w:fill="auto"/>
            <w:noWrap/>
            <w:vAlign w:val="center"/>
            <w:hideMark/>
          </w:tcPr>
          <w:p w14:paraId="3BF567DE" w14:textId="43FD0FB4"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20</w:t>
            </w:r>
          </w:p>
        </w:tc>
        <w:tc>
          <w:tcPr>
            <w:tcW w:w="736" w:type="pct"/>
            <w:tcBorders>
              <w:top w:val="nil"/>
              <w:left w:val="nil"/>
              <w:bottom w:val="nil"/>
              <w:right w:val="nil"/>
            </w:tcBorders>
            <w:shd w:val="clear" w:color="auto" w:fill="auto"/>
            <w:noWrap/>
            <w:vAlign w:val="center"/>
            <w:hideMark/>
          </w:tcPr>
          <w:p w14:paraId="509E872A" w14:textId="4683CF8C"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1.1</w:t>
            </w:r>
          </w:p>
        </w:tc>
      </w:tr>
      <w:tr w:rsidR="003B54EA" w:rsidRPr="00673C1F" w14:paraId="72C2661D" w14:textId="77777777" w:rsidTr="003B54EA">
        <w:trPr>
          <w:trHeight w:hRule="exact" w:val="225"/>
        </w:trPr>
        <w:tc>
          <w:tcPr>
            <w:tcW w:w="2001" w:type="pct"/>
            <w:tcBorders>
              <w:top w:val="nil"/>
              <w:left w:val="nil"/>
              <w:bottom w:val="nil"/>
              <w:right w:val="nil"/>
            </w:tcBorders>
            <w:shd w:val="clear" w:color="auto" w:fill="auto"/>
            <w:noWrap/>
            <w:vAlign w:val="center"/>
            <w:hideMark/>
          </w:tcPr>
          <w:p w14:paraId="588BF668" w14:textId="77777777" w:rsidR="003B54EA" w:rsidRPr="00673C1F" w:rsidRDefault="003B54EA" w:rsidP="003B54EA">
            <w:pPr>
              <w:spacing w:before="0" w:after="0" w:line="240" w:lineRule="auto"/>
              <w:ind w:left="170"/>
              <w:rPr>
                <w:rFonts w:ascii="Arial" w:hAnsi="Arial" w:cs="Arial"/>
                <w:sz w:val="16"/>
                <w:szCs w:val="16"/>
              </w:rPr>
            </w:pPr>
            <w:r w:rsidRPr="00673C1F">
              <w:rPr>
                <w:rFonts w:ascii="Arial" w:hAnsi="Arial" w:cs="Arial"/>
                <w:sz w:val="16"/>
                <w:szCs w:val="16"/>
              </w:rPr>
              <w:t>Other customs duty</w:t>
            </w:r>
          </w:p>
        </w:tc>
        <w:tc>
          <w:tcPr>
            <w:tcW w:w="736" w:type="pct"/>
            <w:tcBorders>
              <w:top w:val="nil"/>
              <w:left w:val="nil"/>
              <w:bottom w:val="nil"/>
              <w:right w:val="nil"/>
            </w:tcBorders>
            <w:shd w:val="clear" w:color="auto" w:fill="auto"/>
            <w:noWrap/>
            <w:vAlign w:val="center"/>
            <w:hideMark/>
          </w:tcPr>
          <w:p w14:paraId="0C78DCE9" w14:textId="77777777" w:rsidR="003B54EA" w:rsidRPr="00673C1F" w:rsidRDefault="003B54EA" w:rsidP="003B54EA">
            <w:pPr>
              <w:spacing w:before="0" w:after="0" w:line="240" w:lineRule="auto"/>
              <w:ind w:firstLineChars="100" w:firstLine="160"/>
              <w:rPr>
                <w:rFonts w:ascii="Arial" w:hAnsi="Arial" w:cs="Arial"/>
                <w:sz w:val="16"/>
                <w:szCs w:val="16"/>
              </w:rPr>
            </w:pPr>
          </w:p>
        </w:tc>
        <w:tc>
          <w:tcPr>
            <w:tcW w:w="736" w:type="pct"/>
            <w:tcBorders>
              <w:top w:val="nil"/>
              <w:left w:val="nil"/>
              <w:bottom w:val="nil"/>
              <w:right w:val="nil"/>
            </w:tcBorders>
            <w:shd w:val="clear" w:color="000000" w:fill="E6F2FF"/>
            <w:noWrap/>
            <w:vAlign w:val="center"/>
            <w:hideMark/>
          </w:tcPr>
          <w:p w14:paraId="13BF840E"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 </w:t>
            </w:r>
          </w:p>
        </w:tc>
        <w:tc>
          <w:tcPr>
            <w:tcW w:w="57" w:type="pct"/>
            <w:tcBorders>
              <w:top w:val="nil"/>
              <w:left w:val="nil"/>
              <w:bottom w:val="nil"/>
              <w:right w:val="nil"/>
            </w:tcBorders>
            <w:shd w:val="clear" w:color="auto" w:fill="auto"/>
            <w:noWrap/>
            <w:vAlign w:val="center"/>
            <w:hideMark/>
          </w:tcPr>
          <w:p w14:paraId="3539C369" w14:textId="77777777" w:rsidR="003B54EA" w:rsidRPr="00673C1F" w:rsidRDefault="003B54EA" w:rsidP="003B54EA">
            <w:pPr>
              <w:spacing w:before="0" w:after="0" w:line="240" w:lineRule="auto"/>
              <w:rPr>
                <w:rFonts w:ascii="Arial" w:hAnsi="Arial" w:cs="Arial"/>
                <w:sz w:val="16"/>
                <w:szCs w:val="16"/>
              </w:rPr>
            </w:pPr>
          </w:p>
        </w:tc>
        <w:tc>
          <w:tcPr>
            <w:tcW w:w="736" w:type="pct"/>
            <w:tcBorders>
              <w:top w:val="nil"/>
              <w:left w:val="nil"/>
              <w:bottom w:val="nil"/>
              <w:right w:val="nil"/>
            </w:tcBorders>
            <w:shd w:val="clear" w:color="auto" w:fill="auto"/>
            <w:noWrap/>
            <w:vAlign w:val="center"/>
            <w:hideMark/>
          </w:tcPr>
          <w:p w14:paraId="040A6113" w14:textId="77777777" w:rsidR="003B54EA" w:rsidRPr="00673C1F" w:rsidRDefault="003B54EA" w:rsidP="003B54EA">
            <w:pPr>
              <w:spacing w:before="0" w:after="0" w:line="240" w:lineRule="auto"/>
              <w:jc w:val="right"/>
              <w:rPr>
                <w:rFonts w:ascii="Times New Roman" w:hAnsi="Times New Roman"/>
                <w:sz w:val="20"/>
              </w:rPr>
            </w:pPr>
          </w:p>
        </w:tc>
        <w:tc>
          <w:tcPr>
            <w:tcW w:w="736" w:type="pct"/>
            <w:tcBorders>
              <w:top w:val="nil"/>
              <w:left w:val="nil"/>
              <w:bottom w:val="nil"/>
              <w:right w:val="nil"/>
            </w:tcBorders>
            <w:shd w:val="clear" w:color="auto" w:fill="auto"/>
            <w:noWrap/>
            <w:vAlign w:val="center"/>
            <w:hideMark/>
          </w:tcPr>
          <w:p w14:paraId="1D3AC5C9" w14:textId="77777777" w:rsidR="003B54EA" w:rsidRPr="00673C1F" w:rsidRDefault="003B54EA" w:rsidP="003B54EA">
            <w:pPr>
              <w:spacing w:before="0" w:after="0" w:line="240" w:lineRule="auto"/>
              <w:jc w:val="right"/>
              <w:rPr>
                <w:rFonts w:ascii="Times New Roman" w:hAnsi="Times New Roman"/>
                <w:sz w:val="20"/>
              </w:rPr>
            </w:pPr>
          </w:p>
        </w:tc>
      </w:tr>
      <w:tr w:rsidR="003B54EA" w:rsidRPr="00673C1F" w14:paraId="62A72EC7" w14:textId="77777777" w:rsidTr="003B54EA">
        <w:trPr>
          <w:trHeight w:hRule="exact" w:val="225"/>
        </w:trPr>
        <w:tc>
          <w:tcPr>
            <w:tcW w:w="2001" w:type="pct"/>
            <w:tcBorders>
              <w:top w:val="nil"/>
              <w:left w:val="nil"/>
              <w:bottom w:val="nil"/>
              <w:right w:val="nil"/>
            </w:tcBorders>
            <w:shd w:val="clear" w:color="auto" w:fill="auto"/>
            <w:noWrap/>
            <w:vAlign w:val="bottom"/>
            <w:hideMark/>
          </w:tcPr>
          <w:p w14:paraId="26D46C49" w14:textId="77777777" w:rsidR="003B54EA" w:rsidRPr="00673C1F" w:rsidRDefault="003B54EA" w:rsidP="003B54EA">
            <w:pPr>
              <w:spacing w:before="0" w:after="0" w:line="240" w:lineRule="auto"/>
              <w:ind w:left="170"/>
              <w:rPr>
                <w:rFonts w:ascii="Arial" w:hAnsi="Arial" w:cs="Arial"/>
                <w:sz w:val="16"/>
                <w:szCs w:val="16"/>
              </w:rPr>
            </w:pPr>
            <w:r w:rsidRPr="00673C1F">
              <w:rPr>
                <w:rFonts w:ascii="Arial" w:hAnsi="Arial" w:cs="Arial"/>
                <w:sz w:val="16"/>
                <w:szCs w:val="16"/>
              </w:rPr>
              <w:t xml:space="preserve">    Textiles, clothing and footwear</w:t>
            </w:r>
          </w:p>
        </w:tc>
        <w:tc>
          <w:tcPr>
            <w:tcW w:w="736" w:type="pct"/>
            <w:tcBorders>
              <w:top w:val="nil"/>
              <w:left w:val="nil"/>
              <w:bottom w:val="nil"/>
              <w:right w:val="nil"/>
            </w:tcBorders>
            <w:shd w:val="clear" w:color="auto" w:fill="auto"/>
            <w:noWrap/>
            <w:vAlign w:val="center"/>
            <w:hideMark/>
          </w:tcPr>
          <w:p w14:paraId="3E4AE8D6"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190</w:t>
            </w:r>
          </w:p>
        </w:tc>
        <w:tc>
          <w:tcPr>
            <w:tcW w:w="736" w:type="pct"/>
            <w:tcBorders>
              <w:top w:val="nil"/>
              <w:left w:val="nil"/>
              <w:bottom w:val="nil"/>
              <w:right w:val="nil"/>
            </w:tcBorders>
            <w:shd w:val="clear" w:color="000000" w:fill="E6F2FF"/>
            <w:noWrap/>
            <w:vAlign w:val="center"/>
            <w:hideMark/>
          </w:tcPr>
          <w:p w14:paraId="5AD33C0C"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170</w:t>
            </w:r>
          </w:p>
        </w:tc>
        <w:tc>
          <w:tcPr>
            <w:tcW w:w="57" w:type="pct"/>
            <w:tcBorders>
              <w:top w:val="nil"/>
              <w:left w:val="nil"/>
              <w:bottom w:val="nil"/>
              <w:right w:val="nil"/>
            </w:tcBorders>
            <w:shd w:val="clear" w:color="auto" w:fill="auto"/>
            <w:noWrap/>
            <w:vAlign w:val="center"/>
            <w:hideMark/>
          </w:tcPr>
          <w:p w14:paraId="74B37E2F" w14:textId="77777777" w:rsidR="003B54EA" w:rsidRPr="00673C1F" w:rsidRDefault="003B54EA" w:rsidP="003B54EA">
            <w:pPr>
              <w:spacing w:before="0" w:after="0" w:line="240" w:lineRule="auto"/>
              <w:jc w:val="right"/>
              <w:rPr>
                <w:rFonts w:ascii="Arial" w:hAnsi="Arial" w:cs="Arial"/>
                <w:sz w:val="16"/>
                <w:szCs w:val="16"/>
              </w:rPr>
            </w:pPr>
          </w:p>
        </w:tc>
        <w:tc>
          <w:tcPr>
            <w:tcW w:w="736" w:type="pct"/>
            <w:tcBorders>
              <w:top w:val="nil"/>
              <w:left w:val="nil"/>
              <w:bottom w:val="nil"/>
              <w:right w:val="nil"/>
            </w:tcBorders>
            <w:shd w:val="clear" w:color="auto" w:fill="auto"/>
            <w:noWrap/>
            <w:vAlign w:val="center"/>
            <w:hideMark/>
          </w:tcPr>
          <w:p w14:paraId="24FCCB82" w14:textId="1BE67C6F"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20</w:t>
            </w:r>
          </w:p>
        </w:tc>
        <w:tc>
          <w:tcPr>
            <w:tcW w:w="736" w:type="pct"/>
            <w:tcBorders>
              <w:top w:val="nil"/>
              <w:left w:val="nil"/>
              <w:bottom w:val="nil"/>
              <w:right w:val="nil"/>
            </w:tcBorders>
            <w:shd w:val="clear" w:color="auto" w:fill="auto"/>
            <w:noWrap/>
            <w:vAlign w:val="center"/>
            <w:hideMark/>
          </w:tcPr>
          <w:p w14:paraId="11180C93" w14:textId="64DAE84E"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10.5</w:t>
            </w:r>
          </w:p>
        </w:tc>
      </w:tr>
      <w:tr w:rsidR="003B54EA" w:rsidRPr="00673C1F" w14:paraId="03BCF756" w14:textId="77777777" w:rsidTr="003B54EA">
        <w:trPr>
          <w:trHeight w:hRule="exact" w:val="225"/>
        </w:trPr>
        <w:tc>
          <w:tcPr>
            <w:tcW w:w="2001" w:type="pct"/>
            <w:tcBorders>
              <w:top w:val="nil"/>
              <w:left w:val="nil"/>
              <w:bottom w:val="nil"/>
              <w:right w:val="nil"/>
            </w:tcBorders>
            <w:shd w:val="clear" w:color="auto" w:fill="auto"/>
            <w:noWrap/>
            <w:vAlign w:val="bottom"/>
            <w:hideMark/>
          </w:tcPr>
          <w:p w14:paraId="42BA7E28" w14:textId="77777777" w:rsidR="003B54EA" w:rsidRPr="00673C1F" w:rsidRDefault="003B54EA" w:rsidP="003B54EA">
            <w:pPr>
              <w:spacing w:before="0" w:after="0" w:line="240" w:lineRule="auto"/>
              <w:ind w:left="170"/>
              <w:rPr>
                <w:rFonts w:ascii="Arial" w:hAnsi="Arial" w:cs="Arial"/>
                <w:sz w:val="16"/>
                <w:szCs w:val="16"/>
              </w:rPr>
            </w:pPr>
            <w:r w:rsidRPr="00673C1F">
              <w:rPr>
                <w:rFonts w:ascii="Arial" w:hAnsi="Arial" w:cs="Arial"/>
                <w:sz w:val="16"/>
                <w:szCs w:val="16"/>
              </w:rPr>
              <w:t xml:space="preserve">    Passenger motor vehicles</w:t>
            </w:r>
          </w:p>
        </w:tc>
        <w:tc>
          <w:tcPr>
            <w:tcW w:w="736" w:type="pct"/>
            <w:tcBorders>
              <w:top w:val="nil"/>
              <w:left w:val="nil"/>
              <w:bottom w:val="nil"/>
              <w:right w:val="nil"/>
            </w:tcBorders>
            <w:shd w:val="clear" w:color="auto" w:fill="auto"/>
            <w:noWrap/>
            <w:vAlign w:val="center"/>
            <w:hideMark/>
          </w:tcPr>
          <w:p w14:paraId="078693A9"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420</w:t>
            </w:r>
          </w:p>
        </w:tc>
        <w:tc>
          <w:tcPr>
            <w:tcW w:w="736" w:type="pct"/>
            <w:tcBorders>
              <w:top w:val="nil"/>
              <w:left w:val="nil"/>
              <w:bottom w:val="nil"/>
              <w:right w:val="nil"/>
            </w:tcBorders>
            <w:shd w:val="clear" w:color="000000" w:fill="E6F2FF"/>
            <w:noWrap/>
            <w:vAlign w:val="center"/>
            <w:hideMark/>
          </w:tcPr>
          <w:p w14:paraId="50DB66AD"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380</w:t>
            </w:r>
          </w:p>
        </w:tc>
        <w:tc>
          <w:tcPr>
            <w:tcW w:w="57" w:type="pct"/>
            <w:tcBorders>
              <w:top w:val="nil"/>
              <w:left w:val="nil"/>
              <w:bottom w:val="nil"/>
              <w:right w:val="nil"/>
            </w:tcBorders>
            <w:shd w:val="clear" w:color="auto" w:fill="auto"/>
            <w:noWrap/>
            <w:vAlign w:val="center"/>
            <w:hideMark/>
          </w:tcPr>
          <w:p w14:paraId="0BFEE21A" w14:textId="77777777" w:rsidR="003B54EA" w:rsidRPr="00673C1F" w:rsidRDefault="003B54EA" w:rsidP="003B54EA">
            <w:pPr>
              <w:spacing w:before="0" w:after="0" w:line="240" w:lineRule="auto"/>
              <w:jc w:val="right"/>
              <w:rPr>
                <w:rFonts w:ascii="Arial" w:hAnsi="Arial" w:cs="Arial"/>
                <w:sz w:val="16"/>
                <w:szCs w:val="16"/>
              </w:rPr>
            </w:pPr>
          </w:p>
        </w:tc>
        <w:tc>
          <w:tcPr>
            <w:tcW w:w="736" w:type="pct"/>
            <w:tcBorders>
              <w:top w:val="nil"/>
              <w:left w:val="nil"/>
              <w:bottom w:val="nil"/>
              <w:right w:val="nil"/>
            </w:tcBorders>
            <w:shd w:val="clear" w:color="auto" w:fill="auto"/>
            <w:noWrap/>
            <w:vAlign w:val="center"/>
            <w:hideMark/>
          </w:tcPr>
          <w:p w14:paraId="4C34BE76" w14:textId="02225AA7"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40</w:t>
            </w:r>
          </w:p>
        </w:tc>
        <w:tc>
          <w:tcPr>
            <w:tcW w:w="736" w:type="pct"/>
            <w:tcBorders>
              <w:top w:val="nil"/>
              <w:left w:val="nil"/>
              <w:bottom w:val="nil"/>
              <w:right w:val="nil"/>
            </w:tcBorders>
            <w:shd w:val="clear" w:color="auto" w:fill="auto"/>
            <w:noWrap/>
            <w:vAlign w:val="center"/>
            <w:hideMark/>
          </w:tcPr>
          <w:p w14:paraId="1E7B857E" w14:textId="42D301D6"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9.5</w:t>
            </w:r>
          </w:p>
        </w:tc>
      </w:tr>
      <w:tr w:rsidR="003B54EA" w:rsidRPr="00673C1F" w14:paraId="2D7892DE" w14:textId="77777777" w:rsidTr="003B54EA">
        <w:trPr>
          <w:trHeight w:hRule="exact" w:val="225"/>
        </w:trPr>
        <w:tc>
          <w:tcPr>
            <w:tcW w:w="2001" w:type="pct"/>
            <w:tcBorders>
              <w:top w:val="nil"/>
              <w:left w:val="nil"/>
              <w:bottom w:val="nil"/>
              <w:right w:val="nil"/>
            </w:tcBorders>
            <w:shd w:val="clear" w:color="auto" w:fill="auto"/>
            <w:noWrap/>
            <w:vAlign w:val="center"/>
            <w:hideMark/>
          </w:tcPr>
          <w:p w14:paraId="03695971" w14:textId="77777777" w:rsidR="003B54EA" w:rsidRPr="00673C1F" w:rsidRDefault="003B54EA" w:rsidP="003B54EA">
            <w:pPr>
              <w:spacing w:before="0" w:after="0" w:line="240" w:lineRule="auto"/>
              <w:ind w:left="170"/>
              <w:rPr>
                <w:rFonts w:ascii="Arial" w:hAnsi="Arial" w:cs="Arial"/>
                <w:sz w:val="16"/>
                <w:szCs w:val="16"/>
              </w:rPr>
            </w:pPr>
            <w:r w:rsidRPr="00673C1F">
              <w:rPr>
                <w:rFonts w:ascii="Arial" w:hAnsi="Arial" w:cs="Arial"/>
                <w:sz w:val="16"/>
                <w:szCs w:val="16"/>
              </w:rPr>
              <w:t xml:space="preserve">    Other imports</w:t>
            </w:r>
          </w:p>
        </w:tc>
        <w:tc>
          <w:tcPr>
            <w:tcW w:w="736" w:type="pct"/>
            <w:tcBorders>
              <w:top w:val="nil"/>
              <w:left w:val="nil"/>
              <w:bottom w:val="nil"/>
              <w:right w:val="nil"/>
            </w:tcBorders>
            <w:shd w:val="clear" w:color="auto" w:fill="auto"/>
            <w:noWrap/>
            <w:vAlign w:val="center"/>
            <w:hideMark/>
          </w:tcPr>
          <w:p w14:paraId="7B98E431"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1,530</w:t>
            </w:r>
          </w:p>
        </w:tc>
        <w:tc>
          <w:tcPr>
            <w:tcW w:w="736" w:type="pct"/>
            <w:tcBorders>
              <w:top w:val="nil"/>
              <w:left w:val="nil"/>
              <w:bottom w:val="nil"/>
              <w:right w:val="nil"/>
            </w:tcBorders>
            <w:shd w:val="clear" w:color="000000" w:fill="E6F2FF"/>
            <w:noWrap/>
            <w:vAlign w:val="center"/>
            <w:hideMark/>
          </w:tcPr>
          <w:p w14:paraId="33772915"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1,530</w:t>
            </w:r>
          </w:p>
        </w:tc>
        <w:tc>
          <w:tcPr>
            <w:tcW w:w="57" w:type="pct"/>
            <w:tcBorders>
              <w:top w:val="nil"/>
              <w:left w:val="nil"/>
              <w:bottom w:val="nil"/>
              <w:right w:val="nil"/>
            </w:tcBorders>
            <w:shd w:val="clear" w:color="auto" w:fill="auto"/>
            <w:noWrap/>
            <w:vAlign w:val="center"/>
            <w:hideMark/>
          </w:tcPr>
          <w:p w14:paraId="7D6FD913" w14:textId="77777777" w:rsidR="003B54EA" w:rsidRPr="00673C1F" w:rsidRDefault="003B54EA" w:rsidP="003B54EA">
            <w:pPr>
              <w:spacing w:before="0" w:after="0" w:line="240" w:lineRule="auto"/>
              <w:jc w:val="right"/>
              <w:rPr>
                <w:rFonts w:ascii="Arial" w:hAnsi="Arial" w:cs="Arial"/>
                <w:sz w:val="16"/>
                <w:szCs w:val="16"/>
              </w:rPr>
            </w:pPr>
          </w:p>
        </w:tc>
        <w:tc>
          <w:tcPr>
            <w:tcW w:w="736" w:type="pct"/>
            <w:tcBorders>
              <w:top w:val="nil"/>
              <w:left w:val="nil"/>
              <w:bottom w:val="nil"/>
              <w:right w:val="nil"/>
            </w:tcBorders>
            <w:shd w:val="clear" w:color="auto" w:fill="auto"/>
            <w:noWrap/>
            <w:vAlign w:val="center"/>
            <w:hideMark/>
          </w:tcPr>
          <w:p w14:paraId="46E7B4EC"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0</w:t>
            </w:r>
          </w:p>
        </w:tc>
        <w:tc>
          <w:tcPr>
            <w:tcW w:w="736" w:type="pct"/>
            <w:tcBorders>
              <w:top w:val="nil"/>
              <w:left w:val="nil"/>
              <w:bottom w:val="nil"/>
              <w:right w:val="nil"/>
            </w:tcBorders>
            <w:shd w:val="clear" w:color="auto" w:fill="auto"/>
            <w:noWrap/>
            <w:vAlign w:val="center"/>
            <w:hideMark/>
          </w:tcPr>
          <w:p w14:paraId="4214A7DD"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0.0</w:t>
            </w:r>
          </w:p>
        </w:tc>
      </w:tr>
      <w:tr w:rsidR="003B54EA" w:rsidRPr="00673C1F" w14:paraId="622F2AEB" w14:textId="77777777" w:rsidTr="003B54EA">
        <w:trPr>
          <w:trHeight w:hRule="exact" w:val="225"/>
        </w:trPr>
        <w:tc>
          <w:tcPr>
            <w:tcW w:w="2001" w:type="pct"/>
            <w:tcBorders>
              <w:top w:val="nil"/>
              <w:left w:val="nil"/>
              <w:bottom w:val="nil"/>
              <w:right w:val="nil"/>
            </w:tcBorders>
            <w:shd w:val="clear" w:color="auto" w:fill="auto"/>
            <w:noWrap/>
            <w:vAlign w:val="bottom"/>
            <w:hideMark/>
          </w:tcPr>
          <w:p w14:paraId="05A7105D" w14:textId="77777777" w:rsidR="003B54EA" w:rsidRPr="00673C1F" w:rsidRDefault="003B54EA" w:rsidP="003B54EA">
            <w:pPr>
              <w:spacing w:before="0" w:after="0" w:line="240" w:lineRule="auto"/>
              <w:ind w:left="170"/>
              <w:rPr>
                <w:rFonts w:ascii="Arial" w:hAnsi="Arial" w:cs="Arial"/>
                <w:i/>
                <w:iCs/>
                <w:sz w:val="16"/>
                <w:szCs w:val="16"/>
              </w:rPr>
            </w:pPr>
            <w:r w:rsidRPr="00673C1F">
              <w:rPr>
                <w:rFonts w:ascii="Arial" w:hAnsi="Arial" w:cs="Arial"/>
                <w:i/>
                <w:iCs/>
                <w:sz w:val="16"/>
                <w:szCs w:val="16"/>
              </w:rPr>
              <w:t xml:space="preserve">less: </w:t>
            </w:r>
            <w:r w:rsidRPr="00673C1F">
              <w:rPr>
                <w:rFonts w:ascii="Arial" w:hAnsi="Arial" w:cs="Arial"/>
                <w:sz w:val="16"/>
                <w:szCs w:val="16"/>
              </w:rPr>
              <w:t>Refunds and drawbacks</w:t>
            </w:r>
          </w:p>
        </w:tc>
        <w:tc>
          <w:tcPr>
            <w:tcW w:w="736" w:type="pct"/>
            <w:tcBorders>
              <w:top w:val="nil"/>
              <w:left w:val="nil"/>
              <w:bottom w:val="nil"/>
              <w:right w:val="nil"/>
            </w:tcBorders>
            <w:shd w:val="clear" w:color="auto" w:fill="auto"/>
            <w:noWrap/>
            <w:vAlign w:val="center"/>
            <w:hideMark/>
          </w:tcPr>
          <w:p w14:paraId="752B7EB9"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700</w:t>
            </w:r>
          </w:p>
        </w:tc>
        <w:tc>
          <w:tcPr>
            <w:tcW w:w="736" w:type="pct"/>
            <w:tcBorders>
              <w:top w:val="nil"/>
              <w:left w:val="nil"/>
              <w:bottom w:val="nil"/>
              <w:right w:val="nil"/>
            </w:tcBorders>
            <w:shd w:val="clear" w:color="000000" w:fill="E6F2FF"/>
            <w:noWrap/>
            <w:vAlign w:val="center"/>
            <w:hideMark/>
          </w:tcPr>
          <w:p w14:paraId="20A96F3A"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730</w:t>
            </w:r>
          </w:p>
        </w:tc>
        <w:tc>
          <w:tcPr>
            <w:tcW w:w="57" w:type="pct"/>
            <w:tcBorders>
              <w:top w:val="nil"/>
              <w:left w:val="nil"/>
              <w:bottom w:val="nil"/>
              <w:right w:val="nil"/>
            </w:tcBorders>
            <w:shd w:val="clear" w:color="auto" w:fill="auto"/>
            <w:noWrap/>
            <w:vAlign w:val="center"/>
            <w:hideMark/>
          </w:tcPr>
          <w:p w14:paraId="1F1CCCD4" w14:textId="77777777" w:rsidR="003B54EA" w:rsidRPr="00673C1F" w:rsidRDefault="003B54EA" w:rsidP="003B54EA">
            <w:pPr>
              <w:spacing w:before="0" w:after="0" w:line="240" w:lineRule="auto"/>
              <w:jc w:val="right"/>
              <w:rPr>
                <w:rFonts w:ascii="Arial" w:hAnsi="Arial" w:cs="Arial"/>
                <w:sz w:val="16"/>
                <w:szCs w:val="16"/>
              </w:rPr>
            </w:pPr>
          </w:p>
        </w:tc>
        <w:tc>
          <w:tcPr>
            <w:tcW w:w="736" w:type="pct"/>
            <w:tcBorders>
              <w:top w:val="nil"/>
              <w:left w:val="nil"/>
              <w:bottom w:val="nil"/>
              <w:right w:val="nil"/>
            </w:tcBorders>
            <w:shd w:val="clear" w:color="auto" w:fill="auto"/>
            <w:noWrap/>
            <w:vAlign w:val="center"/>
            <w:hideMark/>
          </w:tcPr>
          <w:p w14:paraId="2EEAA2CE"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30</w:t>
            </w:r>
          </w:p>
        </w:tc>
        <w:tc>
          <w:tcPr>
            <w:tcW w:w="736" w:type="pct"/>
            <w:tcBorders>
              <w:top w:val="nil"/>
              <w:left w:val="nil"/>
              <w:bottom w:val="nil"/>
              <w:right w:val="nil"/>
            </w:tcBorders>
            <w:shd w:val="clear" w:color="auto" w:fill="auto"/>
            <w:noWrap/>
            <w:vAlign w:val="center"/>
            <w:hideMark/>
          </w:tcPr>
          <w:p w14:paraId="7A747EBE"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4.3</w:t>
            </w:r>
          </w:p>
        </w:tc>
      </w:tr>
      <w:tr w:rsidR="003B54EA" w:rsidRPr="00673C1F" w14:paraId="6F730137" w14:textId="77777777" w:rsidTr="003B54EA">
        <w:trPr>
          <w:trHeight w:hRule="exact" w:val="225"/>
        </w:trPr>
        <w:tc>
          <w:tcPr>
            <w:tcW w:w="2001" w:type="pct"/>
            <w:tcBorders>
              <w:top w:val="nil"/>
              <w:left w:val="nil"/>
              <w:bottom w:val="nil"/>
              <w:right w:val="nil"/>
            </w:tcBorders>
            <w:shd w:val="clear" w:color="auto" w:fill="auto"/>
            <w:noWrap/>
            <w:vAlign w:val="bottom"/>
            <w:hideMark/>
          </w:tcPr>
          <w:p w14:paraId="468E68CA"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 xml:space="preserve">Total excise and customs duty </w:t>
            </w:r>
          </w:p>
        </w:tc>
        <w:tc>
          <w:tcPr>
            <w:tcW w:w="736" w:type="pct"/>
            <w:tcBorders>
              <w:top w:val="single" w:sz="4" w:space="0" w:color="293F5B"/>
              <w:left w:val="nil"/>
              <w:bottom w:val="nil"/>
              <w:right w:val="nil"/>
            </w:tcBorders>
            <w:shd w:val="clear" w:color="auto" w:fill="auto"/>
            <w:noWrap/>
            <w:vAlign w:val="center"/>
            <w:hideMark/>
          </w:tcPr>
          <w:p w14:paraId="6056EB0B"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49,660</w:t>
            </w:r>
          </w:p>
        </w:tc>
        <w:tc>
          <w:tcPr>
            <w:tcW w:w="736" w:type="pct"/>
            <w:tcBorders>
              <w:top w:val="single" w:sz="4" w:space="0" w:color="293F5B"/>
              <w:left w:val="nil"/>
              <w:bottom w:val="nil"/>
              <w:right w:val="nil"/>
            </w:tcBorders>
            <w:shd w:val="clear" w:color="000000" w:fill="E6F2FF"/>
            <w:noWrap/>
            <w:vAlign w:val="center"/>
            <w:hideMark/>
          </w:tcPr>
          <w:p w14:paraId="0183E0CA"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47,900</w:t>
            </w:r>
          </w:p>
        </w:tc>
        <w:tc>
          <w:tcPr>
            <w:tcW w:w="57" w:type="pct"/>
            <w:tcBorders>
              <w:top w:val="nil"/>
              <w:left w:val="nil"/>
              <w:bottom w:val="nil"/>
              <w:right w:val="nil"/>
            </w:tcBorders>
            <w:shd w:val="clear" w:color="auto" w:fill="auto"/>
            <w:noWrap/>
            <w:vAlign w:val="center"/>
            <w:hideMark/>
          </w:tcPr>
          <w:p w14:paraId="3B53460D" w14:textId="77777777" w:rsidR="003B54EA" w:rsidRPr="00673C1F" w:rsidRDefault="003B54EA" w:rsidP="003B54EA">
            <w:pPr>
              <w:spacing w:before="0" w:after="0" w:line="240" w:lineRule="auto"/>
              <w:jc w:val="right"/>
              <w:rPr>
                <w:rFonts w:ascii="Arial" w:hAnsi="Arial" w:cs="Arial"/>
                <w:sz w:val="16"/>
                <w:szCs w:val="16"/>
              </w:rPr>
            </w:pPr>
          </w:p>
        </w:tc>
        <w:tc>
          <w:tcPr>
            <w:tcW w:w="736" w:type="pct"/>
            <w:tcBorders>
              <w:top w:val="single" w:sz="4" w:space="0" w:color="293F5B"/>
              <w:left w:val="nil"/>
              <w:bottom w:val="nil"/>
              <w:right w:val="nil"/>
            </w:tcBorders>
            <w:shd w:val="clear" w:color="auto" w:fill="auto"/>
            <w:noWrap/>
            <w:vAlign w:val="center"/>
            <w:hideMark/>
          </w:tcPr>
          <w:p w14:paraId="04B3420F" w14:textId="2534FCFE"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1,760</w:t>
            </w:r>
          </w:p>
        </w:tc>
        <w:tc>
          <w:tcPr>
            <w:tcW w:w="736" w:type="pct"/>
            <w:tcBorders>
              <w:top w:val="single" w:sz="4" w:space="0" w:color="293F5B"/>
              <w:left w:val="nil"/>
              <w:bottom w:val="nil"/>
              <w:right w:val="nil"/>
            </w:tcBorders>
            <w:shd w:val="clear" w:color="auto" w:fill="auto"/>
            <w:noWrap/>
            <w:vAlign w:val="center"/>
            <w:hideMark/>
          </w:tcPr>
          <w:p w14:paraId="6BF9F683" w14:textId="5E54C8DE"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3.5</w:t>
            </w:r>
          </w:p>
        </w:tc>
      </w:tr>
      <w:tr w:rsidR="003B54EA" w:rsidRPr="00673C1F" w14:paraId="348866D0" w14:textId="77777777" w:rsidTr="003B54EA">
        <w:trPr>
          <w:trHeight w:hRule="exact" w:val="225"/>
        </w:trPr>
        <w:tc>
          <w:tcPr>
            <w:tcW w:w="2001" w:type="pct"/>
            <w:tcBorders>
              <w:top w:val="nil"/>
              <w:left w:val="nil"/>
              <w:bottom w:val="nil"/>
              <w:right w:val="nil"/>
            </w:tcBorders>
            <w:shd w:val="clear" w:color="auto" w:fill="auto"/>
            <w:noWrap/>
            <w:vAlign w:val="center"/>
            <w:hideMark/>
          </w:tcPr>
          <w:p w14:paraId="2A027E1D"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Major Bank Levy</w:t>
            </w:r>
          </w:p>
        </w:tc>
        <w:tc>
          <w:tcPr>
            <w:tcW w:w="736" w:type="pct"/>
            <w:tcBorders>
              <w:top w:val="nil"/>
              <w:left w:val="nil"/>
              <w:bottom w:val="nil"/>
              <w:right w:val="nil"/>
            </w:tcBorders>
            <w:shd w:val="clear" w:color="auto" w:fill="auto"/>
            <w:noWrap/>
            <w:vAlign w:val="center"/>
            <w:hideMark/>
          </w:tcPr>
          <w:p w14:paraId="3CACDE00"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1,660</w:t>
            </w:r>
          </w:p>
        </w:tc>
        <w:tc>
          <w:tcPr>
            <w:tcW w:w="736" w:type="pct"/>
            <w:tcBorders>
              <w:top w:val="nil"/>
              <w:left w:val="nil"/>
              <w:bottom w:val="nil"/>
              <w:right w:val="nil"/>
            </w:tcBorders>
            <w:shd w:val="clear" w:color="000000" w:fill="E6F2FF"/>
            <w:noWrap/>
            <w:vAlign w:val="center"/>
            <w:hideMark/>
          </w:tcPr>
          <w:p w14:paraId="4ECD7A12"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1,720</w:t>
            </w:r>
          </w:p>
        </w:tc>
        <w:tc>
          <w:tcPr>
            <w:tcW w:w="57" w:type="pct"/>
            <w:tcBorders>
              <w:top w:val="nil"/>
              <w:left w:val="nil"/>
              <w:bottom w:val="nil"/>
              <w:right w:val="nil"/>
            </w:tcBorders>
            <w:shd w:val="clear" w:color="auto" w:fill="auto"/>
            <w:noWrap/>
            <w:vAlign w:val="center"/>
            <w:hideMark/>
          </w:tcPr>
          <w:p w14:paraId="3BD0D6BC" w14:textId="77777777" w:rsidR="003B54EA" w:rsidRPr="00673C1F" w:rsidRDefault="003B54EA" w:rsidP="003B54EA">
            <w:pPr>
              <w:spacing w:before="0" w:after="0" w:line="240" w:lineRule="auto"/>
              <w:jc w:val="right"/>
              <w:rPr>
                <w:rFonts w:ascii="Arial" w:hAnsi="Arial" w:cs="Arial"/>
                <w:sz w:val="16"/>
                <w:szCs w:val="16"/>
              </w:rPr>
            </w:pPr>
          </w:p>
        </w:tc>
        <w:tc>
          <w:tcPr>
            <w:tcW w:w="736" w:type="pct"/>
            <w:tcBorders>
              <w:top w:val="nil"/>
              <w:left w:val="nil"/>
              <w:bottom w:val="nil"/>
              <w:right w:val="nil"/>
            </w:tcBorders>
            <w:shd w:val="clear" w:color="auto" w:fill="auto"/>
            <w:noWrap/>
            <w:vAlign w:val="center"/>
            <w:hideMark/>
          </w:tcPr>
          <w:p w14:paraId="55CACE1A"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60</w:t>
            </w:r>
          </w:p>
        </w:tc>
        <w:tc>
          <w:tcPr>
            <w:tcW w:w="736" w:type="pct"/>
            <w:tcBorders>
              <w:top w:val="nil"/>
              <w:left w:val="nil"/>
              <w:bottom w:val="nil"/>
              <w:right w:val="nil"/>
            </w:tcBorders>
            <w:shd w:val="clear" w:color="auto" w:fill="auto"/>
            <w:noWrap/>
            <w:vAlign w:val="center"/>
            <w:hideMark/>
          </w:tcPr>
          <w:p w14:paraId="6051932F"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3.6</w:t>
            </w:r>
          </w:p>
        </w:tc>
      </w:tr>
      <w:tr w:rsidR="003B54EA" w:rsidRPr="00673C1F" w14:paraId="6DF93951" w14:textId="77777777" w:rsidTr="003B54EA">
        <w:trPr>
          <w:trHeight w:hRule="exact" w:val="225"/>
        </w:trPr>
        <w:tc>
          <w:tcPr>
            <w:tcW w:w="2001" w:type="pct"/>
            <w:tcBorders>
              <w:top w:val="nil"/>
              <w:left w:val="nil"/>
              <w:bottom w:val="nil"/>
              <w:right w:val="nil"/>
            </w:tcBorders>
            <w:shd w:val="clear" w:color="auto" w:fill="auto"/>
            <w:noWrap/>
            <w:vAlign w:val="center"/>
            <w:hideMark/>
          </w:tcPr>
          <w:p w14:paraId="6FDD1340"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Agricultural levies</w:t>
            </w:r>
          </w:p>
        </w:tc>
        <w:tc>
          <w:tcPr>
            <w:tcW w:w="736" w:type="pct"/>
            <w:tcBorders>
              <w:top w:val="nil"/>
              <w:left w:val="nil"/>
              <w:bottom w:val="nil"/>
              <w:right w:val="nil"/>
            </w:tcBorders>
            <w:shd w:val="clear" w:color="auto" w:fill="auto"/>
            <w:noWrap/>
            <w:vAlign w:val="center"/>
            <w:hideMark/>
          </w:tcPr>
          <w:p w14:paraId="0F38685A"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634</w:t>
            </w:r>
          </w:p>
        </w:tc>
        <w:tc>
          <w:tcPr>
            <w:tcW w:w="736" w:type="pct"/>
            <w:tcBorders>
              <w:top w:val="nil"/>
              <w:left w:val="nil"/>
              <w:bottom w:val="nil"/>
              <w:right w:val="nil"/>
            </w:tcBorders>
            <w:shd w:val="clear" w:color="000000" w:fill="E6F2FF"/>
            <w:noWrap/>
            <w:vAlign w:val="center"/>
            <w:hideMark/>
          </w:tcPr>
          <w:p w14:paraId="0207FFF8"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623</w:t>
            </w:r>
          </w:p>
        </w:tc>
        <w:tc>
          <w:tcPr>
            <w:tcW w:w="57" w:type="pct"/>
            <w:tcBorders>
              <w:top w:val="nil"/>
              <w:left w:val="nil"/>
              <w:bottom w:val="nil"/>
              <w:right w:val="nil"/>
            </w:tcBorders>
            <w:shd w:val="clear" w:color="auto" w:fill="auto"/>
            <w:noWrap/>
            <w:vAlign w:val="center"/>
            <w:hideMark/>
          </w:tcPr>
          <w:p w14:paraId="07F37436" w14:textId="77777777" w:rsidR="003B54EA" w:rsidRPr="00673C1F" w:rsidRDefault="003B54EA" w:rsidP="003B54EA">
            <w:pPr>
              <w:spacing w:before="0" w:after="0" w:line="240" w:lineRule="auto"/>
              <w:jc w:val="right"/>
              <w:rPr>
                <w:rFonts w:ascii="Arial" w:hAnsi="Arial" w:cs="Arial"/>
                <w:sz w:val="16"/>
                <w:szCs w:val="16"/>
              </w:rPr>
            </w:pPr>
          </w:p>
        </w:tc>
        <w:tc>
          <w:tcPr>
            <w:tcW w:w="736" w:type="pct"/>
            <w:tcBorders>
              <w:top w:val="nil"/>
              <w:left w:val="nil"/>
              <w:bottom w:val="nil"/>
              <w:right w:val="nil"/>
            </w:tcBorders>
            <w:shd w:val="clear" w:color="auto" w:fill="auto"/>
            <w:noWrap/>
            <w:vAlign w:val="center"/>
            <w:hideMark/>
          </w:tcPr>
          <w:p w14:paraId="21BDE80E" w14:textId="37984C87"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11</w:t>
            </w:r>
          </w:p>
        </w:tc>
        <w:tc>
          <w:tcPr>
            <w:tcW w:w="736" w:type="pct"/>
            <w:tcBorders>
              <w:top w:val="nil"/>
              <w:left w:val="nil"/>
              <w:bottom w:val="nil"/>
              <w:right w:val="nil"/>
            </w:tcBorders>
            <w:shd w:val="clear" w:color="auto" w:fill="auto"/>
            <w:noWrap/>
            <w:vAlign w:val="center"/>
            <w:hideMark/>
          </w:tcPr>
          <w:p w14:paraId="0D7C208B" w14:textId="25F24CC8"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1.7</w:t>
            </w:r>
          </w:p>
        </w:tc>
      </w:tr>
      <w:tr w:rsidR="003B54EA" w:rsidRPr="00673C1F" w14:paraId="535CB6E0" w14:textId="77777777" w:rsidTr="003B54EA">
        <w:trPr>
          <w:trHeight w:hRule="exact" w:val="225"/>
        </w:trPr>
        <w:tc>
          <w:tcPr>
            <w:tcW w:w="2001" w:type="pct"/>
            <w:tcBorders>
              <w:top w:val="nil"/>
              <w:left w:val="nil"/>
              <w:bottom w:val="nil"/>
              <w:right w:val="nil"/>
            </w:tcBorders>
            <w:shd w:val="clear" w:color="auto" w:fill="auto"/>
            <w:noWrap/>
            <w:vAlign w:val="center"/>
            <w:hideMark/>
          </w:tcPr>
          <w:p w14:paraId="0D18BF32"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Visa application charges</w:t>
            </w:r>
          </w:p>
        </w:tc>
        <w:tc>
          <w:tcPr>
            <w:tcW w:w="736" w:type="pct"/>
            <w:tcBorders>
              <w:top w:val="nil"/>
              <w:left w:val="nil"/>
              <w:bottom w:val="nil"/>
              <w:right w:val="nil"/>
            </w:tcBorders>
            <w:shd w:val="clear" w:color="auto" w:fill="auto"/>
            <w:noWrap/>
            <w:vAlign w:val="center"/>
            <w:hideMark/>
          </w:tcPr>
          <w:p w14:paraId="096B861B"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3,435</w:t>
            </w:r>
          </w:p>
        </w:tc>
        <w:tc>
          <w:tcPr>
            <w:tcW w:w="736" w:type="pct"/>
            <w:tcBorders>
              <w:top w:val="nil"/>
              <w:left w:val="nil"/>
              <w:bottom w:val="nil"/>
              <w:right w:val="nil"/>
            </w:tcBorders>
            <w:shd w:val="clear" w:color="000000" w:fill="E6F2FF"/>
            <w:noWrap/>
            <w:vAlign w:val="center"/>
            <w:hideMark/>
          </w:tcPr>
          <w:p w14:paraId="7D048256"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3,882</w:t>
            </w:r>
          </w:p>
        </w:tc>
        <w:tc>
          <w:tcPr>
            <w:tcW w:w="57" w:type="pct"/>
            <w:tcBorders>
              <w:top w:val="nil"/>
              <w:left w:val="nil"/>
              <w:bottom w:val="nil"/>
              <w:right w:val="nil"/>
            </w:tcBorders>
            <w:shd w:val="clear" w:color="auto" w:fill="auto"/>
            <w:noWrap/>
            <w:vAlign w:val="center"/>
            <w:hideMark/>
          </w:tcPr>
          <w:p w14:paraId="310916DA" w14:textId="77777777" w:rsidR="003B54EA" w:rsidRPr="00673C1F" w:rsidRDefault="003B54EA" w:rsidP="003B54EA">
            <w:pPr>
              <w:spacing w:before="0" w:after="0" w:line="240" w:lineRule="auto"/>
              <w:jc w:val="right"/>
              <w:rPr>
                <w:rFonts w:ascii="Arial" w:hAnsi="Arial" w:cs="Arial"/>
                <w:sz w:val="16"/>
                <w:szCs w:val="16"/>
              </w:rPr>
            </w:pPr>
          </w:p>
        </w:tc>
        <w:tc>
          <w:tcPr>
            <w:tcW w:w="736" w:type="pct"/>
            <w:tcBorders>
              <w:top w:val="nil"/>
              <w:left w:val="nil"/>
              <w:bottom w:val="nil"/>
              <w:right w:val="nil"/>
            </w:tcBorders>
            <w:shd w:val="clear" w:color="auto" w:fill="auto"/>
            <w:noWrap/>
            <w:vAlign w:val="center"/>
            <w:hideMark/>
          </w:tcPr>
          <w:p w14:paraId="44BE7B8B"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447</w:t>
            </w:r>
          </w:p>
        </w:tc>
        <w:tc>
          <w:tcPr>
            <w:tcW w:w="736" w:type="pct"/>
            <w:tcBorders>
              <w:top w:val="nil"/>
              <w:left w:val="nil"/>
              <w:bottom w:val="nil"/>
              <w:right w:val="nil"/>
            </w:tcBorders>
            <w:shd w:val="clear" w:color="auto" w:fill="auto"/>
            <w:noWrap/>
            <w:vAlign w:val="center"/>
            <w:hideMark/>
          </w:tcPr>
          <w:p w14:paraId="5A964EDF"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13.0</w:t>
            </w:r>
          </w:p>
        </w:tc>
      </w:tr>
      <w:tr w:rsidR="003B54EA" w:rsidRPr="00673C1F" w14:paraId="327F326C" w14:textId="77777777" w:rsidTr="003B54EA">
        <w:trPr>
          <w:trHeight w:hRule="exact" w:val="225"/>
        </w:trPr>
        <w:tc>
          <w:tcPr>
            <w:tcW w:w="2001" w:type="pct"/>
            <w:tcBorders>
              <w:top w:val="nil"/>
              <w:left w:val="nil"/>
              <w:bottom w:val="nil"/>
              <w:right w:val="nil"/>
            </w:tcBorders>
            <w:shd w:val="clear" w:color="auto" w:fill="auto"/>
            <w:noWrap/>
            <w:vAlign w:val="center"/>
            <w:hideMark/>
          </w:tcPr>
          <w:p w14:paraId="26E07E80"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Other taxes</w:t>
            </w:r>
          </w:p>
        </w:tc>
        <w:tc>
          <w:tcPr>
            <w:tcW w:w="736" w:type="pct"/>
            <w:tcBorders>
              <w:top w:val="nil"/>
              <w:left w:val="nil"/>
              <w:bottom w:val="nil"/>
              <w:right w:val="nil"/>
            </w:tcBorders>
            <w:shd w:val="clear" w:color="000000" w:fill="FFFFFF"/>
            <w:noWrap/>
            <w:vAlign w:val="center"/>
            <w:hideMark/>
          </w:tcPr>
          <w:p w14:paraId="0D61C726"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5,662</w:t>
            </w:r>
          </w:p>
        </w:tc>
        <w:tc>
          <w:tcPr>
            <w:tcW w:w="736" w:type="pct"/>
            <w:tcBorders>
              <w:top w:val="nil"/>
              <w:left w:val="nil"/>
              <w:bottom w:val="nil"/>
              <w:right w:val="nil"/>
            </w:tcBorders>
            <w:shd w:val="clear" w:color="000000" w:fill="E6F2FF"/>
            <w:noWrap/>
            <w:vAlign w:val="center"/>
            <w:hideMark/>
          </w:tcPr>
          <w:p w14:paraId="7B21BDB0"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6,183</w:t>
            </w:r>
          </w:p>
        </w:tc>
        <w:tc>
          <w:tcPr>
            <w:tcW w:w="57" w:type="pct"/>
            <w:tcBorders>
              <w:top w:val="nil"/>
              <w:left w:val="nil"/>
              <w:bottom w:val="nil"/>
              <w:right w:val="nil"/>
            </w:tcBorders>
            <w:shd w:val="clear" w:color="auto" w:fill="auto"/>
            <w:noWrap/>
            <w:vAlign w:val="center"/>
            <w:hideMark/>
          </w:tcPr>
          <w:p w14:paraId="587714AD" w14:textId="77777777" w:rsidR="003B54EA" w:rsidRPr="00673C1F" w:rsidRDefault="003B54EA" w:rsidP="003B54EA">
            <w:pPr>
              <w:spacing w:before="0" w:after="0" w:line="240" w:lineRule="auto"/>
              <w:jc w:val="right"/>
              <w:rPr>
                <w:rFonts w:ascii="Arial" w:hAnsi="Arial" w:cs="Arial"/>
                <w:sz w:val="16"/>
                <w:szCs w:val="16"/>
              </w:rPr>
            </w:pPr>
          </w:p>
        </w:tc>
        <w:tc>
          <w:tcPr>
            <w:tcW w:w="736" w:type="pct"/>
            <w:tcBorders>
              <w:top w:val="nil"/>
              <w:left w:val="nil"/>
              <w:bottom w:val="nil"/>
              <w:right w:val="nil"/>
            </w:tcBorders>
            <w:shd w:val="clear" w:color="auto" w:fill="auto"/>
            <w:noWrap/>
            <w:vAlign w:val="center"/>
            <w:hideMark/>
          </w:tcPr>
          <w:p w14:paraId="6B6127E8"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522</w:t>
            </w:r>
          </w:p>
        </w:tc>
        <w:tc>
          <w:tcPr>
            <w:tcW w:w="736" w:type="pct"/>
            <w:tcBorders>
              <w:top w:val="nil"/>
              <w:left w:val="nil"/>
              <w:bottom w:val="nil"/>
              <w:right w:val="nil"/>
            </w:tcBorders>
            <w:shd w:val="clear" w:color="auto" w:fill="auto"/>
            <w:noWrap/>
            <w:vAlign w:val="center"/>
            <w:hideMark/>
          </w:tcPr>
          <w:p w14:paraId="0944E12D"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9.2</w:t>
            </w:r>
          </w:p>
        </w:tc>
      </w:tr>
      <w:tr w:rsidR="003B54EA" w:rsidRPr="00673C1F" w14:paraId="05428E1A" w14:textId="77777777" w:rsidTr="003B54EA">
        <w:trPr>
          <w:trHeight w:hRule="exact" w:val="225"/>
        </w:trPr>
        <w:tc>
          <w:tcPr>
            <w:tcW w:w="2001" w:type="pct"/>
            <w:tcBorders>
              <w:top w:val="nil"/>
              <w:left w:val="nil"/>
              <w:bottom w:val="nil"/>
              <w:right w:val="nil"/>
            </w:tcBorders>
            <w:shd w:val="clear" w:color="auto" w:fill="auto"/>
            <w:noWrap/>
            <w:vAlign w:val="center"/>
            <w:hideMark/>
          </w:tcPr>
          <w:p w14:paraId="54BE201E" w14:textId="77777777" w:rsidR="003B54EA" w:rsidRPr="00673C1F" w:rsidRDefault="003B54EA" w:rsidP="003B54EA">
            <w:pPr>
              <w:spacing w:before="0" w:after="0" w:line="240" w:lineRule="auto"/>
              <w:rPr>
                <w:rFonts w:ascii="Arial" w:hAnsi="Arial" w:cs="Arial"/>
                <w:b/>
                <w:bCs/>
                <w:sz w:val="16"/>
                <w:szCs w:val="16"/>
              </w:rPr>
            </w:pPr>
            <w:r w:rsidRPr="00673C1F">
              <w:rPr>
                <w:rFonts w:ascii="Arial" w:hAnsi="Arial" w:cs="Arial"/>
                <w:b/>
                <w:bCs/>
                <w:sz w:val="16"/>
                <w:szCs w:val="16"/>
              </w:rPr>
              <w:t>Indirect taxation receipts</w:t>
            </w:r>
          </w:p>
        </w:tc>
        <w:tc>
          <w:tcPr>
            <w:tcW w:w="736" w:type="pct"/>
            <w:tcBorders>
              <w:top w:val="single" w:sz="4" w:space="0" w:color="293F5B"/>
              <w:left w:val="nil"/>
              <w:bottom w:val="single" w:sz="4" w:space="0" w:color="293F5B"/>
              <w:right w:val="nil"/>
            </w:tcBorders>
            <w:shd w:val="clear" w:color="000000" w:fill="FFFFFF"/>
            <w:noWrap/>
            <w:vAlign w:val="center"/>
            <w:hideMark/>
          </w:tcPr>
          <w:p w14:paraId="1CE2F24C"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151,903</w:t>
            </w:r>
          </w:p>
        </w:tc>
        <w:tc>
          <w:tcPr>
            <w:tcW w:w="736" w:type="pct"/>
            <w:tcBorders>
              <w:top w:val="single" w:sz="4" w:space="0" w:color="293F5B"/>
              <w:left w:val="nil"/>
              <w:bottom w:val="single" w:sz="4" w:space="0" w:color="293F5B"/>
              <w:right w:val="nil"/>
            </w:tcBorders>
            <w:shd w:val="clear" w:color="000000" w:fill="E6F2FF"/>
            <w:noWrap/>
            <w:vAlign w:val="center"/>
            <w:hideMark/>
          </w:tcPr>
          <w:p w14:paraId="49760774"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150,272</w:t>
            </w:r>
          </w:p>
        </w:tc>
        <w:tc>
          <w:tcPr>
            <w:tcW w:w="57" w:type="pct"/>
            <w:tcBorders>
              <w:top w:val="nil"/>
              <w:left w:val="nil"/>
              <w:bottom w:val="nil"/>
              <w:right w:val="nil"/>
            </w:tcBorders>
            <w:shd w:val="clear" w:color="auto" w:fill="auto"/>
            <w:noWrap/>
            <w:vAlign w:val="center"/>
            <w:hideMark/>
          </w:tcPr>
          <w:p w14:paraId="5008CFAC" w14:textId="77777777" w:rsidR="003B54EA" w:rsidRPr="00673C1F" w:rsidRDefault="003B54EA" w:rsidP="003B54EA">
            <w:pPr>
              <w:spacing w:before="0" w:after="0" w:line="240" w:lineRule="auto"/>
              <w:jc w:val="right"/>
              <w:rPr>
                <w:rFonts w:ascii="Arial" w:hAnsi="Arial" w:cs="Arial"/>
                <w:b/>
                <w:bCs/>
                <w:sz w:val="16"/>
                <w:szCs w:val="16"/>
              </w:rPr>
            </w:pPr>
          </w:p>
        </w:tc>
        <w:tc>
          <w:tcPr>
            <w:tcW w:w="736" w:type="pct"/>
            <w:tcBorders>
              <w:top w:val="single" w:sz="4" w:space="0" w:color="293F5B"/>
              <w:left w:val="nil"/>
              <w:bottom w:val="single" w:sz="4" w:space="0" w:color="293F5B"/>
              <w:right w:val="nil"/>
            </w:tcBorders>
            <w:shd w:val="clear" w:color="auto" w:fill="auto"/>
            <w:noWrap/>
            <w:vAlign w:val="center"/>
            <w:hideMark/>
          </w:tcPr>
          <w:p w14:paraId="7D13CDDA" w14:textId="32963974" w:rsidR="003B54EA" w:rsidRPr="00673C1F" w:rsidRDefault="006D727E" w:rsidP="003B54EA">
            <w:pPr>
              <w:spacing w:before="0" w:after="0" w:line="240" w:lineRule="auto"/>
              <w:jc w:val="right"/>
              <w:rPr>
                <w:rFonts w:ascii="Arial" w:hAnsi="Arial" w:cs="Arial"/>
                <w:b/>
                <w:bCs/>
                <w:sz w:val="16"/>
                <w:szCs w:val="16"/>
              </w:rPr>
            </w:pPr>
            <w:r w:rsidRPr="00673C1F">
              <w:rPr>
                <w:rFonts w:ascii="Arial" w:hAnsi="Arial" w:cs="Arial"/>
                <w:b/>
                <w:bCs/>
                <w:sz w:val="16"/>
                <w:szCs w:val="16"/>
              </w:rPr>
              <w:noBreakHyphen/>
            </w:r>
            <w:r w:rsidR="003B54EA" w:rsidRPr="00673C1F">
              <w:rPr>
                <w:rFonts w:ascii="Arial" w:hAnsi="Arial" w:cs="Arial"/>
                <w:b/>
                <w:bCs/>
                <w:sz w:val="16"/>
                <w:szCs w:val="16"/>
              </w:rPr>
              <w:t>1,631</w:t>
            </w:r>
          </w:p>
        </w:tc>
        <w:tc>
          <w:tcPr>
            <w:tcW w:w="736" w:type="pct"/>
            <w:tcBorders>
              <w:top w:val="single" w:sz="4" w:space="0" w:color="293F5B"/>
              <w:left w:val="nil"/>
              <w:bottom w:val="single" w:sz="4" w:space="0" w:color="293F5B"/>
              <w:right w:val="nil"/>
            </w:tcBorders>
            <w:shd w:val="clear" w:color="auto" w:fill="auto"/>
            <w:noWrap/>
            <w:vAlign w:val="center"/>
            <w:hideMark/>
          </w:tcPr>
          <w:p w14:paraId="7BCD1243" w14:textId="168ABACB" w:rsidR="003B54EA" w:rsidRPr="00673C1F" w:rsidRDefault="006D727E" w:rsidP="003B54EA">
            <w:pPr>
              <w:spacing w:before="0" w:after="0" w:line="240" w:lineRule="auto"/>
              <w:jc w:val="right"/>
              <w:rPr>
                <w:rFonts w:ascii="Arial" w:hAnsi="Arial" w:cs="Arial"/>
                <w:b/>
                <w:bCs/>
                <w:sz w:val="16"/>
                <w:szCs w:val="16"/>
              </w:rPr>
            </w:pPr>
            <w:r w:rsidRPr="00673C1F">
              <w:rPr>
                <w:rFonts w:ascii="Arial" w:hAnsi="Arial" w:cs="Arial"/>
                <w:b/>
                <w:bCs/>
                <w:sz w:val="16"/>
                <w:szCs w:val="16"/>
              </w:rPr>
              <w:noBreakHyphen/>
            </w:r>
            <w:r w:rsidR="003B54EA" w:rsidRPr="00673C1F">
              <w:rPr>
                <w:rFonts w:ascii="Arial" w:hAnsi="Arial" w:cs="Arial"/>
                <w:b/>
                <w:bCs/>
                <w:sz w:val="16"/>
                <w:szCs w:val="16"/>
              </w:rPr>
              <w:t>1.1</w:t>
            </w:r>
          </w:p>
        </w:tc>
      </w:tr>
      <w:tr w:rsidR="003B54EA" w:rsidRPr="00673C1F" w14:paraId="208DEA94" w14:textId="77777777" w:rsidTr="003B54EA">
        <w:trPr>
          <w:trHeight w:hRule="exact" w:val="225"/>
        </w:trPr>
        <w:tc>
          <w:tcPr>
            <w:tcW w:w="2001" w:type="pct"/>
            <w:tcBorders>
              <w:top w:val="nil"/>
              <w:left w:val="nil"/>
              <w:bottom w:val="nil"/>
              <w:right w:val="nil"/>
            </w:tcBorders>
            <w:shd w:val="clear" w:color="auto" w:fill="auto"/>
            <w:noWrap/>
            <w:vAlign w:val="center"/>
            <w:hideMark/>
          </w:tcPr>
          <w:p w14:paraId="6552355D" w14:textId="77777777" w:rsidR="003B54EA" w:rsidRPr="00673C1F" w:rsidRDefault="003B54EA" w:rsidP="003B54EA">
            <w:pPr>
              <w:spacing w:before="0" w:after="0" w:line="240" w:lineRule="auto"/>
              <w:rPr>
                <w:rFonts w:ascii="Arial" w:hAnsi="Arial" w:cs="Arial"/>
                <w:b/>
                <w:bCs/>
                <w:sz w:val="16"/>
                <w:szCs w:val="16"/>
              </w:rPr>
            </w:pPr>
            <w:r w:rsidRPr="00673C1F">
              <w:rPr>
                <w:rFonts w:ascii="Arial" w:hAnsi="Arial" w:cs="Arial"/>
                <w:b/>
                <w:bCs/>
                <w:sz w:val="16"/>
                <w:szCs w:val="16"/>
              </w:rPr>
              <w:t>Taxation receipts</w:t>
            </w:r>
          </w:p>
        </w:tc>
        <w:tc>
          <w:tcPr>
            <w:tcW w:w="736" w:type="pct"/>
            <w:tcBorders>
              <w:top w:val="nil"/>
              <w:left w:val="nil"/>
              <w:bottom w:val="single" w:sz="4" w:space="0" w:color="293F5B"/>
              <w:right w:val="nil"/>
            </w:tcBorders>
            <w:shd w:val="clear" w:color="000000" w:fill="FFFFFF"/>
            <w:noWrap/>
            <w:vAlign w:val="center"/>
            <w:hideMark/>
          </w:tcPr>
          <w:p w14:paraId="1DD61A49"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633,543</w:t>
            </w:r>
          </w:p>
        </w:tc>
        <w:tc>
          <w:tcPr>
            <w:tcW w:w="736" w:type="pct"/>
            <w:tcBorders>
              <w:top w:val="nil"/>
              <w:left w:val="nil"/>
              <w:bottom w:val="single" w:sz="4" w:space="0" w:color="293F5B"/>
              <w:right w:val="nil"/>
            </w:tcBorders>
            <w:shd w:val="clear" w:color="000000" w:fill="E6F2FF"/>
            <w:noWrap/>
            <w:vAlign w:val="center"/>
            <w:hideMark/>
          </w:tcPr>
          <w:p w14:paraId="39BB32C5"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642,542</w:t>
            </w:r>
          </w:p>
        </w:tc>
        <w:tc>
          <w:tcPr>
            <w:tcW w:w="57" w:type="pct"/>
            <w:tcBorders>
              <w:top w:val="nil"/>
              <w:left w:val="nil"/>
              <w:bottom w:val="nil"/>
              <w:right w:val="nil"/>
            </w:tcBorders>
            <w:shd w:val="clear" w:color="auto" w:fill="auto"/>
            <w:noWrap/>
            <w:vAlign w:val="center"/>
            <w:hideMark/>
          </w:tcPr>
          <w:p w14:paraId="5D9777A5" w14:textId="77777777" w:rsidR="003B54EA" w:rsidRPr="00673C1F" w:rsidRDefault="003B54EA" w:rsidP="003B54EA">
            <w:pPr>
              <w:spacing w:before="0" w:after="0" w:line="240" w:lineRule="auto"/>
              <w:jc w:val="right"/>
              <w:rPr>
                <w:rFonts w:ascii="Arial" w:hAnsi="Arial" w:cs="Arial"/>
                <w:b/>
                <w:bCs/>
                <w:sz w:val="16"/>
                <w:szCs w:val="16"/>
              </w:rPr>
            </w:pPr>
          </w:p>
        </w:tc>
        <w:tc>
          <w:tcPr>
            <w:tcW w:w="736" w:type="pct"/>
            <w:tcBorders>
              <w:top w:val="nil"/>
              <w:left w:val="nil"/>
              <w:bottom w:val="single" w:sz="4" w:space="0" w:color="293F5B"/>
              <w:right w:val="nil"/>
            </w:tcBorders>
            <w:shd w:val="clear" w:color="auto" w:fill="auto"/>
            <w:noWrap/>
            <w:vAlign w:val="center"/>
            <w:hideMark/>
          </w:tcPr>
          <w:p w14:paraId="16D5EB1B"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8,999</w:t>
            </w:r>
          </w:p>
        </w:tc>
        <w:tc>
          <w:tcPr>
            <w:tcW w:w="736" w:type="pct"/>
            <w:tcBorders>
              <w:top w:val="nil"/>
              <w:left w:val="nil"/>
              <w:bottom w:val="single" w:sz="4" w:space="0" w:color="293F5B"/>
              <w:right w:val="nil"/>
            </w:tcBorders>
            <w:shd w:val="clear" w:color="auto" w:fill="auto"/>
            <w:noWrap/>
            <w:vAlign w:val="center"/>
            <w:hideMark/>
          </w:tcPr>
          <w:p w14:paraId="27A92F72"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1.4</w:t>
            </w:r>
          </w:p>
        </w:tc>
      </w:tr>
      <w:tr w:rsidR="003B54EA" w:rsidRPr="00673C1F" w14:paraId="410FCF68" w14:textId="77777777" w:rsidTr="003B54EA">
        <w:trPr>
          <w:trHeight w:hRule="exact" w:val="60"/>
        </w:trPr>
        <w:tc>
          <w:tcPr>
            <w:tcW w:w="2001" w:type="pct"/>
            <w:tcBorders>
              <w:top w:val="nil"/>
              <w:left w:val="nil"/>
              <w:bottom w:val="nil"/>
              <w:right w:val="nil"/>
            </w:tcBorders>
            <w:shd w:val="clear" w:color="auto" w:fill="auto"/>
            <w:noWrap/>
            <w:vAlign w:val="center"/>
            <w:hideMark/>
          </w:tcPr>
          <w:p w14:paraId="7F6CF226" w14:textId="77777777" w:rsidR="003B54EA" w:rsidRPr="00673C1F" w:rsidRDefault="003B54EA" w:rsidP="003B54EA">
            <w:pPr>
              <w:spacing w:before="0" w:after="0" w:line="240" w:lineRule="auto"/>
              <w:jc w:val="right"/>
              <w:rPr>
                <w:rFonts w:ascii="Arial" w:hAnsi="Arial" w:cs="Arial"/>
                <w:b/>
                <w:bCs/>
                <w:sz w:val="16"/>
                <w:szCs w:val="16"/>
              </w:rPr>
            </w:pPr>
          </w:p>
        </w:tc>
        <w:tc>
          <w:tcPr>
            <w:tcW w:w="736" w:type="pct"/>
            <w:tcBorders>
              <w:top w:val="nil"/>
              <w:left w:val="nil"/>
              <w:bottom w:val="nil"/>
              <w:right w:val="nil"/>
            </w:tcBorders>
            <w:shd w:val="clear" w:color="000000" w:fill="FFFFFF"/>
            <w:noWrap/>
            <w:vAlign w:val="center"/>
            <w:hideMark/>
          </w:tcPr>
          <w:p w14:paraId="11929976" w14:textId="77777777" w:rsidR="003B54EA" w:rsidRPr="00673C1F" w:rsidRDefault="003B54EA" w:rsidP="003B54EA">
            <w:pPr>
              <w:spacing w:before="0" w:after="0" w:line="240" w:lineRule="auto"/>
              <w:rPr>
                <w:rFonts w:ascii="Arial" w:hAnsi="Arial" w:cs="Arial"/>
                <w:b/>
                <w:bCs/>
                <w:sz w:val="16"/>
                <w:szCs w:val="16"/>
              </w:rPr>
            </w:pPr>
            <w:r w:rsidRPr="00673C1F">
              <w:rPr>
                <w:rFonts w:ascii="Arial" w:hAnsi="Arial" w:cs="Arial"/>
                <w:b/>
                <w:bCs/>
                <w:sz w:val="16"/>
                <w:szCs w:val="16"/>
              </w:rPr>
              <w:t> </w:t>
            </w:r>
          </w:p>
        </w:tc>
        <w:tc>
          <w:tcPr>
            <w:tcW w:w="736" w:type="pct"/>
            <w:tcBorders>
              <w:top w:val="nil"/>
              <w:left w:val="nil"/>
              <w:bottom w:val="nil"/>
              <w:right w:val="nil"/>
            </w:tcBorders>
            <w:shd w:val="clear" w:color="000000" w:fill="E6F2FF"/>
            <w:noWrap/>
            <w:vAlign w:val="center"/>
            <w:hideMark/>
          </w:tcPr>
          <w:p w14:paraId="40160EDF" w14:textId="77777777" w:rsidR="003B54EA" w:rsidRPr="00673C1F" w:rsidRDefault="003B54EA" w:rsidP="003B54EA">
            <w:pPr>
              <w:spacing w:before="0" w:after="0" w:line="240" w:lineRule="auto"/>
              <w:rPr>
                <w:rFonts w:ascii="Arial" w:hAnsi="Arial" w:cs="Arial"/>
                <w:b/>
                <w:bCs/>
                <w:sz w:val="16"/>
                <w:szCs w:val="16"/>
              </w:rPr>
            </w:pPr>
            <w:r w:rsidRPr="00673C1F">
              <w:rPr>
                <w:rFonts w:ascii="Arial" w:hAnsi="Arial" w:cs="Arial"/>
                <w:b/>
                <w:bCs/>
                <w:sz w:val="16"/>
                <w:szCs w:val="16"/>
              </w:rPr>
              <w:t> </w:t>
            </w:r>
          </w:p>
        </w:tc>
        <w:tc>
          <w:tcPr>
            <w:tcW w:w="57" w:type="pct"/>
            <w:tcBorders>
              <w:top w:val="nil"/>
              <w:left w:val="nil"/>
              <w:bottom w:val="nil"/>
              <w:right w:val="nil"/>
            </w:tcBorders>
            <w:shd w:val="clear" w:color="auto" w:fill="auto"/>
            <w:noWrap/>
            <w:vAlign w:val="center"/>
            <w:hideMark/>
          </w:tcPr>
          <w:p w14:paraId="29455409" w14:textId="77777777" w:rsidR="003B54EA" w:rsidRPr="00673C1F" w:rsidRDefault="003B54EA" w:rsidP="003B54EA">
            <w:pPr>
              <w:spacing w:before="0" w:after="0" w:line="240" w:lineRule="auto"/>
              <w:rPr>
                <w:rFonts w:ascii="Arial" w:hAnsi="Arial" w:cs="Arial"/>
                <w:b/>
                <w:bCs/>
                <w:sz w:val="16"/>
                <w:szCs w:val="16"/>
              </w:rPr>
            </w:pPr>
          </w:p>
        </w:tc>
        <w:tc>
          <w:tcPr>
            <w:tcW w:w="736" w:type="pct"/>
            <w:tcBorders>
              <w:top w:val="nil"/>
              <w:left w:val="nil"/>
              <w:bottom w:val="nil"/>
              <w:right w:val="nil"/>
            </w:tcBorders>
            <w:shd w:val="clear" w:color="auto" w:fill="auto"/>
            <w:noWrap/>
            <w:vAlign w:val="center"/>
            <w:hideMark/>
          </w:tcPr>
          <w:p w14:paraId="63B59AA2" w14:textId="77777777" w:rsidR="003B54EA" w:rsidRPr="00673C1F" w:rsidRDefault="003B54EA" w:rsidP="003B54EA">
            <w:pPr>
              <w:spacing w:before="0" w:after="0" w:line="240" w:lineRule="auto"/>
              <w:jc w:val="right"/>
              <w:rPr>
                <w:rFonts w:ascii="Times New Roman" w:hAnsi="Times New Roman"/>
                <w:sz w:val="20"/>
              </w:rPr>
            </w:pPr>
          </w:p>
        </w:tc>
        <w:tc>
          <w:tcPr>
            <w:tcW w:w="736" w:type="pct"/>
            <w:tcBorders>
              <w:top w:val="nil"/>
              <w:left w:val="nil"/>
              <w:bottom w:val="nil"/>
              <w:right w:val="nil"/>
            </w:tcBorders>
            <w:shd w:val="clear" w:color="auto" w:fill="auto"/>
            <w:noWrap/>
            <w:vAlign w:val="center"/>
            <w:hideMark/>
          </w:tcPr>
          <w:p w14:paraId="48FA2FFD" w14:textId="77777777" w:rsidR="003B54EA" w:rsidRPr="00673C1F" w:rsidRDefault="003B54EA" w:rsidP="003B54EA">
            <w:pPr>
              <w:spacing w:before="0" w:after="0" w:line="240" w:lineRule="auto"/>
              <w:jc w:val="right"/>
              <w:rPr>
                <w:rFonts w:ascii="Times New Roman" w:hAnsi="Times New Roman"/>
                <w:sz w:val="20"/>
              </w:rPr>
            </w:pPr>
          </w:p>
        </w:tc>
      </w:tr>
      <w:tr w:rsidR="003B54EA" w:rsidRPr="00673C1F" w14:paraId="7781D8B0" w14:textId="77777777" w:rsidTr="003B54EA">
        <w:trPr>
          <w:trHeight w:hRule="exact" w:val="225"/>
        </w:trPr>
        <w:tc>
          <w:tcPr>
            <w:tcW w:w="2001" w:type="pct"/>
            <w:tcBorders>
              <w:top w:val="nil"/>
              <w:left w:val="nil"/>
              <w:bottom w:val="nil"/>
              <w:right w:val="nil"/>
            </w:tcBorders>
            <w:shd w:val="clear" w:color="auto" w:fill="auto"/>
            <w:noWrap/>
            <w:vAlign w:val="center"/>
            <w:hideMark/>
          </w:tcPr>
          <w:p w14:paraId="1694A219"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Sales of goods and services</w:t>
            </w:r>
          </w:p>
        </w:tc>
        <w:tc>
          <w:tcPr>
            <w:tcW w:w="736" w:type="pct"/>
            <w:tcBorders>
              <w:top w:val="nil"/>
              <w:left w:val="nil"/>
              <w:bottom w:val="nil"/>
              <w:right w:val="nil"/>
            </w:tcBorders>
            <w:shd w:val="clear" w:color="000000" w:fill="FFFFFF"/>
            <w:noWrap/>
            <w:vAlign w:val="center"/>
            <w:hideMark/>
          </w:tcPr>
          <w:p w14:paraId="5F1B6056"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21,044</w:t>
            </w:r>
          </w:p>
        </w:tc>
        <w:tc>
          <w:tcPr>
            <w:tcW w:w="736" w:type="pct"/>
            <w:tcBorders>
              <w:top w:val="nil"/>
              <w:left w:val="nil"/>
              <w:bottom w:val="nil"/>
              <w:right w:val="nil"/>
            </w:tcBorders>
            <w:shd w:val="clear" w:color="000000" w:fill="E6F2FF"/>
            <w:noWrap/>
            <w:vAlign w:val="center"/>
            <w:hideMark/>
          </w:tcPr>
          <w:p w14:paraId="384BB97B"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21,396</w:t>
            </w:r>
          </w:p>
        </w:tc>
        <w:tc>
          <w:tcPr>
            <w:tcW w:w="57" w:type="pct"/>
            <w:tcBorders>
              <w:top w:val="nil"/>
              <w:left w:val="nil"/>
              <w:bottom w:val="nil"/>
              <w:right w:val="nil"/>
            </w:tcBorders>
            <w:shd w:val="clear" w:color="auto" w:fill="auto"/>
            <w:noWrap/>
            <w:vAlign w:val="center"/>
            <w:hideMark/>
          </w:tcPr>
          <w:p w14:paraId="4C176F49" w14:textId="77777777" w:rsidR="003B54EA" w:rsidRPr="00673C1F" w:rsidRDefault="003B54EA" w:rsidP="003B54EA">
            <w:pPr>
              <w:spacing w:before="0" w:after="0" w:line="240" w:lineRule="auto"/>
              <w:jc w:val="right"/>
              <w:rPr>
                <w:rFonts w:ascii="Arial" w:hAnsi="Arial" w:cs="Arial"/>
                <w:sz w:val="16"/>
                <w:szCs w:val="16"/>
              </w:rPr>
            </w:pPr>
          </w:p>
        </w:tc>
        <w:tc>
          <w:tcPr>
            <w:tcW w:w="736" w:type="pct"/>
            <w:tcBorders>
              <w:top w:val="nil"/>
              <w:left w:val="nil"/>
              <w:bottom w:val="nil"/>
              <w:right w:val="nil"/>
            </w:tcBorders>
            <w:shd w:val="clear" w:color="auto" w:fill="auto"/>
            <w:noWrap/>
            <w:vAlign w:val="center"/>
            <w:hideMark/>
          </w:tcPr>
          <w:p w14:paraId="3A1527ED"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352</w:t>
            </w:r>
          </w:p>
        </w:tc>
        <w:tc>
          <w:tcPr>
            <w:tcW w:w="736" w:type="pct"/>
            <w:tcBorders>
              <w:top w:val="nil"/>
              <w:left w:val="nil"/>
              <w:bottom w:val="nil"/>
              <w:right w:val="nil"/>
            </w:tcBorders>
            <w:shd w:val="clear" w:color="auto" w:fill="auto"/>
            <w:noWrap/>
            <w:vAlign w:val="center"/>
            <w:hideMark/>
          </w:tcPr>
          <w:p w14:paraId="58A971DC"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1.7</w:t>
            </w:r>
          </w:p>
        </w:tc>
      </w:tr>
      <w:tr w:rsidR="003B54EA" w:rsidRPr="00673C1F" w14:paraId="60462C89" w14:textId="77777777" w:rsidTr="003B54EA">
        <w:trPr>
          <w:trHeight w:hRule="exact" w:val="225"/>
        </w:trPr>
        <w:tc>
          <w:tcPr>
            <w:tcW w:w="2001" w:type="pct"/>
            <w:tcBorders>
              <w:top w:val="nil"/>
              <w:left w:val="nil"/>
              <w:bottom w:val="nil"/>
              <w:right w:val="nil"/>
            </w:tcBorders>
            <w:shd w:val="clear" w:color="auto" w:fill="auto"/>
            <w:noWrap/>
            <w:vAlign w:val="center"/>
            <w:hideMark/>
          </w:tcPr>
          <w:p w14:paraId="4B62DAFD"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Interest received</w:t>
            </w:r>
          </w:p>
        </w:tc>
        <w:tc>
          <w:tcPr>
            <w:tcW w:w="736" w:type="pct"/>
            <w:tcBorders>
              <w:top w:val="nil"/>
              <w:left w:val="nil"/>
              <w:bottom w:val="nil"/>
              <w:right w:val="nil"/>
            </w:tcBorders>
            <w:shd w:val="clear" w:color="000000" w:fill="FFFFFF"/>
            <w:noWrap/>
            <w:vAlign w:val="center"/>
            <w:hideMark/>
          </w:tcPr>
          <w:p w14:paraId="2A77E9EA"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7,899</w:t>
            </w:r>
          </w:p>
        </w:tc>
        <w:tc>
          <w:tcPr>
            <w:tcW w:w="736" w:type="pct"/>
            <w:tcBorders>
              <w:top w:val="nil"/>
              <w:left w:val="nil"/>
              <w:bottom w:val="nil"/>
              <w:right w:val="nil"/>
            </w:tcBorders>
            <w:shd w:val="clear" w:color="000000" w:fill="E6F2FF"/>
            <w:noWrap/>
            <w:vAlign w:val="center"/>
            <w:hideMark/>
          </w:tcPr>
          <w:p w14:paraId="55556CDB"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9,275</w:t>
            </w:r>
          </w:p>
        </w:tc>
        <w:tc>
          <w:tcPr>
            <w:tcW w:w="57" w:type="pct"/>
            <w:tcBorders>
              <w:top w:val="nil"/>
              <w:left w:val="nil"/>
              <w:bottom w:val="nil"/>
              <w:right w:val="nil"/>
            </w:tcBorders>
            <w:shd w:val="clear" w:color="auto" w:fill="auto"/>
            <w:noWrap/>
            <w:vAlign w:val="center"/>
            <w:hideMark/>
          </w:tcPr>
          <w:p w14:paraId="493DE5E6" w14:textId="77777777" w:rsidR="003B54EA" w:rsidRPr="00673C1F" w:rsidRDefault="003B54EA" w:rsidP="003B54EA">
            <w:pPr>
              <w:spacing w:before="0" w:after="0" w:line="240" w:lineRule="auto"/>
              <w:jc w:val="right"/>
              <w:rPr>
                <w:rFonts w:ascii="Arial" w:hAnsi="Arial" w:cs="Arial"/>
                <w:sz w:val="16"/>
                <w:szCs w:val="16"/>
              </w:rPr>
            </w:pPr>
          </w:p>
        </w:tc>
        <w:tc>
          <w:tcPr>
            <w:tcW w:w="736" w:type="pct"/>
            <w:tcBorders>
              <w:top w:val="nil"/>
              <w:left w:val="nil"/>
              <w:bottom w:val="nil"/>
              <w:right w:val="nil"/>
            </w:tcBorders>
            <w:shd w:val="clear" w:color="auto" w:fill="auto"/>
            <w:noWrap/>
            <w:vAlign w:val="center"/>
            <w:hideMark/>
          </w:tcPr>
          <w:p w14:paraId="66A98850"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1,376</w:t>
            </w:r>
          </w:p>
        </w:tc>
        <w:tc>
          <w:tcPr>
            <w:tcW w:w="736" w:type="pct"/>
            <w:tcBorders>
              <w:top w:val="nil"/>
              <w:left w:val="nil"/>
              <w:bottom w:val="nil"/>
              <w:right w:val="nil"/>
            </w:tcBorders>
            <w:shd w:val="clear" w:color="auto" w:fill="auto"/>
            <w:noWrap/>
            <w:vAlign w:val="center"/>
            <w:hideMark/>
          </w:tcPr>
          <w:p w14:paraId="10DF4426"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17.4</w:t>
            </w:r>
          </w:p>
        </w:tc>
      </w:tr>
      <w:tr w:rsidR="003B54EA" w:rsidRPr="00673C1F" w14:paraId="7734FC78" w14:textId="77777777" w:rsidTr="003B54EA">
        <w:trPr>
          <w:trHeight w:hRule="exact" w:val="225"/>
        </w:trPr>
        <w:tc>
          <w:tcPr>
            <w:tcW w:w="2001" w:type="pct"/>
            <w:tcBorders>
              <w:top w:val="nil"/>
              <w:left w:val="nil"/>
              <w:bottom w:val="nil"/>
              <w:right w:val="nil"/>
            </w:tcBorders>
            <w:shd w:val="clear" w:color="auto" w:fill="auto"/>
            <w:noWrap/>
            <w:vAlign w:val="center"/>
            <w:hideMark/>
          </w:tcPr>
          <w:p w14:paraId="7F276F96"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Dividends and distributions</w:t>
            </w:r>
          </w:p>
        </w:tc>
        <w:tc>
          <w:tcPr>
            <w:tcW w:w="736" w:type="pct"/>
            <w:tcBorders>
              <w:top w:val="nil"/>
              <w:left w:val="nil"/>
              <w:bottom w:val="nil"/>
              <w:right w:val="nil"/>
            </w:tcBorders>
            <w:shd w:val="clear" w:color="000000" w:fill="FFFFFF"/>
            <w:noWrap/>
            <w:vAlign w:val="center"/>
            <w:hideMark/>
          </w:tcPr>
          <w:p w14:paraId="26F0DC4F"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7,240</w:t>
            </w:r>
          </w:p>
        </w:tc>
        <w:tc>
          <w:tcPr>
            <w:tcW w:w="736" w:type="pct"/>
            <w:tcBorders>
              <w:top w:val="nil"/>
              <w:left w:val="nil"/>
              <w:bottom w:val="nil"/>
              <w:right w:val="nil"/>
            </w:tcBorders>
            <w:shd w:val="clear" w:color="000000" w:fill="E6F2FF"/>
            <w:noWrap/>
            <w:vAlign w:val="center"/>
            <w:hideMark/>
          </w:tcPr>
          <w:p w14:paraId="01407E45"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6,789</w:t>
            </w:r>
          </w:p>
        </w:tc>
        <w:tc>
          <w:tcPr>
            <w:tcW w:w="57" w:type="pct"/>
            <w:tcBorders>
              <w:top w:val="nil"/>
              <w:left w:val="nil"/>
              <w:bottom w:val="nil"/>
              <w:right w:val="nil"/>
            </w:tcBorders>
            <w:shd w:val="clear" w:color="auto" w:fill="auto"/>
            <w:noWrap/>
            <w:vAlign w:val="center"/>
            <w:hideMark/>
          </w:tcPr>
          <w:p w14:paraId="2238E00E" w14:textId="77777777" w:rsidR="003B54EA" w:rsidRPr="00673C1F" w:rsidRDefault="003B54EA" w:rsidP="003B54EA">
            <w:pPr>
              <w:spacing w:before="0" w:after="0" w:line="240" w:lineRule="auto"/>
              <w:jc w:val="right"/>
              <w:rPr>
                <w:rFonts w:ascii="Arial" w:hAnsi="Arial" w:cs="Arial"/>
                <w:sz w:val="16"/>
                <w:szCs w:val="16"/>
              </w:rPr>
            </w:pPr>
          </w:p>
        </w:tc>
        <w:tc>
          <w:tcPr>
            <w:tcW w:w="736" w:type="pct"/>
            <w:tcBorders>
              <w:top w:val="nil"/>
              <w:left w:val="nil"/>
              <w:bottom w:val="nil"/>
              <w:right w:val="nil"/>
            </w:tcBorders>
            <w:shd w:val="clear" w:color="auto" w:fill="auto"/>
            <w:noWrap/>
            <w:vAlign w:val="center"/>
            <w:hideMark/>
          </w:tcPr>
          <w:p w14:paraId="7AF83B65" w14:textId="45B15CB4"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451</w:t>
            </w:r>
          </w:p>
        </w:tc>
        <w:tc>
          <w:tcPr>
            <w:tcW w:w="736" w:type="pct"/>
            <w:tcBorders>
              <w:top w:val="nil"/>
              <w:left w:val="nil"/>
              <w:bottom w:val="nil"/>
              <w:right w:val="nil"/>
            </w:tcBorders>
            <w:shd w:val="clear" w:color="auto" w:fill="auto"/>
            <w:noWrap/>
            <w:vAlign w:val="center"/>
            <w:hideMark/>
          </w:tcPr>
          <w:p w14:paraId="200B93E2" w14:textId="31B2ED96"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6.2</w:t>
            </w:r>
          </w:p>
        </w:tc>
      </w:tr>
      <w:tr w:rsidR="003B54EA" w:rsidRPr="00673C1F" w14:paraId="47F9E35C" w14:textId="77777777" w:rsidTr="003B54EA">
        <w:trPr>
          <w:trHeight w:hRule="exact" w:val="225"/>
        </w:trPr>
        <w:tc>
          <w:tcPr>
            <w:tcW w:w="2001" w:type="pct"/>
            <w:tcBorders>
              <w:top w:val="nil"/>
              <w:left w:val="nil"/>
              <w:bottom w:val="nil"/>
              <w:right w:val="nil"/>
            </w:tcBorders>
            <w:shd w:val="clear" w:color="auto" w:fill="auto"/>
            <w:noWrap/>
            <w:vAlign w:val="center"/>
            <w:hideMark/>
          </w:tcPr>
          <w:p w14:paraId="46C690B6" w14:textId="24C57F9B"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Other non</w:t>
            </w:r>
            <w:r w:rsidR="006D727E" w:rsidRPr="00673C1F">
              <w:rPr>
                <w:rFonts w:ascii="Arial" w:hAnsi="Arial" w:cs="Arial"/>
                <w:sz w:val="16"/>
                <w:szCs w:val="16"/>
              </w:rPr>
              <w:noBreakHyphen/>
            </w:r>
            <w:r w:rsidRPr="00673C1F">
              <w:rPr>
                <w:rFonts w:ascii="Arial" w:hAnsi="Arial" w:cs="Arial"/>
                <w:sz w:val="16"/>
                <w:szCs w:val="16"/>
              </w:rPr>
              <w:t>taxation receipts</w:t>
            </w:r>
          </w:p>
        </w:tc>
        <w:tc>
          <w:tcPr>
            <w:tcW w:w="736" w:type="pct"/>
            <w:tcBorders>
              <w:top w:val="nil"/>
              <w:left w:val="nil"/>
              <w:bottom w:val="nil"/>
              <w:right w:val="nil"/>
            </w:tcBorders>
            <w:shd w:val="clear" w:color="000000" w:fill="FFFFFF"/>
            <w:noWrap/>
            <w:vAlign w:val="center"/>
            <w:hideMark/>
          </w:tcPr>
          <w:p w14:paraId="4AAA7F8A"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20,995</w:t>
            </w:r>
          </w:p>
        </w:tc>
        <w:tc>
          <w:tcPr>
            <w:tcW w:w="736" w:type="pct"/>
            <w:tcBorders>
              <w:top w:val="nil"/>
              <w:left w:val="nil"/>
              <w:bottom w:val="nil"/>
              <w:right w:val="nil"/>
            </w:tcBorders>
            <w:shd w:val="clear" w:color="000000" w:fill="E6F2FF"/>
            <w:noWrap/>
            <w:vAlign w:val="center"/>
            <w:hideMark/>
          </w:tcPr>
          <w:p w14:paraId="09EBC0C8"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18,444</w:t>
            </w:r>
          </w:p>
        </w:tc>
        <w:tc>
          <w:tcPr>
            <w:tcW w:w="57" w:type="pct"/>
            <w:tcBorders>
              <w:top w:val="nil"/>
              <w:left w:val="nil"/>
              <w:bottom w:val="nil"/>
              <w:right w:val="nil"/>
            </w:tcBorders>
            <w:shd w:val="clear" w:color="auto" w:fill="auto"/>
            <w:noWrap/>
            <w:vAlign w:val="center"/>
            <w:hideMark/>
          </w:tcPr>
          <w:p w14:paraId="344F5E7F" w14:textId="77777777" w:rsidR="003B54EA" w:rsidRPr="00673C1F" w:rsidRDefault="003B54EA" w:rsidP="003B54EA">
            <w:pPr>
              <w:spacing w:before="0" w:after="0" w:line="240" w:lineRule="auto"/>
              <w:jc w:val="right"/>
              <w:rPr>
                <w:rFonts w:ascii="Arial" w:hAnsi="Arial" w:cs="Arial"/>
                <w:sz w:val="16"/>
                <w:szCs w:val="16"/>
              </w:rPr>
            </w:pPr>
          </w:p>
        </w:tc>
        <w:tc>
          <w:tcPr>
            <w:tcW w:w="736" w:type="pct"/>
            <w:tcBorders>
              <w:top w:val="nil"/>
              <w:left w:val="nil"/>
              <w:bottom w:val="nil"/>
              <w:right w:val="nil"/>
            </w:tcBorders>
            <w:shd w:val="clear" w:color="auto" w:fill="auto"/>
            <w:noWrap/>
            <w:vAlign w:val="center"/>
            <w:hideMark/>
          </w:tcPr>
          <w:p w14:paraId="63E8FD8F" w14:textId="40CB808C"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2,552</w:t>
            </w:r>
          </w:p>
        </w:tc>
        <w:tc>
          <w:tcPr>
            <w:tcW w:w="736" w:type="pct"/>
            <w:tcBorders>
              <w:top w:val="nil"/>
              <w:left w:val="nil"/>
              <w:bottom w:val="nil"/>
              <w:right w:val="nil"/>
            </w:tcBorders>
            <w:shd w:val="clear" w:color="auto" w:fill="auto"/>
            <w:noWrap/>
            <w:vAlign w:val="center"/>
            <w:hideMark/>
          </w:tcPr>
          <w:p w14:paraId="7C544577" w14:textId="1781FC1A"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12.2</w:t>
            </w:r>
          </w:p>
        </w:tc>
      </w:tr>
      <w:tr w:rsidR="003B54EA" w:rsidRPr="00673C1F" w14:paraId="4EB323F9" w14:textId="77777777" w:rsidTr="003B54EA">
        <w:trPr>
          <w:trHeight w:hRule="exact" w:val="225"/>
        </w:trPr>
        <w:tc>
          <w:tcPr>
            <w:tcW w:w="2001" w:type="pct"/>
            <w:tcBorders>
              <w:top w:val="nil"/>
              <w:left w:val="nil"/>
              <w:bottom w:val="nil"/>
              <w:right w:val="nil"/>
            </w:tcBorders>
            <w:shd w:val="clear" w:color="auto" w:fill="auto"/>
            <w:noWrap/>
            <w:vAlign w:val="center"/>
            <w:hideMark/>
          </w:tcPr>
          <w:p w14:paraId="58942772" w14:textId="5777BCAE" w:rsidR="003B54EA" w:rsidRPr="00673C1F" w:rsidRDefault="003B54EA" w:rsidP="003B54EA">
            <w:pPr>
              <w:spacing w:before="0" w:after="0" w:line="240" w:lineRule="auto"/>
              <w:rPr>
                <w:rFonts w:ascii="Arial" w:hAnsi="Arial" w:cs="Arial"/>
                <w:b/>
                <w:bCs/>
                <w:sz w:val="16"/>
                <w:szCs w:val="16"/>
              </w:rPr>
            </w:pPr>
            <w:r w:rsidRPr="00673C1F">
              <w:rPr>
                <w:rFonts w:ascii="Arial" w:hAnsi="Arial" w:cs="Arial"/>
                <w:b/>
                <w:bCs/>
                <w:sz w:val="16"/>
                <w:szCs w:val="16"/>
              </w:rPr>
              <w:t>Non</w:t>
            </w:r>
            <w:r w:rsidR="006D727E" w:rsidRPr="00673C1F">
              <w:rPr>
                <w:rFonts w:ascii="Arial" w:hAnsi="Arial" w:cs="Arial"/>
                <w:b/>
                <w:bCs/>
                <w:sz w:val="16"/>
                <w:szCs w:val="16"/>
              </w:rPr>
              <w:noBreakHyphen/>
            </w:r>
            <w:r w:rsidRPr="00673C1F">
              <w:rPr>
                <w:rFonts w:ascii="Arial" w:hAnsi="Arial" w:cs="Arial"/>
                <w:b/>
                <w:bCs/>
                <w:sz w:val="16"/>
                <w:szCs w:val="16"/>
              </w:rPr>
              <w:t>taxation receipts</w:t>
            </w:r>
          </w:p>
        </w:tc>
        <w:tc>
          <w:tcPr>
            <w:tcW w:w="736" w:type="pct"/>
            <w:tcBorders>
              <w:top w:val="single" w:sz="4" w:space="0" w:color="293F5B"/>
              <w:left w:val="nil"/>
              <w:bottom w:val="single" w:sz="4" w:space="0" w:color="293F5B"/>
              <w:right w:val="nil"/>
            </w:tcBorders>
            <w:shd w:val="clear" w:color="000000" w:fill="FFFFFF"/>
            <w:noWrap/>
            <w:vAlign w:val="center"/>
            <w:hideMark/>
          </w:tcPr>
          <w:p w14:paraId="46BA3740"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57,179</w:t>
            </w:r>
          </w:p>
        </w:tc>
        <w:tc>
          <w:tcPr>
            <w:tcW w:w="736" w:type="pct"/>
            <w:tcBorders>
              <w:top w:val="single" w:sz="4" w:space="0" w:color="293F5B"/>
              <w:left w:val="nil"/>
              <w:bottom w:val="single" w:sz="4" w:space="0" w:color="293F5B"/>
              <w:right w:val="nil"/>
            </w:tcBorders>
            <w:shd w:val="clear" w:color="000000" w:fill="E6F2FF"/>
            <w:noWrap/>
            <w:vAlign w:val="center"/>
            <w:hideMark/>
          </w:tcPr>
          <w:p w14:paraId="70E66F3C"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55,904</w:t>
            </w:r>
          </w:p>
        </w:tc>
        <w:tc>
          <w:tcPr>
            <w:tcW w:w="57" w:type="pct"/>
            <w:tcBorders>
              <w:top w:val="nil"/>
              <w:left w:val="nil"/>
              <w:bottom w:val="nil"/>
              <w:right w:val="nil"/>
            </w:tcBorders>
            <w:shd w:val="clear" w:color="auto" w:fill="auto"/>
            <w:noWrap/>
            <w:vAlign w:val="center"/>
            <w:hideMark/>
          </w:tcPr>
          <w:p w14:paraId="53463A98" w14:textId="77777777" w:rsidR="003B54EA" w:rsidRPr="00673C1F" w:rsidRDefault="003B54EA" w:rsidP="003B54EA">
            <w:pPr>
              <w:spacing w:before="0" w:after="0" w:line="240" w:lineRule="auto"/>
              <w:jc w:val="right"/>
              <w:rPr>
                <w:rFonts w:ascii="Arial" w:hAnsi="Arial" w:cs="Arial"/>
                <w:b/>
                <w:bCs/>
                <w:sz w:val="16"/>
                <w:szCs w:val="16"/>
              </w:rPr>
            </w:pPr>
          </w:p>
        </w:tc>
        <w:tc>
          <w:tcPr>
            <w:tcW w:w="736" w:type="pct"/>
            <w:tcBorders>
              <w:top w:val="single" w:sz="4" w:space="0" w:color="293F5B"/>
              <w:left w:val="nil"/>
              <w:bottom w:val="single" w:sz="4" w:space="0" w:color="293F5B"/>
              <w:right w:val="nil"/>
            </w:tcBorders>
            <w:shd w:val="clear" w:color="auto" w:fill="auto"/>
            <w:noWrap/>
            <w:vAlign w:val="center"/>
            <w:hideMark/>
          </w:tcPr>
          <w:p w14:paraId="4842C557" w14:textId="18855E7F" w:rsidR="003B54EA" w:rsidRPr="00673C1F" w:rsidRDefault="006D727E" w:rsidP="003B54EA">
            <w:pPr>
              <w:spacing w:before="0" w:after="0" w:line="240" w:lineRule="auto"/>
              <w:jc w:val="right"/>
              <w:rPr>
                <w:rFonts w:ascii="Arial" w:hAnsi="Arial" w:cs="Arial"/>
                <w:b/>
                <w:bCs/>
                <w:sz w:val="16"/>
                <w:szCs w:val="16"/>
              </w:rPr>
            </w:pPr>
            <w:r w:rsidRPr="00673C1F">
              <w:rPr>
                <w:rFonts w:ascii="Arial" w:hAnsi="Arial" w:cs="Arial"/>
                <w:b/>
                <w:bCs/>
                <w:sz w:val="16"/>
                <w:szCs w:val="16"/>
              </w:rPr>
              <w:noBreakHyphen/>
            </w:r>
            <w:r w:rsidR="003B54EA" w:rsidRPr="00673C1F">
              <w:rPr>
                <w:rFonts w:ascii="Arial" w:hAnsi="Arial" w:cs="Arial"/>
                <w:b/>
                <w:bCs/>
                <w:sz w:val="16"/>
                <w:szCs w:val="16"/>
              </w:rPr>
              <w:t>1,275</w:t>
            </w:r>
          </w:p>
        </w:tc>
        <w:tc>
          <w:tcPr>
            <w:tcW w:w="736" w:type="pct"/>
            <w:tcBorders>
              <w:top w:val="single" w:sz="4" w:space="0" w:color="293F5B"/>
              <w:left w:val="nil"/>
              <w:bottom w:val="single" w:sz="4" w:space="0" w:color="293F5B"/>
              <w:right w:val="nil"/>
            </w:tcBorders>
            <w:shd w:val="clear" w:color="auto" w:fill="auto"/>
            <w:noWrap/>
            <w:vAlign w:val="center"/>
            <w:hideMark/>
          </w:tcPr>
          <w:p w14:paraId="44997891" w14:textId="083EAB08" w:rsidR="003B54EA" w:rsidRPr="00673C1F" w:rsidRDefault="006D727E" w:rsidP="003B54EA">
            <w:pPr>
              <w:spacing w:before="0" w:after="0" w:line="240" w:lineRule="auto"/>
              <w:jc w:val="right"/>
              <w:rPr>
                <w:rFonts w:ascii="Arial" w:hAnsi="Arial" w:cs="Arial"/>
                <w:b/>
                <w:bCs/>
                <w:sz w:val="16"/>
                <w:szCs w:val="16"/>
              </w:rPr>
            </w:pPr>
            <w:r w:rsidRPr="00673C1F">
              <w:rPr>
                <w:rFonts w:ascii="Arial" w:hAnsi="Arial" w:cs="Arial"/>
                <w:b/>
                <w:bCs/>
                <w:sz w:val="16"/>
                <w:szCs w:val="16"/>
              </w:rPr>
              <w:noBreakHyphen/>
            </w:r>
            <w:r w:rsidR="003B54EA" w:rsidRPr="00673C1F">
              <w:rPr>
                <w:rFonts w:ascii="Arial" w:hAnsi="Arial" w:cs="Arial"/>
                <w:b/>
                <w:bCs/>
                <w:sz w:val="16"/>
                <w:szCs w:val="16"/>
              </w:rPr>
              <w:t>2.2</w:t>
            </w:r>
          </w:p>
        </w:tc>
      </w:tr>
      <w:tr w:rsidR="003B54EA" w:rsidRPr="00673C1F" w14:paraId="12648F01" w14:textId="77777777" w:rsidTr="003B54EA">
        <w:trPr>
          <w:trHeight w:hRule="exact" w:val="225"/>
        </w:trPr>
        <w:tc>
          <w:tcPr>
            <w:tcW w:w="2001" w:type="pct"/>
            <w:tcBorders>
              <w:top w:val="nil"/>
              <w:left w:val="nil"/>
              <w:bottom w:val="single" w:sz="4" w:space="0" w:color="293F5B"/>
              <w:right w:val="nil"/>
            </w:tcBorders>
            <w:shd w:val="clear" w:color="auto" w:fill="auto"/>
            <w:noWrap/>
            <w:vAlign w:val="center"/>
            <w:hideMark/>
          </w:tcPr>
          <w:p w14:paraId="4977E45E" w14:textId="77777777" w:rsidR="003B54EA" w:rsidRPr="00673C1F" w:rsidRDefault="003B54EA" w:rsidP="003B54EA">
            <w:pPr>
              <w:spacing w:before="0" w:after="0" w:line="240" w:lineRule="auto"/>
              <w:rPr>
                <w:rFonts w:ascii="Arial" w:hAnsi="Arial" w:cs="Arial"/>
                <w:b/>
                <w:bCs/>
                <w:sz w:val="16"/>
                <w:szCs w:val="16"/>
              </w:rPr>
            </w:pPr>
            <w:r w:rsidRPr="00673C1F">
              <w:rPr>
                <w:rFonts w:ascii="Arial" w:hAnsi="Arial" w:cs="Arial"/>
                <w:b/>
                <w:bCs/>
                <w:sz w:val="16"/>
                <w:szCs w:val="16"/>
              </w:rPr>
              <w:t>Total receipts</w:t>
            </w:r>
          </w:p>
        </w:tc>
        <w:tc>
          <w:tcPr>
            <w:tcW w:w="736" w:type="pct"/>
            <w:tcBorders>
              <w:top w:val="nil"/>
              <w:left w:val="nil"/>
              <w:bottom w:val="single" w:sz="4" w:space="0" w:color="293F5B"/>
              <w:right w:val="nil"/>
            </w:tcBorders>
            <w:shd w:val="clear" w:color="000000" w:fill="FFFFFF"/>
            <w:noWrap/>
            <w:vAlign w:val="center"/>
            <w:hideMark/>
          </w:tcPr>
          <w:p w14:paraId="1780CCFB"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690,721</w:t>
            </w:r>
          </w:p>
        </w:tc>
        <w:tc>
          <w:tcPr>
            <w:tcW w:w="736" w:type="pct"/>
            <w:tcBorders>
              <w:top w:val="nil"/>
              <w:left w:val="nil"/>
              <w:bottom w:val="single" w:sz="4" w:space="0" w:color="293F5B"/>
              <w:right w:val="nil"/>
            </w:tcBorders>
            <w:shd w:val="clear" w:color="000000" w:fill="E6F2FF"/>
            <w:noWrap/>
            <w:vAlign w:val="center"/>
            <w:hideMark/>
          </w:tcPr>
          <w:p w14:paraId="43448310"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698,446</w:t>
            </w:r>
          </w:p>
        </w:tc>
        <w:tc>
          <w:tcPr>
            <w:tcW w:w="57" w:type="pct"/>
            <w:tcBorders>
              <w:top w:val="nil"/>
              <w:left w:val="nil"/>
              <w:bottom w:val="single" w:sz="4" w:space="0" w:color="293F5B"/>
              <w:right w:val="nil"/>
            </w:tcBorders>
            <w:shd w:val="clear" w:color="auto" w:fill="auto"/>
            <w:noWrap/>
            <w:vAlign w:val="center"/>
            <w:hideMark/>
          </w:tcPr>
          <w:p w14:paraId="3664DA66"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736" w:type="pct"/>
            <w:tcBorders>
              <w:top w:val="nil"/>
              <w:left w:val="nil"/>
              <w:bottom w:val="single" w:sz="4" w:space="0" w:color="293F5B"/>
              <w:right w:val="nil"/>
            </w:tcBorders>
            <w:shd w:val="clear" w:color="auto" w:fill="auto"/>
            <w:noWrap/>
            <w:vAlign w:val="center"/>
            <w:hideMark/>
          </w:tcPr>
          <w:p w14:paraId="561B4FDF"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7,725</w:t>
            </w:r>
          </w:p>
        </w:tc>
        <w:tc>
          <w:tcPr>
            <w:tcW w:w="736" w:type="pct"/>
            <w:tcBorders>
              <w:top w:val="nil"/>
              <w:left w:val="nil"/>
              <w:bottom w:val="single" w:sz="4" w:space="0" w:color="293F5B"/>
              <w:right w:val="nil"/>
            </w:tcBorders>
            <w:shd w:val="clear" w:color="auto" w:fill="auto"/>
            <w:noWrap/>
            <w:vAlign w:val="center"/>
            <w:hideMark/>
          </w:tcPr>
          <w:p w14:paraId="70D40F87"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1.1</w:t>
            </w:r>
          </w:p>
        </w:tc>
      </w:tr>
      <w:tr w:rsidR="003B54EA" w:rsidRPr="00673C1F" w14:paraId="5618BCF3" w14:textId="77777777" w:rsidTr="003B54EA">
        <w:trPr>
          <w:trHeight w:hRule="exact" w:val="225"/>
        </w:trPr>
        <w:tc>
          <w:tcPr>
            <w:tcW w:w="2001" w:type="pct"/>
            <w:tcBorders>
              <w:top w:val="nil"/>
              <w:left w:val="nil"/>
              <w:bottom w:val="nil"/>
              <w:right w:val="nil"/>
            </w:tcBorders>
            <w:shd w:val="clear" w:color="auto" w:fill="auto"/>
            <w:noWrap/>
            <w:vAlign w:val="center"/>
            <w:hideMark/>
          </w:tcPr>
          <w:p w14:paraId="36CECEA3" w14:textId="77777777" w:rsidR="003B54EA" w:rsidRPr="00673C1F" w:rsidRDefault="003B54EA" w:rsidP="003B54EA">
            <w:pPr>
              <w:spacing w:before="0" w:after="0" w:line="240" w:lineRule="auto"/>
              <w:rPr>
                <w:rFonts w:ascii="Arial" w:hAnsi="Arial" w:cs="Arial"/>
                <w:i/>
                <w:iCs/>
                <w:sz w:val="16"/>
                <w:szCs w:val="16"/>
              </w:rPr>
            </w:pPr>
            <w:r w:rsidRPr="00673C1F">
              <w:rPr>
                <w:rFonts w:ascii="Arial" w:hAnsi="Arial" w:cs="Arial"/>
                <w:i/>
                <w:iCs/>
                <w:sz w:val="16"/>
                <w:szCs w:val="16"/>
              </w:rPr>
              <w:t>Memorandum:</w:t>
            </w:r>
          </w:p>
        </w:tc>
        <w:tc>
          <w:tcPr>
            <w:tcW w:w="736" w:type="pct"/>
            <w:tcBorders>
              <w:top w:val="nil"/>
              <w:left w:val="nil"/>
              <w:bottom w:val="nil"/>
              <w:right w:val="nil"/>
            </w:tcBorders>
            <w:shd w:val="clear" w:color="000000" w:fill="FFFFFF"/>
            <w:noWrap/>
            <w:vAlign w:val="center"/>
            <w:hideMark/>
          </w:tcPr>
          <w:p w14:paraId="36DA22AD"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736" w:type="pct"/>
            <w:tcBorders>
              <w:top w:val="nil"/>
              <w:left w:val="nil"/>
              <w:bottom w:val="nil"/>
              <w:right w:val="nil"/>
            </w:tcBorders>
            <w:shd w:val="clear" w:color="000000" w:fill="E6F2FF"/>
            <w:noWrap/>
            <w:vAlign w:val="center"/>
            <w:hideMark/>
          </w:tcPr>
          <w:p w14:paraId="69710A0E" w14:textId="77777777" w:rsidR="003B54EA" w:rsidRPr="00673C1F" w:rsidRDefault="003B54EA" w:rsidP="003B54EA">
            <w:pPr>
              <w:spacing w:before="0" w:after="0" w:line="240" w:lineRule="auto"/>
              <w:rPr>
                <w:rFonts w:ascii="Arial" w:hAnsi="Arial" w:cs="Arial"/>
                <w:b/>
                <w:bCs/>
                <w:sz w:val="16"/>
                <w:szCs w:val="16"/>
              </w:rPr>
            </w:pPr>
            <w:r w:rsidRPr="00673C1F">
              <w:rPr>
                <w:rFonts w:ascii="Arial" w:hAnsi="Arial" w:cs="Arial"/>
                <w:b/>
                <w:bCs/>
                <w:sz w:val="16"/>
                <w:szCs w:val="16"/>
              </w:rPr>
              <w:t> </w:t>
            </w:r>
          </w:p>
        </w:tc>
        <w:tc>
          <w:tcPr>
            <w:tcW w:w="57" w:type="pct"/>
            <w:tcBorders>
              <w:top w:val="nil"/>
              <w:left w:val="nil"/>
              <w:bottom w:val="nil"/>
              <w:right w:val="nil"/>
            </w:tcBorders>
            <w:shd w:val="clear" w:color="auto" w:fill="auto"/>
            <w:noWrap/>
            <w:vAlign w:val="center"/>
            <w:hideMark/>
          </w:tcPr>
          <w:p w14:paraId="309BB8AB" w14:textId="77777777" w:rsidR="003B54EA" w:rsidRPr="00673C1F" w:rsidRDefault="003B54EA" w:rsidP="003B54EA">
            <w:pPr>
              <w:spacing w:before="0" w:after="0" w:line="240" w:lineRule="auto"/>
              <w:rPr>
                <w:rFonts w:ascii="Arial" w:hAnsi="Arial" w:cs="Arial"/>
                <w:b/>
                <w:bCs/>
                <w:sz w:val="16"/>
                <w:szCs w:val="16"/>
              </w:rPr>
            </w:pPr>
          </w:p>
        </w:tc>
        <w:tc>
          <w:tcPr>
            <w:tcW w:w="736" w:type="pct"/>
            <w:tcBorders>
              <w:top w:val="nil"/>
              <w:left w:val="nil"/>
              <w:bottom w:val="nil"/>
              <w:right w:val="nil"/>
            </w:tcBorders>
            <w:shd w:val="clear" w:color="auto" w:fill="auto"/>
            <w:noWrap/>
            <w:vAlign w:val="center"/>
            <w:hideMark/>
          </w:tcPr>
          <w:p w14:paraId="61083C14" w14:textId="77777777" w:rsidR="003B54EA" w:rsidRPr="00673C1F" w:rsidRDefault="003B54EA" w:rsidP="003B54EA">
            <w:pPr>
              <w:spacing w:before="0" w:after="0" w:line="240" w:lineRule="auto"/>
              <w:jc w:val="right"/>
              <w:rPr>
                <w:rFonts w:ascii="Times New Roman" w:hAnsi="Times New Roman"/>
                <w:sz w:val="20"/>
              </w:rPr>
            </w:pPr>
          </w:p>
        </w:tc>
        <w:tc>
          <w:tcPr>
            <w:tcW w:w="736" w:type="pct"/>
            <w:tcBorders>
              <w:top w:val="nil"/>
              <w:left w:val="nil"/>
              <w:bottom w:val="nil"/>
              <w:right w:val="nil"/>
            </w:tcBorders>
            <w:shd w:val="clear" w:color="auto" w:fill="auto"/>
            <w:noWrap/>
            <w:vAlign w:val="center"/>
            <w:hideMark/>
          </w:tcPr>
          <w:p w14:paraId="13F5C1CE" w14:textId="77777777" w:rsidR="003B54EA" w:rsidRPr="00673C1F" w:rsidRDefault="003B54EA" w:rsidP="003B54EA">
            <w:pPr>
              <w:spacing w:before="0" w:after="0" w:line="240" w:lineRule="auto"/>
              <w:jc w:val="right"/>
              <w:rPr>
                <w:rFonts w:ascii="Times New Roman" w:hAnsi="Times New Roman"/>
                <w:sz w:val="20"/>
              </w:rPr>
            </w:pPr>
          </w:p>
        </w:tc>
      </w:tr>
      <w:tr w:rsidR="003B54EA" w:rsidRPr="00673C1F" w14:paraId="63CDCF60" w14:textId="77777777" w:rsidTr="003B54EA">
        <w:trPr>
          <w:trHeight w:hRule="exact" w:val="225"/>
        </w:trPr>
        <w:tc>
          <w:tcPr>
            <w:tcW w:w="2001" w:type="pct"/>
            <w:tcBorders>
              <w:top w:val="nil"/>
              <w:left w:val="nil"/>
              <w:bottom w:val="nil"/>
              <w:right w:val="nil"/>
            </w:tcBorders>
            <w:shd w:val="clear" w:color="auto" w:fill="auto"/>
            <w:noWrap/>
            <w:vAlign w:val="center"/>
            <w:hideMark/>
          </w:tcPr>
          <w:p w14:paraId="0E158A33" w14:textId="77777777" w:rsidR="003B54EA" w:rsidRPr="00673C1F" w:rsidRDefault="003B54EA" w:rsidP="003B54EA">
            <w:pPr>
              <w:spacing w:before="0" w:after="0" w:line="240" w:lineRule="auto"/>
              <w:ind w:left="170"/>
              <w:rPr>
                <w:rFonts w:ascii="Arial" w:hAnsi="Arial" w:cs="Arial"/>
                <w:i/>
                <w:iCs/>
                <w:sz w:val="16"/>
                <w:szCs w:val="16"/>
              </w:rPr>
            </w:pPr>
            <w:r w:rsidRPr="00673C1F">
              <w:rPr>
                <w:rFonts w:ascii="Arial" w:hAnsi="Arial" w:cs="Arial"/>
                <w:i/>
                <w:iCs/>
                <w:sz w:val="16"/>
                <w:szCs w:val="16"/>
              </w:rPr>
              <w:t xml:space="preserve">Total excise </w:t>
            </w:r>
          </w:p>
        </w:tc>
        <w:tc>
          <w:tcPr>
            <w:tcW w:w="736" w:type="pct"/>
            <w:tcBorders>
              <w:top w:val="nil"/>
              <w:left w:val="nil"/>
              <w:bottom w:val="nil"/>
              <w:right w:val="nil"/>
            </w:tcBorders>
            <w:shd w:val="clear" w:color="auto" w:fill="auto"/>
            <w:noWrap/>
            <w:vAlign w:val="center"/>
            <w:hideMark/>
          </w:tcPr>
          <w:p w14:paraId="6B638AC9"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31,810</w:t>
            </w:r>
          </w:p>
        </w:tc>
        <w:tc>
          <w:tcPr>
            <w:tcW w:w="736" w:type="pct"/>
            <w:tcBorders>
              <w:top w:val="nil"/>
              <w:left w:val="nil"/>
              <w:bottom w:val="nil"/>
              <w:right w:val="nil"/>
            </w:tcBorders>
            <w:shd w:val="clear" w:color="000000" w:fill="E6F2FF"/>
            <w:noWrap/>
            <w:vAlign w:val="center"/>
            <w:hideMark/>
          </w:tcPr>
          <w:p w14:paraId="64D02D10"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31,870</w:t>
            </w:r>
          </w:p>
        </w:tc>
        <w:tc>
          <w:tcPr>
            <w:tcW w:w="57" w:type="pct"/>
            <w:tcBorders>
              <w:top w:val="nil"/>
              <w:left w:val="nil"/>
              <w:bottom w:val="nil"/>
              <w:right w:val="nil"/>
            </w:tcBorders>
            <w:shd w:val="clear" w:color="auto" w:fill="auto"/>
            <w:noWrap/>
            <w:vAlign w:val="center"/>
            <w:hideMark/>
          </w:tcPr>
          <w:p w14:paraId="215DBC52" w14:textId="77777777" w:rsidR="003B54EA" w:rsidRPr="00673C1F" w:rsidRDefault="003B54EA" w:rsidP="003B54EA">
            <w:pPr>
              <w:spacing w:before="0" w:after="0" w:line="240" w:lineRule="auto"/>
              <w:jc w:val="right"/>
              <w:rPr>
                <w:rFonts w:ascii="Arial" w:hAnsi="Arial" w:cs="Arial"/>
                <w:i/>
                <w:iCs/>
                <w:sz w:val="16"/>
                <w:szCs w:val="16"/>
              </w:rPr>
            </w:pPr>
          </w:p>
        </w:tc>
        <w:tc>
          <w:tcPr>
            <w:tcW w:w="736" w:type="pct"/>
            <w:tcBorders>
              <w:top w:val="nil"/>
              <w:left w:val="nil"/>
              <w:bottom w:val="nil"/>
              <w:right w:val="nil"/>
            </w:tcBorders>
            <w:shd w:val="clear" w:color="auto" w:fill="auto"/>
            <w:noWrap/>
            <w:vAlign w:val="center"/>
            <w:hideMark/>
          </w:tcPr>
          <w:p w14:paraId="240E52C8"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60</w:t>
            </w:r>
          </w:p>
        </w:tc>
        <w:tc>
          <w:tcPr>
            <w:tcW w:w="736" w:type="pct"/>
            <w:tcBorders>
              <w:top w:val="nil"/>
              <w:left w:val="nil"/>
              <w:bottom w:val="nil"/>
              <w:right w:val="nil"/>
            </w:tcBorders>
            <w:shd w:val="clear" w:color="auto" w:fill="auto"/>
            <w:noWrap/>
            <w:vAlign w:val="center"/>
            <w:hideMark/>
          </w:tcPr>
          <w:p w14:paraId="548A96F3"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0.2</w:t>
            </w:r>
          </w:p>
        </w:tc>
      </w:tr>
      <w:tr w:rsidR="003B54EA" w:rsidRPr="00673C1F" w14:paraId="4B8EEB68" w14:textId="77777777" w:rsidTr="003B54EA">
        <w:trPr>
          <w:trHeight w:hRule="exact" w:val="225"/>
        </w:trPr>
        <w:tc>
          <w:tcPr>
            <w:tcW w:w="2001" w:type="pct"/>
            <w:tcBorders>
              <w:top w:val="nil"/>
              <w:left w:val="nil"/>
              <w:bottom w:val="nil"/>
              <w:right w:val="nil"/>
            </w:tcBorders>
            <w:shd w:val="clear" w:color="auto" w:fill="auto"/>
            <w:noWrap/>
            <w:vAlign w:val="center"/>
            <w:hideMark/>
          </w:tcPr>
          <w:p w14:paraId="699993AD" w14:textId="77777777" w:rsidR="003B54EA" w:rsidRPr="00673C1F" w:rsidRDefault="003B54EA" w:rsidP="003B54EA">
            <w:pPr>
              <w:spacing w:before="0" w:after="0" w:line="240" w:lineRule="auto"/>
              <w:ind w:left="170"/>
              <w:rPr>
                <w:rFonts w:ascii="Arial" w:hAnsi="Arial" w:cs="Arial"/>
                <w:i/>
                <w:iCs/>
                <w:sz w:val="16"/>
                <w:szCs w:val="16"/>
              </w:rPr>
            </w:pPr>
            <w:r w:rsidRPr="00673C1F">
              <w:rPr>
                <w:rFonts w:ascii="Arial" w:hAnsi="Arial" w:cs="Arial"/>
                <w:i/>
                <w:iCs/>
                <w:sz w:val="16"/>
                <w:szCs w:val="16"/>
              </w:rPr>
              <w:t xml:space="preserve">Total customs duty </w:t>
            </w:r>
          </w:p>
        </w:tc>
        <w:tc>
          <w:tcPr>
            <w:tcW w:w="736" w:type="pct"/>
            <w:tcBorders>
              <w:top w:val="nil"/>
              <w:left w:val="nil"/>
              <w:bottom w:val="nil"/>
              <w:right w:val="nil"/>
            </w:tcBorders>
            <w:shd w:val="clear" w:color="auto" w:fill="auto"/>
            <w:noWrap/>
            <w:vAlign w:val="center"/>
            <w:hideMark/>
          </w:tcPr>
          <w:p w14:paraId="43C35313"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17,850</w:t>
            </w:r>
          </w:p>
        </w:tc>
        <w:tc>
          <w:tcPr>
            <w:tcW w:w="736" w:type="pct"/>
            <w:tcBorders>
              <w:top w:val="nil"/>
              <w:left w:val="nil"/>
              <w:bottom w:val="nil"/>
              <w:right w:val="nil"/>
            </w:tcBorders>
            <w:shd w:val="clear" w:color="000000" w:fill="E6F2FF"/>
            <w:noWrap/>
            <w:vAlign w:val="center"/>
            <w:hideMark/>
          </w:tcPr>
          <w:p w14:paraId="3756EA14"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16,030</w:t>
            </w:r>
          </w:p>
        </w:tc>
        <w:tc>
          <w:tcPr>
            <w:tcW w:w="57" w:type="pct"/>
            <w:tcBorders>
              <w:top w:val="nil"/>
              <w:left w:val="nil"/>
              <w:bottom w:val="nil"/>
              <w:right w:val="nil"/>
            </w:tcBorders>
            <w:shd w:val="clear" w:color="auto" w:fill="auto"/>
            <w:noWrap/>
            <w:vAlign w:val="center"/>
            <w:hideMark/>
          </w:tcPr>
          <w:p w14:paraId="1C5EC381" w14:textId="77777777" w:rsidR="003B54EA" w:rsidRPr="00673C1F" w:rsidRDefault="003B54EA" w:rsidP="003B54EA">
            <w:pPr>
              <w:spacing w:before="0" w:after="0" w:line="240" w:lineRule="auto"/>
              <w:jc w:val="right"/>
              <w:rPr>
                <w:rFonts w:ascii="Arial" w:hAnsi="Arial" w:cs="Arial"/>
                <w:i/>
                <w:iCs/>
                <w:sz w:val="16"/>
                <w:szCs w:val="16"/>
              </w:rPr>
            </w:pPr>
          </w:p>
        </w:tc>
        <w:tc>
          <w:tcPr>
            <w:tcW w:w="736" w:type="pct"/>
            <w:tcBorders>
              <w:top w:val="nil"/>
              <w:left w:val="nil"/>
              <w:bottom w:val="nil"/>
              <w:right w:val="nil"/>
            </w:tcBorders>
            <w:shd w:val="clear" w:color="auto" w:fill="auto"/>
            <w:noWrap/>
            <w:vAlign w:val="center"/>
            <w:hideMark/>
          </w:tcPr>
          <w:p w14:paraId="7A7EF537" w14:textId="54D8AE94" w:rsidR="003B54EA" w:rsidRPr="00673C1F" w:rsidRDefault="006D727E" w:rsidP="003B54EA">
            <w:pPr>
              <w:spacing w:before="0" w:after="0" w:line="240" w:lineRule="auto"/>
              <w:jc w:val="right"/>
              <w:rPr>
                <w:rFonts w:ascii="Arial" w:hAnsi="Arial" w:cs="Arial"/>
                <w:i/>
                <w:iCs/>
                <w:sz w:val="16"/>
                <w:szCs w:val="16"/>
              </w:rPr>
            </w:pPr>
            <w:r w:rsidRPr="00673C1F">
              <w:rPr>
                <w:rFonts w:ascii="Arial" w:hAnsi="Arial" w:cs="Arial"/>
                <w:i/>
                <w:iCs/>
                <w:sz w:val="16"/>
                <w:szCs w:val="16"/>
              </w:rPr>
              <w:noBreakHyphen/>
            </w:r>
            <w:r w:rsidR="003B54EA" w:rsidRPr="00673C1F">
              <w:rPr>
                <w:rFonts w:ascii="Arial" w:hAnsi="Arial" w:cs="Arial"/>
                <w:i/>
                <w:iCs/>
                <w:sz w:val="16"/>
                <w:szCs w:val="16"/>
              </w:rPr>
              <w:t>1,820</w:t>
            </w:r>
          </w:p>
        </w:tc>
        <w:tc>
          <w:tcPr>
            <w:tcW w:w="736" w:type="pct"/>
            <w:tcBorders>
              <w:top w:val="nil"/>
              <w:left w:val="nil"/>
              <w:bottom w:val="nil"/>
              <w:right w:val="nil"/>
            </w:tcBorders>
            <w:shd w:val="clear" w:color="auto" w:fill="auto"/>
            <w:noWrap/>
            <w:vAlign w:val="center"/>
            <w:hideMark/>
          </w:tcPr>
          <w:p w14:paraId="73923883" w14:textId="14725E7B" w:rsidR="003B54EA" w:rsidRPr="00673C1F" w:rsidRDefault="006D727E" w:rsidP="003B54EA">
            <w:pPr>
              <w:spacing w:before="0" w:after="0" w:line="240" w:lineRule="auto"/>
              <w:jc w:val="right"/>
              <w:rPr>
                <w:rFonts w:ascii="Arial" w:hAnsi="Arial" w:cs="Arial"/>
                <w:i/>
                <w:iCs/>
                <w:sz w:val="16"/>
                <w:szCs w:val="16"/>
              </w:rPr>
            </w:pPr>
            <w:r w:rsidRPr="00673C1F">
              <w:rPr>
                <w:rFonts w:ascii="Arial" w:hAnsi="Arial" w:cs="Arial"/>
                <w:i/>
                <w:iCs/>
                <w:sz w:val="16"/>
                <w:szCs w:val="16"/>
              </w:rPr>
              <w:noBreakHyphen/>
            </w:r>
            <w:r w:rsidR="003B54EA" w:rsidRPr="00673C1F">
              <w:rPr>
                <w:rFonts w:ascii="Arial" w:hAnsi="Arial" w:cs="Arial"/>
                <w:i/>
                <w:iCs/>
                <w:sz w:val="16"/>
                <w:szCs w:val="16"/>
              </w:rPr>
              <w:t>10.2</w:t>
            </w:r>
          </w:p>
        </w:tc>
      </w:tr>
      <w:tr w:rsidR="003B54EA" w:rsidRPr="00673C1F" w14:paraId="43935EFA" w14:textId="77777777" w:rsidTr="003B54EA">
        <w:trPr>
          <w:trHeight w:hRule="exact" w:val="225"/>
        </w:trPr>
        <w:tc>
          <w:tcPr>
            <w:tcW w:w="2001" w:type="pct"/>
            <w:tcBorders>
              <w:top w:val="nil"/>
              <w:left w:val="nil"/>
              <w:bottom w:val="single" w:sz="4" w:space="0" w:color="293F5B"/>
              <w:right w:val="nil"/>
            </w:tcBorders>
            <w:shd w:val="clear" w:color="auto" w:fill="auto"/>
            <w:noWrap/>
            <w:vAlign w:val="center"/>
            <w:hideMark/>
          </w:tcPr>
          <w:p w14:paraId="44E9CB53" w14:textId="77777777" w:rsidR="003B54EA" w:rsidRPr="00673C1F" w:rsidRDefault="003B54EA" w:rsidP="003B54EA">
            <w:pPr>
              <w:spacing w:before="0" w:after="0" w:line="240" w:lineRule="auto"/>
              <w:ind w:left="170"/>
              <w:rPr>
                <w:rFonts w:ascii="Arial" w:hAnsi="Arial" w:cs="Arial"/>
                <w:i/>
                <w:iCs/>
                <w:sz w:val="16"/>
                <w:szCs w:val="16"/>
              </w:rPr>
            </w:pPr>
            <w:r w:rsidRPr="00673C1F">
              <w:rPr>
                <w:rFonts w:ascii="Arial" w:hAnsi="Arial" w:cs="Arial"/>
                <w:i/>
                <w:iCs/>
                <w:sz w:val="16"/>
                <w:szCs w:val="16"/>
              </w:rPr>
              <w:t>Capital gains tax(b)</w:t>
            </w:r>
          </w:p>
        </w:tc>
        <w:tc>
          <w:tcPr>
            <w:tcW w:w="736" w:type="pct"/>
            <w:tcBorders>
              <w:top w:val="nil"/>
              <w:left w:val="nil"/>
              <w:bottom w:val="single" w:sz="4" w:space="0" w:color="293F5B"/>
              <w:right w:val="nil"/>
            </w:tcBorders>
            <w:shd w:val="clear" w:color="000000" w:fill="FFFFFF"/>
            <w:noWrap/>
            <w:vAlign w:val="center"/>
            <w:hideMark/>
          </w:tcPr>
          <w:p w14:paraId="582A011F"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22,900</w:t>
            </w:r>
          </w:p>
        </w:tc>
        <w:tc>
          <w:tcPr>
            <w:tcW w:w="736" w:type="pct"/>
            <w:tcBorders>
              <w:top w:val="nil"/>
              <w:left w:val="nil"/>
              <w:bottom w:val="single" w:sz="4" w:space="0" w:color="293F5B"/>
              <w:right w:val="nil"/>
            </w:tcBorders>
            <w:shd w:val="clear" w:color="000000" w:fill="E6F2FF"/>
            <w:noWrap/>
            <w:vAlign w:val="center"/>
            <w:hideMark/>
          </w:tcPr>
          <w:p w14:paraId="5E79F786"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23,600</w:t>
            </w:r>
          </w:p>
        </w:tc>
        <w:tc>
          <w:tcPr>
            <w:tcW w:w="57" w:type="pct"/>
            <w:tcBorders>
              <w:top w:val="nil"/>
              <w:left w:val="nil"/>
              <w:bottom w:val="single" w:sz="4" w:space="0" w:color="293F5B"/>
              <w:right w:val="nil"/>
            </w:tcBorders>
            <w:shd w:val="clear" w:color="auto" w:fill="auto"/>
            <w:noWrap/>
            <w:vAlign w:val="center"/>
            <w:hideMark/>
          </w:tcPr>
          <w:p w14:paraId="0819B3CA"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 </w:t>
            </w:r>
          </w:p>
        </w:tc>
        <w:tc>
          <w:tcPr>
            <w:tcW w:w="736" w:type="pct"/>
            <w:tcBorders>
              <w:top w:val="nil"/>
              <w:left w:val="nil"/>
              <w:bottom w:val="single" w:sz="4" w:space="0" w:color="293F5B"/>
              <w:right w:val="nil"/>
            </w:tcBorders>
            <w:shd w:val="clear" w:color="auto" w:fill="auto"/>
            <w:noWrap/>
            <w:vAlign w:val="center"/>
            <w:hideMark/>
          </w:tcPr>
          <w:p w14:paraId="5D12F345"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700</w:t>
            </w:r>
          </w:p>
        </w:tc>
        <w:tc>
          <w:tcPr>
            <w:tcW w:w="736" w:type="pct"/>
            <w:tcBorders>
              <w:top w:val="nil"/>
              <w:left w:val="nil"/>
              <w:bottom w:val="single" w:sz="4" w:space="0" w:color="293F5B"/>
              <w:right w:val="nil"/>
            </w:tcBorders>
            <w:shd w:val="clear" w:color="auto" w:fill="auto"/>
            <w:noWrap/>
            <w:vAlign w:val="center"/>
            <w:hideMark/>
          </w:tcPr>
          <w:p w14:paraId="3B0B8252"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3.1</w:t>
            </w:r>
          </w:p>
        </w:tc>
      </w:tr>
    </w:tbl>
    <w:p w14:paraId="5B2581E9" w14:textId="72B43589" w:rsidR="00356E70" w:rsidRPr="00673C1F" w:rsidRDefault="006D727E" w:rsidP="00872A53">
      <w:pPr>
        <w:pStyle w:val="ChartandTableFootnoteAlpha"/>
        <w:numPr>
          <w:ilvl w:val="0"/>
          <w:numId w:val="19"/>
        </w:numPr>
        <w:rPr>
          <w:color w:val="auto"/>
        </w:rPr>
      </w:pPr>
      <w:r w:rsidRPr="00673C1F">
        <w:rPr>
          <w:color w:val="auto"/>
        </w:rPr>
        <w:t>‘</w:t>
      </w:r>
      <w:r w:rsidR="00356E70" w:rsidRPr="00673C1F">
        <w:rPr>
          <w:color w:val="auto"/>
        </w:rPr>
        <w:t>Other alcoholic beverages</w:t>
      </w:r>
      <w:r w:rsidRPr="00673C1F">
        <w:rPr>
          <w:color w:val="auto"/>
        </w:rPr>
        <w:t>’</w:t>
      </w:r>
      <w:r w:rsidR="00356E70" w:rsidRPr="00673C1F">
        <w:rPr>
          <w:color w:val="auto"/>
        </w:rPr>
        <w:t xml:space="preserve"> are those not exceeding 10</w:t>
      </w:r>
      <w:r w:rsidR="007B112E" w:rsidRPr="00673C1F">
        <w:rPr>
          <w:color w:val="auto"/>
        </w:rPr>
        <w:t> </w:t>
      </w:r>
      <w:r w:rsidR="00356E70" w:rsidRPr="00673C1F">
        <w:rPr>
          <w:color w:val="auto"/>
        </w:rPr>
        <w:t>per</w:t>
      </w:r>
      <w:r w:rsidR="007B112E" w:rsidRPr="00673C1F">
        <w:rPr>
          <w:color w:val="auto"/>
        </w:rPr>
        <w:t> </w:t>
      </w:r>
      <w:r w:rsidR="00356E70" w:rsidRPr="00673C1F">
        <w:rPr>
          <w:color w:val="auto"/>
        </w:rPr>
        <w:t xml:space="preserve">cent by volume of alcohol (excluding beer, brandy and wine). </w:t>
      </w:r>
    </w:p>
    <w:p w14:paraId="13439815" w14:textId="46F6F748" w:rsidR="00356E70" w:rsidRDefault="006D727E" w:rsidP="00CF2893">
      <w:pPr>
        <w:pStyle w:val="ChartandTableFootnoteAlpha"/>
        <w:pBdr>
          <w:bottom w:val="single" w:sz="4" w:space="1" w:color="auto"/>
        </w:pBdr>
        <w:rPr>
          <w:color w:val="auto"/>
        </w:rPr>
      </w:pPr>
      <w:r w:rsidRPr="00673C1F">
        <w:rPr>
          <w:color w:val="auto"/>
        </w:rPr>
        <w:t>‘</w:t>
      </w:r>
      <w:r w:rsidR="00356E70" w:rsidRPr="00673C1F">
        <w:rPr>
          <w:color w:val="auto"/>
        </w:rPr>
        <w:t>Capital gains tax</w:t>
      </w:r>
      <w:r w:rsidRPr="00673C1F">
        <w:rPr>
          <w:color w:val="auto"/>
        </w:rPr>
        <w:t>’</w:t>
      </w:r>
      <w:r w:rsidR="00356E70" w:rsidRPr="00673C1F">
        <w:rPr>
          <w:color w:val="auto"/>
        </w:rPr>
        <w:t xml:space="preserve"> is part of gross other individuals, company tax and superannuation fund taxes.</w:t>
      </w:r>
    </w:p>
    <w:p w14:paraId="1311ECA7" w14:textId="77777777" w:rsidR="002B6167" w:rsidRPr="00673C1F" w:rsidRDefault="002B6167" w:rsidP="002B6167">
      <w:pPr>
        <w:pStyle w:val="TableLine"/>
      </w:pPr>
    </w:p>
    <w:p w14:paraId="1C95C298" w14:textId="33E27621" w:rsidR="001B7830" w:rsidRPr="00673C1F" w:rsidRDefault="00356E70" w:rsidP="001B7830">
      <w:pPr>
        <w:pStyle w:val="TableHeading"/>
        <w:rPr>
          <w:rFonts w:asciiTheme="minorHAnsi" w:eastAsiaTheme="minorHAnsi" w:hAnsiTheme="minorHAnsi" w:cstheme="minorBidi"/>
          <w:sz w:val="22"/>
          <w:szCs w:val="22"/>
          <w:lang w:eastAsia="en-US"/>
        </w:rPr>
      </w:pPr>
      <w:r w:rsidRPr="00673C1F">
        <w:lastRenderedPageBreak/>
        <w:t>Table 5.7: Australian Government general government (cash) receip</w:t>
      </w:r>
      <w:r w:rsidR="00036AE2" w:rsidRPr="00673C1F">
        <w:t>ts</w:t>
      </w:r>
      <w:r w:rsidR="0091687E" w:rsidRPr="00673C1F">
        <w:t xml:space="preserve"> </w:t>
      </w:r>
      <w:bookmarkStart w:id="46" w:name="_1776681608"/>
      <w:bookmarkStart w:id="47" w:name="_1776682802"/>
      <w:bookmarkEnd w:id="46"/>
      <w:bookmarkEnd w:id="47"/>
    </w:p>
    <w:tbl>
      <w:tblPr>
        <w:tblW w:w="5000" w:type="pct"/>
        <w:tblCellMar>
          <w:left w:w="0" w:type="dxa"/>
          <w:right w:w="28" w:type="dxa"/>
        </w:tblCellMar>
        <w:tblLook w:val="04A0" w:firstRow="1" w:lastRow="0" w:firstColumn="1" w:lastColumn="0" w:noHBand="0" w:noVBand="1"/>
      </w:tblPr>
      <w:tblGrid>
        <w:gridCol w:w="3003"/>
        <w:gridCol w:w="771"/>
        <w:gridCol w:w="83"/>
        <w:gridCol w:w="709"/>
        <w:gridCol w:w="709"/>
        <w:gridCol w:w="811"/>
        <w:gridCol w:w="811"/>
        <w:gridCol w:w="813"/>
      </w:tblGrid>
      <w:tr w:rsidR="001B7830" w:rsidRPr="00673C1F" w14:paraId="7570A288" w14:textId="77777777" w:rsidTr="00CE2887">
        <w:trPr>
          <w:trHeight w:hRule="exact" w:val="225"/>
        </w:trPr>
        <w:tc>
          <w:tcPr>
            <w:tcW w:w="1947" w:type="pct"/>
            <w:tcBorders>
              <w:top w:val="single" w:sz="4" w:space="0" w:color="auto"/>
              <w:left w:val="nil"/>
              <w:bottom w:val="nil"/>
              <w:right w:val="nil"/>
            </w:tcBorders>
            <w:shd w:val="clear" w:color="000000" w:fill="FFFFFF"/>
            <w:noWrap/>
            <w:vAlign w:val="center"/>
            <w:hideMark/>
          </w:tcPr>
          <w:p w14:paraId="4DC3DBCD" w14:textId="307BE891" w:rsidR="001B7830" w:rsidRPr="00673C1F" w:rsidRDefault="001B7830" w:rsidP="001B7830">
            <w:pPr>
              <w:spacing w:before="0" w:after="0" w:line="240" w:lineRule="auto"/>
              <w:rPr>
                <w:rFonts w:ascii="Arial" w:hAnsi="Arial" w:cs="Arial"/>
                <w:sz w:val="16"/>
                <w:szCs w:val="16"/>
              </w:rPr>
            </w:pPr>
            <w:r w:rsidRPr="00673C1F">
              <w:rPr>
                <w:rFonts w:ascii="Arial" w:hAnsi="Arial" w:cs="Arial"/>
                <w:sz w:val="16"/>
                <w:szCs w:val="16"/>
              </w:rPr>
              <w:t> </w:t>
            </w:r>
          </w:p>
        </w:tc>
        <w:tc>
          <w:tcPr>
            <w:tcW w:w="500" w:type="pct"/>
            <w:tcBorders>
              <w:top w:val="single" w:sz="4" w:space="0" w:color="293F5B"/>
              <w:left w:val="nil"/>
              <w:bottom w:val="single" w:sz="4" w:space="0" w:color="293F5B"/>
              <w:right w:val="nil"/>
            </w:tcBorders>
            <w:shd w:val="clear" w:color="000000" w:fill="FFFFFF"/>
            <w:noWrap/>
            <w:vAlign w:val="center"/>
            <w:hideMark/>
          </w:tcPr>
          <w:p w14:paraId="6DD42761" w14:textId="77777777" w:rsidR="001B7830" w:rsidRPr="00673C1F" w:rsidRDefault="001B7830" w:rsidP="001B7830">
            <w:pPr>
              <w:spacing w:before="0" w:after="0" w:line="240" w:lineRule="auto"/>
              <w:jc w:val="center"/>
              <w:rPr>
                <w:rFonts w:ascii="Arial" w:hAnsi="Arial" w:cs="Arial"/>
                <w:sz w:val="16"/>
                <w:szCs w:val="16"/>
              </w:rPr>
            </w:pPr>
            <w:r w:rsidRPr="00673C1F">
              <w:rPr>
                <w:rFonts w:ascii="Arial" w:hAnsi="Arial" w:cs="Arial"/>
                <w:sz w:val="16"/>
                <w:szCs w:val="16"/>
              </w:rPr>
              <w:t>Actual</w:t>
            </w:r>
          </w:p>
        </w:tc>
        <w:tc>
          <w:tcPr>
            <w:tcW w:w="54" w:type="pct"/>
            <w:tcBorders>
              <w:top w:val="nil"/>
              <w:left w:val="nil"/>
              <w:bottom w:val="nil"/>
              <w:right w:val="nil"/>
            </w:tcBorders>
            <w:shd w:val="clear" w:color="000000" w:fill="FFFFFF"/>
            <w:noWrap/>
            <w:vAlign w:val="center"/>
            <w:hideMark/>
          </w:tcPr>
          <w:p w14:paraId="7EF7A141"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c>
          <w:tcPr>
            <w:tcW w:w="2499" w:type="pct"/>
            <w:gridSpan w:val="5"/>
            <w:tcBorders>
              <w:top w:val="single" w:sz="4" w:space="0" w:color="293F5B"/>
              <w:left w:val="nil"/>
              <w:bottom w:val="single" w:sz="4" w:space="0" w:color="293F5B"/>
              <w:right w:val="nil"/>
            </w:tcBorders>
            <w:shd w:val="clear" w:color="000000" w:fill="FFFFFF"/>
            <w:noWrap/>
            <w:vAlign w:val="center"/>
            <w:hideMark/>
          </w:tcPr>
          <w:p w14:paraId="7CF245E7" w14:textId="77777777" w:rsidR="001B7830" w:rsidRPr="00673C1F" w:rsidRDefault="001B7830" w:rsidP="001B7830">
            <w:pPr>
              <w:spacing w:before="0" w:after="0" w:line="240" w:lineRule="auto"/>
              <w:jc w:val="center"/>
              <w:rPr>
                <w:rFonts w:ascii="Arial" w:hAnsi="Arial" w:cs="Arial"/>
                <w:sz w:val="16"/>
                <w:szCs w:val="16"/>
              </w:rPr>
            </w:pPr>
            <w:r w:rsidRPr="00673C1F">
              <w:rPr>
                <w:rFonts w:ascii="Arial" w:hAnsi="Arial" w:cs="Arial"/>
                <w:sz w:val="16"/>
                <w:szCs w:val="16"/>
              </w:rPr>
              <w:t>Estimates</w:t>
            </w:r>
          </w:p>
        </w:tc>
      </w:tr>
      <w:tr w:rsidR="001B7830" w:rsidRPr="00673C1F" w14:paraId="08F941B1" w14:textId="77777777" w:rsidTr="00CE2887">
        <w:trPr>
          <w:trHeight w:hRule="exact" w:val="225"/>
        </w:trPr>
        <w:tc>
          <w:tcPr>
            <w:tcW w:w="1947" w:type="pct"/>
            <w:tcBorders>
              <w:top w:val="nil"/>
              <w:left w:val="nil"/>
              <w:bottom w:val="nil"/>
              <w:right w:val="nil"/>
            </w:tcBorders>
            <w:shd w:val="clear" w:color="000000" w:fill="FFFFFF"/>
            <w:noWrap/>
            <w:vAlign w:val="center"/>
            <w:hideMark/>
          </w:tcPr>
          <w:p w14:paraId="7D181FBB" w14:textId="77777777" w:rsidR="001B7830" w:rsidRPr="00673C1F" w:rsidRDefault="001B7830" w:rsidP="001B7830">
            <w:pPr>
              <w:spacing w:before="0" w:after="0" w:line="240" w:lineRule="auto"/>
              <w:rPr>
                <w:rFonts w:ascii="Arial" w:hAnsi="Arial" w:cs="Arial"/>
                <w:sz w:val="16"/>
                <w:szCs w:val="16"/>
              </w:rPr>
            </w:pPr>
            <w:r w:rsidRPr="00673C1F">
              <w:rPr>
                <w:rFonts w:ascii="Arial" w:hAnsi="Arial" w:cs="Arial"/>
                <w:sz w:val="16"/>
                <w:szCs w:val="16"/>
              </w:rPr>
              <w:t> </w:t>
            </w:r>
          </w:p>
        </w:tc>
        <w:tc>
          <w:tcPr>
            <w:tcW w:w="500" w:type="pct"/>
            <w:tcBorders>
              <w:top w:val="nil"/>
              <w:left w:val="nil"/>
              <w:bottom w:val="nil"/>
              <w:right w:val="nil"/>
            </w:tcBorders>
            <w:shd w:val="clear" w:color="000000" w:fill="FFFFFF"/>
            <w:noWrap/>
            <w:vAlign w:val="center"/>
            <w:hideMark/>
          </w:tcPr>
          <w:p w14:paraId="21865188" w14:textId="3EF90F8E"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2022</w:t>
            </w:r>
            <w:r w:rsidR="006D727E" w:rsidRPr="00673C1F">
              <w:rPr>
                <w:rFonts w:ascii="Arial" w:hAnsi="Arial" w:cs="Arial"/>
                <w:sz w:val="16"/>
                <w:szCs w:val="16"/>
              </w:rPr>
              <w:noBreakHyphen/>
            </w:r>
            <w:r w:rsidRPr="00673C1F">
              <w:rPr>
                <w:rFonts w:ascii="Arial" w:hAnsi="Arial" w:cs="Arial"/>
                <w:sz w:val="16"/>
                <w:szCs w:val="16"/>
              </w:rPr>
              <w:t>23</w:t>
            </w:r>
          </w:p>
        </w:tc>
        <w:tc>
          <w:tcPr>
            <w:tcW w:w="54" w:type="pct"/>
            <w:tcBorders>
              <w:top w:val="nil"/>
              <w:left w:val="nil"/>
              <w:bottom w:val="nil"/>
              <w:right w:val="nil"/>
            </w:tcBorders>
            <w:shd w:val="clear" w:color="000000" w:fill="FFFFFF"/>
            <w:noWrap/>
            <w:vAlign w:val="center"/>
            <w:hideMark/>
          </w:tcPr>
          <w:p w14:paraId="38F286FA"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c>
          <w:tcPr>
            <w:tcW w:w="460" w:type="pct"/>
            <w:tcBorders>
              <w:top w:val="nil"/>
              <w:left w:val="nil"/>
              <w:bottom w:val="nil"/>
              <w:right w:val="nil"/>
            </w:tcBorders>
            <w:shd w:val="clear" w:color="000000" w:fill="FFFFFF"/>
            <w:noWrap/>
            <w:vAlign w:val="center"/>
            <w:hideMark/>
          </w:tcPr>
          <w:p w14:paraId="4B3103FB" w14:textId="0A25A9FB"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2023</w:t>
            </w:r>
            <w:r w:rsidR="006D727E" w:rsidRPr="00673C1F">
              <w:rPr>
                <w:rFonts w:ascii="Arial" w:hAnsi="Arial" w:cs="Arial"/>
                <w:sz w:val="16"/>
                <w:szCs w:val="16"/>
              </w:rPr>
              <w:noBreakHyphen/>
            </w:r>
            <w:r w:rsidRPr="00673C1F">
              <w:rPr>
                <w:rFonts w:ascii="Arial" w:hAnsi="Arial" w:cs="Arial"/>
                <w:sz w:val="16"/>
                <w:szCs w:val="16"/>
              </w:rPr>
              <w:t>24</w:t>
            </w:r>
          </w:p>
        </w:tc>
        <w:tc>
          <w:tcPr>
            <w:tcW w:w="460" w:type="pct"/>
            <w:tcBorders>
              <w:top w:val="nil"/>
              <w:left w:val="nil"/>
              <w:bottom w:val="nil"/>
              <w:right w:val="nil"/>
            </w:tcBorders>
            <w:shd w:val="clear" w:color="000000" w:fill="E6F2FF"/>
            <w:noWrap/>
            <w:vAlign w:val="center"/>
            <w:hideMark/>
          </w:tcPr>
          <w:p w14:paraId="327281E3" w14:textId="50256BC2"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2024</w:t>
            </w:r>
            <w:r w:rsidR="006D727E" w:rsidRPr="00673C1F">
              <w:rPr>
                <w:rFonts w:ascii="Arial" w:hAnsi="Arial" w:cs="Arial"/>
                <w:sz w:val="16"/>
                <w:szCs w:val="16"/>
              </w:rPr>
              <w:noBreakHyphen/>
            </w:r>
            <w:r w:rsidRPr="00673C1F">
              <w:rPr>
                <w:rFonts w:ascii="Arial" w:hAnsi="Arial" w:cs="Arial"/>
                <w:sz w:val="16"/>
                <w:szCs w:val="16"/>
              </w:rPr>
              <w:t>25</w:t>
            </w:r>
          </w:p>
        </w:tc>
        <w:tc>
          <w:tcPr>
            <w:tcW w:w="526" w:type="pct"/>
            <w:tcBorders>
              <w:top w:val="nil"/>
              <w:left w:val="nil"/>
              <w:bottom w:val="nil"/>
              <w:right w:val="nil"/>
            </w:tcBorders>
            <w:shd w:val="clear" w:color="000000" w:fill="FFFFFF"/>
            <w:noWrap/>
            <w:vAlign w:val="center"/>
            <w:hideMark/>
          </w:tcPr>
          <w:p w14:paraId="6DEDA2CD" w14:textId="131806FB"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2025</w:t>
            </w:r>
            <w:r w:rsidR="006D727E" w:rsidRPr="00673C1F">
              <w:rPr>
                <w:rFonts w:ascii="Arial" w:hAnsi="Arial" w:cs="Arial"/>
                <w:sz w:val="16"/>
                <w:szCs w:val="16"/>
              </w:rPr>
              <w:noBreakHyphen/>
            </w:r>
            <w:r w:rsidRPr="00673C1F">
              <w:rPr>
                <w:rFonts w:ascii="Arial" w:hAnsi="Arial" w:cs="Arial"/>
                <w:sz w:val="16"/>
                <w:szCs w:val="16"/>
              </w:rPr>
              <w:t>26</w:t>
            </w:r>
          </w:p>
        </w:tc>
        <w:tc>
          <w:tcPr>
            <w:tcW w:w="526" w:type="pct"/>
            <w:tcBorders>
              <w:top w:val="nil"/>
              <w:left w:val="nil"/>
              <w:bottom w:val="nil"/>
              <w:right w:val="nil"/>
            </w:tcBorders>
            <w:shd w:val="clear" w:color="000000" w:fill="FFFFFF"/>
            <w:noWrap/>
            <w:vAlign w:val="center"/>
            <w:hideMark/>
          </w:tcPr>
          <w:p w14:paraId="508B7B4C" w14:textId="2C74BE94"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2026</w:t>
            </w:r>
            <w:r w:rsidR="006D727E" w:rsidRPr="00673C1F">
              <w:rPr>
                <w:rFonts w:ascii="Arial" w:hAnsi="Arial" w:cs="Arial"/>
                <w:sz w:val="16"/>
                <w:szCs w:val="16"/>
              </w:rPr>
              <w:noBreakHyphen/>
            </w:r>
            <w:r w:rsidRPr="00673C1F">
              <w:rPr>
                <w:rFonts w:ascii="Arial" w:hAnsi="Arial" w:cs="Arial"/>
                <w:sz w:val="16"/>
                <w:szCs w:val="16"/>
              </w:rPr>
              <w:t>27</w:t>
            </w:r>
          </w:p>
        </w:tc>
        <w:tc>
          <w:tcPr>
            <w:tcW w:w="527" w:type="pct"/>
            <w:tcBorders>
              <w:top w:val="nil"/>
              <w:left w:val="nil"/>
              <w:bottom w:val="nil"/>
              <w:right w:val="nil"/>
            </w:tcBorders>
            <w:shd w:val="clear" w:color="000000" w:fill="FFFFFF"/>
            <w:noWrap/>
            <w:vAlign w:val="center"/>
            <w:hideMark/>
          </w:tcPr>
          <w:p w14:paraId="1205F0F2" w14:textId="040A82A8"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2027</w:t>
            </w:r>
            <w:r w:rsidR="006D727E" w:rsidRPr="00673C1F">
              <w:rPr>
                <w:rFonts w:ascii="Arial" w:hAnsi="Arial" w:cs="Arial"/>
                <w:sz w:val="16"/>
                <w:szCs w:val="16"/>
              </w:rPr>
              <w:noBreakHyphen/>
            </w:r>
            <w:r w:rsidRPr="00673C1F">
              <w:rPr>
                <w:rFonts w:ascii="Arial" w:hAnsi="Arial" w:cs="Arial"/>
                <w:sz w:val="16"/>
                <w:szCs w:val="16"/>
              </w:rPr>
              <w:t>28</w:t>
            </w:r>
          </w:p>
        </w:tc>
      </w:tr>
      <w:tr w:rsidR="001B7830" w:rsidRPr="00673C1F" w14:paraId="29D34B60" w14:textId="77777777" w:rsidTr="00CE2887">
        <w:trPr>
          <w:trHeight w:hRule="exact" w:val="225"/>
        </w:trPr>
        <w:tc>
          <w:tcPr>
            <w:tcW w:w="1947" w:type="pct"/>
            <w:tcBorders>
              <w:top w:val="nil"/>
              <w:left w:val="nil"/>
              <w:bottom w:val="nil"/>
              <w:right w:val="nil"/>
            </w:tcBorders>
            <w:shd w:val="clear" w:color="000000" w:fill="FFFFFF"/>
            <w:vAlign w:val="center"/>
            <w:hideMark/>
          </w:tcPr>
          <w:p w14:paraId="5D59EB9B" w14:textId="77777777" w:rsidR="001B7830" w:rsidRPr="00673C1F" w:rsidRDefault="001B7830" w:rsidP="001B7830">
            <w:pPr>
              <w:spacing w:before="0" w:after="0" w:line="240" w:lineRule="auto"/>
              <w:rPr>
                <w:rFonts w:ascii="Arial" w:hAnsi="Arial" w:cs="Arial"/>
                <w:sz w:val="16"/>
                <w:szCs w:val="16"/>
              </w:rPr>
            </w:pPr>
            <w:r w:rsidRPr="00673C1F">
              <w:rPr>
                <w:rFonts w:ascii="Arial" w:hAnsi="Arial" w:cs="Arial"/>
                <w:sz w:val="16"/>
                <w:szCs w:val="16"/>
              </w:rPr>
              <w:t> </w:t>
            </w:r>
          </w:p>
        </w:tc>
        <w:tc>
          <w:tcPr>
            <w:tcW w:w="500" w:type="pct"/>
            <w:tcBorders>
              <w:top w:val="nil"/>
              <w:left w:val="nil"/>
              <w:bottom w:val="single" w:sz="4" w:space="0" w:color="000000"/>
              <w:right w:val="nil"/>
            </w:tcBorders>
            <w:shd w:val="clear" w:color="000000" w:fill="FFFFFF"/>
            <w:vAlign w:val="center"/>
            <w:hideMark/>
          </w:tcPr>
          <w:p w14:paraId="5DB07E03"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$m</w:t>
            </w:r>
          </w:p>
        </w:tc>
        <w:tc>
          <w:tcPr>
            <w:tcW w:w="54" w:type="pct"/>
            <w:tcBorders>
              <w:top w:val="nil"/>
              <w:left w:val="nil"/>
              <w:bottom w:val="nil"/>
              <w:right w:val="nil"/>
            </w:tcBorders>
            <w:shd w:val="clear" w:color="000000" w:fill="FFFFFF"/>
            <w:vAlign w:val="center"/>
            <w:hideMark/>
          </w:tcPr>
          <w:p w14:paraId="56DF17B9"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c>
          <w:tcPr>
            <w:tcW w:w="460" w:type="pct"/>
            <w:tcBorders>
              <w:top w:val="nil"/>
              <w:left w:val="nil"/>
              <w:bottom w:val="single" w:sz="4" w:space="0" w:color="000000"/>
              <w:right w:val="nil"/>
            </w:tcBorders>
            <w:shd w:val="clear" w:color="000000" w:fill="FFFFFF"/>
            <w:noWrap/>
            <w:vAlign w:val="center"/>
            <w:hideMark/>
          </w:tcPr>
          <w:p w14:paraId="479DFDDB"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$m</w:t>
            </w:r>
          </w:p>
        </w:tc>
        <w:tc>
          <w:tcPr>
            <w:tcW w:w="460" w:type="pct"/>
            <w:tcBorders>
              <w:top w:val="nil"/>
              <w:left w:val="nil"/>
              <w:bottom w:val="single" w:sz="4" w:space="0" w:color="000000"/>
              <w:right w:val="nil"/>
            </w:tcBorders>
            <w:shd w:val="clear" w:color="000000" w:fill="E6F2FF"/>
            <w:noWrap/>
            <w:vAlign w:val="center"/>
            <w:hideMark/>
          </w:tcPr>
          <w:p w14:paraId="132098BF"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$m</w:t>
            </w:r>
          </w:p>
        </w:tc>
        <w:tc>
          <w:tcPr>
            <w:tcW w:w="526" w:type="pct"/>
            <w:tcBorders>
              <w:top w:val="nil"/>
              <w:left w:val="nil"/>
              <w:bottom w:val="single" w:sz="4" w:space="0" w:color="000000"/>
              <w:right w:val="nil"/>
            </w:tcBorders>
            <w:shd w:val="clear" w:color="000000" w:fill="FFFFFF"/>
            <w:vAlign w:val="center"/>
            <w:hideMark/>
          </w:tcPr>
          <w:p w14:paraId="64909739"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$m</w:t>
            </w:r>
          </w:p>
        </w:tc>
        <w:tc>
          <w:tcPr>
            <w:tcW w:w="526" w:type="pct"/>
            <w:tcBorders>
              <w:top w:val="nil"/>
              <w:left w:val="nil"/>
              <w:bottom w:val="single" w:sz="4" w:space="0" w:color="000000"/>
              <w:right w:val="nil"/>
            </w:tcBorders>
            <w:shd w:val="clear" w:color="000000" w:fill="FFFFFF"/>
            <w:vAlign w:val="center"/>
            <w:hideMark/>
          </w:tcPr>
          <w:p w14:paraId="1A065C9F"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$m</w:t>
            </w:r>
          </w:p>
        </w:tc>
        <w:tc>
          <w:tcPr>
            <w:tcW w:w="527" w:type="pct"/>
            <w:tcBorders>
              <w:top w:val="nil"/>
              <w:left w:val="nil"/>
              <w:bottom w:val="single" w:sz="4" w:space="0" w:color="000000"/>
              <w:right w:val="nil"/>
            </w:tcBorders>
            <w:shd w:val="clear" w:color="000000" w:fill="FFFFFF"/>
            <w:vAlign w:val="center"/>
            <w:hideMark/>
          </w:tcPr>
          <w:p w14:paraId="011BFD5B"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$m</w:t>
            </w:r>
          </w:p>
        </w:tc>
      </w:tr>
      <w:tr w:rsidR="001B7830" w:rsidRPr="00673C1F" w14:paraId="29FBF3EE" w14:textId="77777777" w:rsidTr="00CE2887">
        <w:trPr>
          <w:trHeight w:hRule="exact" w:val="225"/>
        </w:trPr>
        <w:tc>
          <w:tcPr>
            <w:tcW w:w="1947" w:type="pct"/>
            <w:tcBorders>
              <w:top w:val="nil"/>
              <w:left w:val="nil"/>
              <w:bottom w:val="nil"/>
              <w:right w:val="nil"/>
            </w:tcBorders>
            <w:shd w:val="clear" w:color="000000" w:fill="FFFFFF"/>
            <w:noWrap/>
            <w:vAlign w:val="center"/>
            <w:hideMark/>
          </w:tcPr>
          <w:p w14:paraId="29FF6803" w14:textId="77777777" w:rsidR="001B7830" w:rsidRPr="00673C1F" w:rsidRDefault="001B7830" w:rsidP="001B7830">
            <w:pPr>
              <w:spacing w:before="0" w:after="0" w:line="240" w:lineRule="auto"/>
              <w:rPr>
                <w:rFonts w:ascii="Arial" w:hAnsi="Arial" w:cs="Arial"/>
                <w:sz w:val="16"/>
                <w:szCs w:val="16"/>
              </w:rPr>
            </w:pPr>
            <w:r w:rsidRPr="00673C1F">
              <w:rPr>
                <w:rFonts w:ascii="Arial" w:hAnsi="Arial" w:cs="Arial"/>
                <w:sz w:val="16"/>
                <w:szCs w:val="16"/>
              </w:rPr>
              <w:t>Individuals and other withholding taxes</w:t>
            </w:r>
          </w:p>
        </w:tc>
        <w:tc>
          <w:tcPr>
            <w:tcW w:w="500" w:type="pct"/>
            <w:tcBorders>
              <w:top w:val="nil"/>
              <w:left w:val="nil"/>
              <w:bottom w:val="nil"/>
              <w:right w:val="nil"/>
            </w:tcBorders>
            <w:shd w:val="clear" w:color="000000" w:fill="FFFFFF"/>
            <w:noWrap/>
            <w:vAlign w:val="center"/>
            <w:hideMark/>
          </w:tcPr>
          <w:p w14:paraId="4645FAAB"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c>
          <w:tcPr>
            <w:tcW w:w="54" w:type="pct"/>
            <w:tcBorders>
              <w:top w:val="nil"/>
              <w:left w:val="nil"/>
              <w:bottom w:val="nil"/>
              <w:right w:val="nil"/>
            </w:tcBorders>
            <w:shd w:val="clear" w:color="000000" w:fill="FFFFFF"/>
            <w:noWrap/>
            <w:vAlign w:val="center"/>
            <w:hideMark/>
          </w:tcPr>
          <w:p w14:paraId="05AE3D77"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c>
          <w:tcPr>
            <w:tcW w:w="460" w:type="pct"/>
            <w:tcBorders>
              <w:top w:val="nil"/>
              <w:left w:val="nil"/>
              <w:bottom w:val="nil"/>
              <w:right w:val="nil"/>
            </w:tcBorders>
            <w:shd w:val="clear" w:color="000000" w:fill="FFFFFF"/>
            <w:noWrap/>
            <w:vAlign w:val="center"/>
            <w:hideMark/>
          </w:tcPr>
          <w:p w14:paraId="0878B708" w14:textId="77777777" w:rsidR="001B7830" w:rsidRPr="00673C1F" w:rsidRDefault="001B7830" w:rsidP="001B7830">
            <w:pPr>
              <w:spacing w:before="0" w:after="0" w:line="240" w:lineRule="auto"/>
              <w:rPr>
                <w:rFonts w:ascii="Arial" w:hAnsi="Arial" w:cs="Arial"/>
                <w:sz w:val="16"/>
                <w:szCs w:val="16"/>
              </w:rPr>
            </w:pPr>
            <w:r w:rsidRPr="00673C1F">
              <w:rPr>
                <w:rFonts w:ascii="Arial" w:hAnsi="Arial" w:cs="Arial"/>
                <w:sz w:val="16"/>
                <w:szCs w:val="16"/>
              </w:rPr>
              <w:t> </w:t>
            </w:r>
          </w:p>
        </w:tc>
        <w:tc>
          <w:tcPr>
            <w:tcW w:w="460" w:type="pct"/>
            <w:tcBorders>
              <w:top w:val="nil"/>
              <w:left w:val="nil"/>
              <w:bottom w:val="nil"/>
              <w:right w:val="nil"/>
            </w:tcBorders>
            <w:shd w:val="clear" w:color="000000" w:fill="E6F2FF"/>
            <w:noWrap/>
            <w:vAlign w:val="center"/>
            <w:hideMark/>
          </w:tcPr>
          <w:p w14:paraId="1A12553F" w14:textId="77777777" w:rsidR="001B7830" w:rsidRPr="00673C1F" w:rsidRDefault="001B7830" w:rsidP="001B7830">
            <w:pPr>
              <w:spacing w:before="0" w:after="0" w:line="240" w:lineRule="auto"/>
              <w:rPr>
                <w:rFonts w:ascii="Arial" w:hAnsi="Arial" w:cs="Arial"/>
                <w:sz w:val="16"/>
                <w:szCs w:val="16"/>
              </w:rPr>
            </w:pPr>
            <w:r w:rsidRPr="00673C1F">
              <w:rPr>
                <w:rFonts w:ascii="Arial" w:hAnsi="Arial" w:cs="Arial"/>
                <w:sz w:val="16"/>
                <w:szCs w:val="16"/>
              </w:rPr>
              <w:t> </w:t>
            </w:r>
          </w:p>
        </w:tc>
        <w:tc>
          <w:tcPr>
            <w:tcW w:w="526" w:type="pct"/>
            <w:tcBorders>
              <w:top w:val="nil"/>
              <w:left w:val="nil"/>
              <w:bottom w:val="nil"/>
              <w:right w:val="nil"/>
            </w:tcBorders>
            <w:shd w:val="clear" w:color="000000" w:fill="FFFFFF"/>
            <w:noWrap/>
            <w:vAlign w:val="center"/>
            <w:hideMark/>
          </w:tcPr>
          <w:p w14:paraId="4C5D1339" w14:textId="77777777" w:rsidR="001B7830" w:rsidRPr="00673C1F" w:rsidRDefault="001B7830" w:rsidP="001B7830">
            <w:pPr>
              <w:spacing w:before="0" w:after="0" w:line="240" w:lineRule="auto"/>
              <w:rPr>
                <w:rFonts w:ascii="Arial" w:hAnsi="Arial" w:cs="Arial"/>
                <w:b/>
                <w:bCs/>
                <w:sz w:val="16"/>
                <w:szCs w:val="16"/>
              </w:rPr>
            </w:pPr>
            <w:r w:rsidRPr="00673C1F">
              <w:rPr>
                <w:rFonts w:ascii="Arial" w:hAnsi="Arial" w:cs="Arial"/>
                <w:b/>
                <w:bCs/>
                <w:sz w:val="16"/>
                <w:szCs w:val="16"/>
              </w:rPr>
              <w:t> </w:t>
            </w:r>
          </w:p>
        </w:tc>
        <w:tc>
          <w:tcPr>
            <w:tcW w:w="526" w:type="pct"/>
            <w:tcBorders>
              <w:top w:val="nil"/>
              <w:left w:val="nil"/>
              <w:bottom w:val="nil"/>
              <w:right w:val="nil"/>
            </w:tcBorders>
            <w:shd w:val="clear" w:color="000000" w:fill="FFFFFF"/>
            <w:noWrap/>
            <w:vAlign w:val="center"/>
            <w:hideMark/>
          </w:tcPr>
          <w:p w14:paraId="29B75A89" w14:textId="77777777" w:rsidR="001B7830" w:rsidRPr="00673C1F" w:rsidRDefault="001B7830" w:rsidP="001B7830">
            <w:pPr>
              <w:spacing w:before="0" w:after="0" w:line="240" w:lineRule="auto"/>
              <w:rPr>
                <w:rFonts w:ascii="Arial" w:hAnsi="Arial" w:cs="Arial"/>
                <w:b/>
                <w:bCs/>
                <w:sz w:val="16"/>
                <w:szCs w:val="16"/>
              </w:rPr>
            </w:pPr>
            <w:r w:rsidRPr="00673C1F">
              <w:rPr>
                <w:rFonts w:ascii="Arial" w:hAnsi="Arial" w:cs="Arial"/>
                <w:b/>
                <w:bCs/>
                <w:sz w:val="16"/>
                <w:szCs w:val="16"/>
              </w:rPr>
              <w:t> </w:t>
            </w:r>
          </w:p>
        </w:tc>
        <w:tc>
          <w:tcPr>
            <w:tcW w:w="527" w:type="pct"/>
            <w:tcBorders>
              <w:top w:val="nil"/>
              <w:left w:val="nil"/>
              <w:bottom w:val="nil"/>
              <w:right w:val="nil"/>
            </w:tcBorders>
            <w:shd w:val="clear" w:color="000000" w:fill="FFFFFF"/>
            <w:noWrap/>
            <w:vAlign w:val="center"/>
            <w:hideMark/>
          </w:tcPr>
          <w:p w14:paraId="7A18F1AA" w14:textId="77777777" w:rsidR="001B7830" w:rsidRPr="00673C1F" w:rsidRDefault="001B7830" w:rsidP="001B7830">
            <w:pPr>
              <w:spacing w:before="0" w:after="0" w:line="240" w:lineRule="auto"/>
              <w:rPr>
                <w:rFonts w:ascii="Arial" w:hAnsi="Arial" w:cs="Arial"/>
                <w:b/>
                <w:bCs/>
                <w:sz w:val="16"/>
                <w:szCs w:val="16"/>
              </w:rPr>
            </w:pPr>
            <w:r w:rsidRPr="00673C1F">
              <w:rPr>
                <w:rFonts w:ascii="Arial" w:hAnsi="Arial" w:cs="Arial"/>
                <w:b/>
                <w:bCs/>
                <w:sz w:val="16"/>
                <w:szCs w:val="16"/>
              </w:rPr>
              <w:t> </w:t>
            </w:r>
          </w:p>
        </w:tc>
      </w:tr>
      <w:tr w:rsidR="001B7830" w:rsidRPr="00673C1F" w14:paraId="70B0EA1C" w14:textId="77777777" w:rsidTr="00CE2887">
        <w:trPr>
          <w:trHeight w:hRule="exact" w:val="225"/>
        </w:trPr>
        <w:tc>
          <w:tcPr>
            <w:tcW w:w="1947" w:type="pct"/>
            <w:tcBorders>
              <w:top w:val="nil"/>
              <w:left w:val="nil"/>
              <w:bottom w:val="nil"/>
              <w:right w:val="nil"/>
            </w:tcBorders>
            <w:shd w:val="clear" w:color="000000" w:fill="FFFFFF"/>
            <w:noWrap/>
            <w:vAlign w:val="center"/>
            <w:hideMark/>
          </w:tcPr>
          <w:p w14:paraId="41C9BDF7" w14:textId="77777777" w:rsidR="001B7830" w:rsidRPr="00673C1F" w:rsidRDefault="001B7830" w:rsidP="00CE2887">
            <w:pPr>
              <w:spacing w:before="0" w:after="0" w:line="240" w:lineRule="auto"/>
              <w:ind w:left="170"/>
              <w:rPr>
                <w:rFonts w:ascii="Arial" w:hAnsi="Arial" w:cs="Arial"/>
                <w:sz w:val="16"/>
                <w:szCs w:val="16"/>
              </w:rPr>
            </w:pPr>
            <w:r w:rsidRPr="00673C1F">
              <w:rPr>
                <w:rFonts w:ascii="Arial" w:hAnsi="Arial" w:cs="Arial"/>
                <w:sz w:val="16"/>
                <w:szCs w:val="16"/>
              </w:rPr>
              <w:t>Gross income tax withholding</w:t>
            </w:r>
          </w:p>
        </w:tc>
        <w:tc>
          <w:tcPr>
            <w:tcW w:w="500" w:type="pct"/>
            <w:tcBorders>
              <w:top w:val="nil"/>
              <w:left w:val="nil"/>
              <w:bottom w:val="nil"/>
              <w:right w:val="nil"/>
            </w:tcBorders>
            <w:shd w:val="clear" w:color="000000" w:fill="FFFFFF"/>
            <w:noWrap/>
            <w:vAlign w:val="center"/>
            <w:hideMark/>
          </w:tcPr>
          <w:p w14:paraId="738971A9"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269,264</w:t>
            </w:r>
          </w:p>
        </w:tc>
        <w:tc>
          <w:tcPr>
            <w:tcW w:w="54" w:type="pct"/>
            <w:tcBorders>
              <w:top w:val="nil"/>
              <w:left w:val="nil"/>
              <w:bottom w:val="nil"/>
              <w:right w:val="nil"/>
            </w:tcBorders>
            <w:shd w:val="clear" w:color="000000" w:fill="FFFFFF"/>
            <w:noWrap/>
            <w:vAlign w:val="center"/>
            <w:hideMark/>
          </w:tcPr>
          <w:p w14:paraId="7ADA64CA" w14:textId="77777777" w:rsidR="001B7830" w:rsidRPr="00673C1F" w:rsidRDefault="001B7830" w:rsidP="001B7830">
            <w:pPr>
              <w:spacing w:before="0" w:after="0" w:line="240" w:lineRule="auto"/>
              <w:rPr>
                <w:rFonts w:ascii="Arial" w:hAnsi="Arial" w:cs="Arial"/>
                <w:sz w:val="16"/>
                <w:szCs w:val="16"/>
              </w:rPr>
            </w:pPr>
            <w:r w:rsidRPr="00673C1F">
              <w:rPr>
                <w:rFonts w:ascii="Arial" w:hAnsi="Arial" w:cs="Arial"/>
                <w:sz w:val="16"/>
                <w:szCs w:val="16"/>
              </w:rPr>
              <w:t> </w:t>
            </w:r>
          </w:p>
        </w:tc>
        <w:tc>
          <w:tcPr>
            <w:tcW w:w="460" w:type="pct"/>
            <w:tcBorders>
              <w:top w:val="nil"/>
              <w:left w:val="nil"/>
              <w:bottom w:val="nil"/>
              <w:right w:val="nil"/>
            </w:tcBorders>
            <w:shd w:val="clear" w:color="000000" w:fill="FFFFFF"/>
            <w:noWrap/>
            <w:vAlign w:val="center"/>
            <w:hideMark/>
          </w:tcPr>
          <w:p w14:paraId="27599817"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296,000</w:t>
            </w:r>
          </w:p>
        </w:tc>
        <w:tc>
          <w:tcPr>
            <w:tcW w:w="460" w:type="pct"/>
            <w:tcBorders>
              <w:top w:val="nil"/>
              <w:left w:val="nil"/>
              <w:bottom w:val="nil"/>
              <w:right w:val="nil"/>
            </w:tcBorders>
            <w:shd w:val="clear" w:color="000000" w:fill="E6F2FF"/>
            <w:noWrap/>
            <w:vAlign w:val="center"/>
            <w:hideMark/>
          </w:tcPr>
          <w:p w14:paraId="332C63D4"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290,300</w:t>
            </w:r>
          </w:p>
        </w:tc>
        <w:tc>
          <w:tcPr>
            <w:tcW w:w="526" w:type="pct"/>
            <w:tcBorders>
              <w:top w:val="nil"/>
              <w:left w:val="nil"/>
              <w:bottom w:val="nil"/>
              <w:right w:val="nil"/>
            </w:tcBorders>
            <w:shd w:val="clear" w:color="000000" w:fill="FFFFFF"/>
            <w:noWrap/>
            <w:vAlign w:val="center"/>
            <w:hideMark/>
          </w:tcPr>
          <w:p w14:paraId="48FE7BB4"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304,900</w:t>
            </w:r>
          </w:p>
        </w:tc>
        <w:tc>
          <w:tcPr>
            <w:tcW w:w="526" w:type="pct"/>
            <w:tcBorders>
              <w:top w:val="nil"/>
              <w:left w:val="nil"/>
              <w:bottom w:val="nil"/>
              <w:right w:val="nil"/>
            </w:tcBorders>
            <w:shd w:val="clear" w:color="000000" w:fill="FFFFFF"/>
            <w:noWrap/>
            <w:vAlign w:val="center"/>
            <w:hideMark/>
          </w:tcPr>
          <w:p w14:paraId="65DC915D"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323,200</w:t>
            </w:r>
          </w:p>
        </w:tc>
        <w:tc>
          <w:tcPr>
            <w:tcW w:w="527" w:type="pct"/>
            <w:tcBorders>
              <w:top w:val="nil"/>
              <w:left w:val="nil"/>
              <w:bottom w:val="nil"/>
              <w:right w:val="nil"/>
            </w:tcBorders>
            <w:shd w:val="clear" w:color="000000" w:fill="FFFFFF"/>
            <w:noWrap/>
            <w:vAlign w:val="center"/>
            <w:hideMark/>
          </w:tcPr>
          <w:p w14:paraId="59C188FB"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345,400</w:t>
            </w:r>
          </w:p>
        </w:tc>
      </w:tr>
      <w:tr w:rsidR="001B7830" w:rsidRPr="00673C1F" w14:paraId="39DA5AD0" w14:textId="77777777" w:rsidTr="00CE2887">
        <w:trPr>
          <w:trHeight w:hRule="exact" w:val="225"/>
        </w:trPr>
        <w:tc>
          <w:tcPr>
            <w:tcW w:w="1947" w:type="pct"/>
            <w:tcBorders>
              <w:top w:val="nil"/>
              <w:left w:val="nil"/>
              <w:bottom w:val="nil"/>
              <w:right w:val="nil"/>
            </w:tcBorders>
            <w:shd w:val="clear" w:color="000000" w:fill="FFFFFF"/>
            <w:noWrap/>
            <w:vAlign w:val="center"/>
            <w:hideMark/>
          </w:tcPr>
          <w:p w14:paraId="4E1227B6" w14:textId="77777777" w:rsidR="001B7830" w:rsidRPr="00673C1F" w:rsidRDefault="001B7830" w:rsidP="00CE2887">
            <w:pPr>
              <w:spacing w:before="0" w:after="0" w:line="240" w:lineRule="auto"/>
              <w:ind w:left="170"/>
              <w:rPr>
                <w:rFonts w:ascii="Arial" w:hAnsi="Arial" w:cs="Arial"/>
                <w:sz w:val="16"/>
                <w:szCs w:val="16"/>
              </w:rPr>
            </w:pPr>
            <w:r w:rsidRPr="00673C1F">
              <w:rPr>
                <w:rFonts w:ascii="Arial" w:hAnsi="Arial" w:cs="Arial"/>
                <w:sz w:val="16"/>
                <w:szCs w:val="16"/>
              </w:rPr>
              <w:t>Gross other individuals</w:t>
            </w:r>
          </w:p>
        </w:tc>
        <w:tc>
          <w:tcPr>
            <w:tcW w:w="500" w:type="pct"/>
            <w:tcBorders>
              <w:top w:val="nil"/>
              <w:left w:val="nil"/>
              <w:bottom w:val="nil"/>
              <w:right w:val="nil"/>
            </w:tcBorders>
            <w:shd w:val="clear" w:color="000000" w:fill="FFFFFF"/>
            <w:noWrap/>
            <w:vAlign w:val="center"/>
            <w:hideMark/>
          </w:tcPr>
          <w:p w14:paraId="298A4E8E"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69,407</w:t>
            </w:r>
          </w:p>
        </w:tc>
        <w:tc>
          <w:tcPr>
            <w:tcW w:w="54" w:type="pct"/>
            <w:tcBorders>
              <w:top w:val="nil"/>
              <w:left w:val="nil"/>
              <w:bottom w:val="nil"/>
              <w:right w:val="nil"/>
            </w:tcBorders>
            <w:shd w:val="clear" w:color="000000" w:fill="FFFFFF"/>
            <w:noWrap/>
            <w:vAlign w:val="center"/>
            <w:hideMark/>
          </w:tcPr>
          <w:p w14:paraId="39F46478" w14:textId="77777777" w:rsidR="001B7830" w:rsidRPr="00673C1F" w:rsidRDefault="001B7830" w:rsidP="001B7830">
            <w:pPr>
              <w:spacing w:before="0" w:after="0" w:line="240" w:lineRule="auto"/>
              <w:rPr>
                <w:rFonts w:ascii="Arial" w:hAnsi="Arial" w:cs="Arial"/>
                <w:sz w:val="16"/>
                <w:szCs w:val="16"/>
              </w:rPr>
            </w:pPr>
            <w:r w:rsidRPr="00673C1F">
              <w:rPr>
                <w:rFonts w:ascii="Arial" w:hAnsi="Arial" w:cs="Arial"/>
                <w:sz w:val="16"/>
                <w:szCs w:val="16"/>
              </w:rPr>
              <w:t> </w:t>
            </w:r>
          </w:p>
        </w:tc>
        <w:tc>
          <w:tcPr>
            <w:tcW w:w="460" w:type="pct"/>
            <w:tcBorders>
              <w:top w:val="nil"/>
              <w:left w:val="nil"/>
              <w:bottom w:val="nil"/>
              <w:right w:val="nil"/>
            </w:tcBorders>
            <w:shd w:val="clear" w:color="000000" w:fill="FFFFFF"/>
            <w:noWrap/>
            <w:vAlign w:val="center"/>
            <w:hideMark/>
          </w:tcPr>
          <w:p w14:paraId="6FBF22FD"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76,100</w:t>
            </w:r>
          </w:p>
        </w:tc>
        <w:tc>
          <w:tcPr>
            <w:tcW w:w="460" w:type="pct"/>
            <w:tcBorders>
              <w:top w:val="nil"/>
              <w:left w:val="nil"/>
              <w:bottom w:val="nil"/>
              <w:right w:val="nil"/>
            </w:tcBorders>
            <w:shd w:val="clear" w:color="000000" w:fill="E6F2FF"/>
            <w:noWrap/>
            <w:vAlign w:val="center"/>
            <w:hideMark/>
          </w:tcPr>
          <w:p w14:paraId="12AE241F"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76,800</w:t>
            </w:r>
          </w:p>
        </w:tc>
        <w:tc>
          <w:tcPr>
            <w:tcW w:w="526" w:type="pct"/>
            <w:tcBorders>
              <w:top w:val="nil"/>
              <w:left w:val="nil"/>
              <w:bottom w:val="nil"/>
              <w:right w:val="nil"/>
            </w:tcBorders>
            <w:shd w:val="clear" w:color="000000" w:fill="FFFFFF"/>
            <w:noWrap/>
            <w:vAlign w:val="center"/>
            <w:hideMark/>
          </w:tcPr>
          <w:p w14:paraId="3DAC756E"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80,300</w:t>
            </w:r>
          </w:p>
        </w:tc>
        <w:tc>
          <w:tcPr>
            <w:tcW w:w="526" w:type="pct"/>
            <w:tcBorders>
              <w:top w:val="nil"/>
              <w:left w:val="nil"/>
              <w:bottom w:val="nil"/>
              <w:right w:val="nil"/>
            </w:tcBorders>
            <w:shd w:val="clear" w:color="000000" w:fill="FFFFFF"/>
            <w:noWrap/>
            <w:vAlign w:val="center"/>
            <w:hideMark/>
          </w:tcPr>
          <w:p w14:paraId="1C21D155"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83,800</w:t>
            </w:r>
          </w:p>
        </w:tc>
        <w:tc>
          <w:tcPr>
            <w:tcW w:w="527" w:type="pct"/>
            <w:tcBorders>
              <w:top w:val="nil"/>
              <w:left w:val="nil"/>
              <w:bottom w:val="nil"/>
              <w:right w:val="nil"/>
            </w:tcBorders>
            <w:shd w:val="clear" w:color="000000" w:fill="FFFFFF"/>
            <w:noWrap/>
            <w:vAlign w:val="center"/>
            <w:hideMark/>
          </w:tcPr>
          <w:p w14:paraId="58687196"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91,700</w:t>
            </w:r>
          </w:p>
        </w:tc>
      </w:tr>
      <w:tr w:rsidR="001B7830" w:rsidRPr="00673C1F" w14:paraId="5FCBA999" w14:textId="77777777" w:rsidTr="00CE2887">
        <w:trPr>
          <w:trHeight w:hRule="exact" w:val="225"/>
        </w:trPr>
        <w:tc>
          <w:tcPr>
            <w:tcW w:w="1947" w:type="pct"/>
            <w:tcBorders>
              <w:top w:val="nil"/>
              <w:left w:val="nil"/>
              <w:bottom w:val="nil"/>
              <w:right w:val="nil"/>
            </w:tcBorders>
            <w:shd w:val="clear" w:color="000000" w:fill="FFFFFF"/>
            <w:noWrap/>
            <w:vAlign w:val="center"/>
            <w:hideMark/>
          </w:tcPr>
          <w:p w14:paraId="08DAB6CE" w14:textId="77777777" w:rsidR="001B7830" w:rsidRPr="00673C1F" w:rsidRDefault="001B7830" w:rsidP="00CE2887">
            <w:pPr>
              <w:spacing w:before="0" w:after="0" w:line="240" w:lineRule="auto"/>
              <w:ind w:left="170"/>
              <w:rPr>
                <w:rFonts w:ascii="Arial" w:hAnsi="Arial" w:cs="Arial"/>
                <w:i/>
                <w:iCs/>
                <w:sz w:val="16"/>
                <w:szCs w:val="16"/>
              </w:rPr>
            </w:pPr>
            <w:r w:rsidRPr="00673C1F">
              <w:rPr>
                <w:rFonts w:ascii="Arial" w:hAnsi="Arial" w:cs="Arial"/>
                <w:i/>
                <w:iCs/>
                <w:sz w:val="16"/>
                <w:szCs w:val="16"/>
              </w:rPr>
              <w:t xml:space="preserve">less: </w:t>
            </w:r>
            <w:r w:rsidRPr="00673C1F">
              <w:rPr>
                <w:rFonts w:ascii="Arial" w:hAnsi="Arial" w:cs="Arial"/>
                <w:sz w:val="16"/>
                <w:szCs w:val="16"/>
              </w:rPr>
              <w:t>Refunds</w:t>
            </w:r>
          </w:p>
        </w:tc>
        <w:tc>
          <w:tcPr>
            <w:tcW w:w="500" w:type="pct"/>
            <w:tcBorders>
              <w:top w:val="nil"/>
              <w:left w:val="nil"/>
              <w:bottom w:val="nil"/>
              <w:right w:val="nil"/>
            </w:tcBorders>
            <w:shd w:val="clear" w:color="000000" w:fill="FFFFFF"/>
            <w:noWrap/>
            <w:vAlign w:val="center"/>
            <w:hideMark/>
          </w:tcPr>
          <w:p w14:paraId="49A3BD20"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42,014</w:t>
            </w:r>
          </w:p>
        </w:tc>
        <w:tc>
          <w:tcPr>
            <w:tcW w:w="54" w:type="pct"/>
            <w:tcBorders>
              <w:top w:val="nil"/>
              <w:left w:val="nil"/>
              <w:bottom w:val="nil"/>
              <w:right w:val="nil"/>
            </w:tcBorders>
            <w:shd w:val="clear" w:color="000000" w:fill="FFFFFF"/>
            <w:noWrap/>
            <w:vAlign w:val="center"/>
            <w:hideMark/>
          </w:tcPr>
          <w:p w14:paraId="299B489F"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c>
          <w:tcPr>
            <w:tcW w:w="460" w:type="pct"/>
            <w:tcBorders>
              <w:top w:val="nil"/>
              <w:left w:val="nil"/>
              <w:bottom w:val="nil"/>
              <w:right w:val="nil"/>
            </w:tcBorders>
            <w:shd w:val="clear" w:color="000000" w:fill="FFFFFF"/>
            <w:noWrap/>
            <w:vAlign w:val="center"/>
            <w:hideMark/>
          </w:tcPr>
          <w:p w14:paraId="453DC6FD"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37,500</w:t>
            </w:r>
          </w:p>
        </w:tc>
        <w:tc>
          <w:tcPr>
            <w:tcW w:w="460" w:type="pct"/>
            <w:tcBorders>
              <w:top w:val="nil"/>
              <w:left w:val="nil"/>
              <w:bottom w:val="nil"/>
              <w:right w:val="nil"/>
            </w:tcBorders>
            <w:shd w:val="clear" w:color="000000" w:fill="E6F2FF"/>
            <w:noWrap/>
            <w:vAlign w:val="center"/>
            <w:hideMark/>
          </w:tcPr>
          <w:p w14:paraId="6E07BFD5"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40,600</w:t>
            </w:r>
          </w:p>
        </w:tc>
        <w:tc>
          <w:tcPr>
            <w:tcW w:w="526" w:type="pct"/>
            <w:tcBorders>
              <w:top w:val="nil"/>
              <w:left w:val="nil"/>
              <w:bottom w:val="nil"/>
              <w:right w:val="nil"/>
            </w:tcBorders>
            <w:shd w:val="clear" w:color="000000" w:fill="FFFFFF"/>
            <w:noWrap/>
            <w:vAlign w:val="center"/>
            <w:hideMark/>
          </w:tcPr>
          <w:p w14:paraId="3A574C1C"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41,700</w:t>
            </w:r>
          </w:p>
        </w:tc>
        <w:tc>
          <w:tcPr>
            <w:tcW w:w="526" w:type="pct"/>
            <w:tcBorders>
              <w:top w:val="nil"/>
              <w:left w:val="nil"/>
              <w:bottom w:val="nil"/>
              <w:right w:val="nil"/>
            </w:tcBorders>
            <w:shd w:val="clear" w:color="000000" w:fill="FFFFFF"/>
            <w:noWrap/>
            <w:vAlign w:val="center"/>
            <w:hideMark/>
          </w:tcPr>
          <w:p w14:paraId="420FA038"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42,800</w:t>
            </w:r>
          </w:p>
        </w:tc>
        <w:tc>
          <w:tcPr>
            <w:tcW w:w="527" w:type="pct"/>
            <w:tcBorders>
              <w:top w:val="nil"/>
              <w:left w:val="nil"/>
              <w:bottom w:val="nil"/>
              <w:right w:val="nil"/>
            </w:tcBorders>
            <w:shd w:val="clear" w:color="000000" w:fill="FFFFFF"/>
            <w:noWrap/>
            <w:vAlign w:val="center"/>
            <w:hideMark/>
          </w:tcPr>
          <w:p w14:paraId="6C825A36"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44,300</w:t>
            </w:r>
          </w:p>
        </w:tc>
      </w:tr>
      <w:tr w:rsidR="001B7830" w:rsidRPr="00673C1F" w14:paraId="6C2D1BDC" w14:textId="77777777" w:rsidTr="00CE2887">
        <w:trPr>
          <w:trHeight w:hRule="exact" w:val="225"/>
        </w:trPr>
        <w:tc>
          <w:tcPr>
            <w:tcW w:w="1947" w:type="pct"/>
            <w:tcBorders>
              <w:top w:val="nil"/>
              <w:left w:val="nil"/>
              <w:bottom w:val="nil"/>
              <w:right w:val="nil"/>
            </w:tcBorders>
            <w:shd w:val="clear" w:color="000000" w:fill="FFFFFF"/>
            <w:noWrap/>
            <w:vAlign w:val="center"/>
            <w:hideMark/>
          </w:tcPr>
          <w:p w14:paraId="233646A6" w14:textId="77777777" w:rsidR="001B7830" w:rsidRPr="00673C1F" w:rsidRDefault="001B7830" w:rsidP="001B7830">
            <w:pPr>
              <w:spacing w:before="0" w:after="0" w:line="240" w:lineRule="auto"/>
              <w:rPr>
                <w:rFonts w:ascii="Arial" w:hAnsi="Arial" w:cs="Arial"/>
                <w:sz w:val="16"/>
                <w:szCs w:val="16"/>
              </w:rPr>
            </w:pPr>
            <w:r w:rsidRPr="00673C1F">
              <w:rPr>
                <w:rFonts w:ascii="Arial" w:hAnsi="Arial" w:cs="Arial"/>
                <w:sz w:val="16"/>
                <w:szCs w:val="16"/>
              </w:rPr>
              <w:t>Total individuals and other withholding tax</w:t>
            </w:r>
          </w:p>
        </w:tc>
        <w:tc>
          <w:tcPr>
            <w:tcW w:w="500" w:type="pct"/>
            <w:tcBorders>
              <w:top w:val="single" w:sz="4" w:space="0" w:color="000000"/>
              <w:left w:val="nil"/>
              <w:bottom w:val="nil"/>
              <w:right w:val="nil"/>
            </w:tcBorders>
            <w:shd w:val="clear" w:color="000000" w:fill="FFFFFF"/>
            <w:noWrap/>
            <w:vAlign w:val="center"/>
            <w:hideMark/>
          </w:tcPr>
          <w:p w14:paraId="74410FA4"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296,658</w:t>
            </w:r>
          </w:p>
        </w:tc>
        <w:tc>
          <w:tcPr>
            <w:tcW w:w="54" w:type="pct"/>
            <w:tcBorders>
              <w:top w:val="nil"/>
              <w:left w:val="nil"/>
              <w:bottom w:val="nil"/>
              <w:right w:val="nil"/>
            </w:tcBorders>
            <w:shd w:val="clear" w:color="000000" w:fill="FFFFFF"/>
            <w:noWrap/>
            <w:vAlign w:val="center"/>
            <w:hideMark/>
          </w:tcPr>
          <w:p w14:paraId="7F01EF66"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c>
          <w:tcPr>
            <w:tcW w:w="460" w:type="pct"/>
            <w:tcBorders>
              <w:top w:val="single" w:sz="4" w:space="0" w:color="000000"/>
              <w:left w:val="nil"/>
              <w:bottom w:val="nil"/>
              <w:right w:val="nil"/>
            </w:tcBorders>
            <w:shd w:val="clear" w:color="000000" w:fill="FFFFFF"/>
            <w:noWrap/>
            <w:vAlign w:val="center"/>
            <w:hideMark/>
          </w:tcPr>
          <w:p w14:paraId="084A20C2"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334,600</w:t>
            </w:r>
          </w:p>
        </w:tc>
        <w:tc>
          <w:tcPr>
            <w:tcW w:w="460" w:type="pct"/>
            <w:tcBorders>
              <w:top w:val="single" w:sz="4" w:space="0" w:color="000000"/>
              <w:left w:val="nil"/>
              <w:bottom w:val="nil"/>
              <w:right w:val="nil"/>
            </w:tcBorders>
            <w:shd w:val="clear" w:color="000000" w:fill="E6F2FF"/>
            <w:noWrap/>
            <w:vAlign w:val="center"/>
            <w:hideMark/>
          </w:tcPr>
          <w:p w14:paraId="1ED759F7"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326,500</w:t>
            </w:r>
          </w:p>
        </w:tc>
        <w:tc>
          <w:tcPr>
            <w:tcW w:w="526" w:type="pct"/>
            <w:tcBorders>
              <w:top w:val="single" w:sz="4" w:space="0" w:color="000000"/>
              <w:left w:val="nil"/>
              <w:bottom w:val="nil"/>
              <w:right w:val="nil"/>
            </w:tcBorders>
            <w:shd w:val="clear" w:color="000000" w:fill="FFFFFF"/>
            <w:noWrap/>
            <w:vAlign w:val="center"/>
            <w:hideMark/>
          </w:tcPr>
          <w:p w14:paraId="46A32801"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343,500</w:t>
            </w:r>
          </w:p>
        </w:tc>
        <w:tc>
          <w:tcPr>
            <w:tcW w:w="526" w:type="pct"/>
            <w:tcBorders>
              <w:top w:val="single" w:sz="4" w:space="0" w:color="000000"/>
              <w:left w:val="nil"/>
              <w:bottom w:val="nil"/>
              <w:right w:val="nil"/>
            </w:tcBorders>
            <w:shd w:val="clear" w:color="000000" w:fill="FFFFFF"/>
            <w:noWrap/>
            <w:vAlign w:val="center"/>
            <w:hideMark/>
          </w:tcPr>
          <w:p w14:paraId="7C428EF1"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364,200</w:t>
            </w:r>
          </w:p>
        </w:tc>
        <w:tc>
          <w:tcPr>
            <w:tcW w:w="527" w:type="pct"/>
            <w:tcBorders>
              <w:top w:val="single" w:sz="4" w:space="0" w:color="000000"/>
              <w:left w:val="nil"/>
              <w:bottom w:val="nil"/>
              <w:right w:val="nil"/>
            </w:tcBorders>
            <w:shd w:val="clear" w:color="000000" w:fill="FFFFFF"/>
            <w:noWrap/>
            <w:vAlign w:val="center"/>
            <w:hideMark/>
          </w:tcPr>
          <w:p w14:paraId="2072B8ED"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392,800</w:t>
            </w:r>
          </w:p>
        </w:tc>
      </w:tr>
      <w:tr w:rsidR="001B7830" w:rsidRPr="00673C1F" w14:paraId="6B814681" w14:textId="77777777" w:rsidTr="00CE2887">
        <w:trPr>
          <w:trHeight w:hRule="exact" w:val="225"/>
        </w:trPr>
        <w:tc>
          <w:tcPr>
            <w:tcW w:w="1947" w:type="pct"/>
            <w:tcBorders>
              <w:top w:val="nil"/>
              <w:left w:val="nil"/>
              <w:bottom w:val="nil"/>
              <w:right w:val="nil"/>
            </w:tcBorders>
            <w:shd w:val="clear" w:color="000000" w:fill="FFFFFF"/>
            <w:noWrap/>
            <w:vAlign w:val="center"/>
            <w:hideMark/>
          </w:tcPr>
          <w:p w14:paraId="1992B6DE" w14:textId="77777777" w:rsidR="001B7830" w:rsidRPr="00673C1F" w:rsidRDefault="001B7830" w:rsidP="001B7830">
            <w:pPr>
              <w:spacing w:before="0" w:after="0" w:line="240" w:lineRule="auto"/>
              <w:rPr>
                <w:rFonts w:ascii="Arial" w:hAnsi="Arial" w:cs="Arial"/>
                <w:sz w:val="16"/>
                <w:szCs w:val="16"/>
              </w:rPr>
            </w:pPr>
            <w:r w:rsidRPr="00673C1F">
              <w:rPr>
                <w:rFonts w:ascii="Arial" w:hAnsi="Arial" w:cs="Arial"/>
                <w:sz w:val="16"/>
                <w:szCs w:val="16"/>
              </w:rPr>
              <w:t>Fringe benefits tax</w:t>
            </w:r>
          </w:p>
        </w:tc>
        <w:tc>
          <w:tcPr>
            <w:tcW w:w="500" w:type="pct"/>
            <w:tcBorders>
              <w:top w:val="nil"/>
              <w:left w:val="nil"/>
              <w:bottom w:val="nil"/>
              <w:right w:val="nil"/>
            </w:tcBorders>
            <w:shd w:val="clear" w:color="000000" w:fill="FFFFFF"/>
            <w:noWrap/>
            <w:vAlign w:val="center"/>
            <w:hideMark/>
          </w:tcPr>
          <w:p w14:paraId="2C7E2483"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4,009</w:t>
            </w:r>
          </w:p>
        </w:tc>
        <w:tc>
          <w:tcPr>
            <w:tcW w:w="54" w:type="pct"/>
            <w:tcBorders>
              <w:top w:val="nil"/>
              <w:left w:val="nil"/>
              <w:bottom w:val="nil"/>
              <w:right w:val="nil"/>
            </w:tcBorders>
            <w:shd w:val="clear" w:color="000000" w:fill="FFFFFF"/>
            <w:noWrap/>
            <w:vAlign w:val="center"/>
            <w:hideMark/>
          </w:tcPr>
          <w:p w14:paraId="7E4B8276"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c>
          <w:tcPr>
            <w:tcW w:w="460" w:type="pct"/>
            <w:tcBorders>
              <w:top w:val="nil"/>
              <w:left w:val="nil"/>
              <w:bottom w:val="nil"/>
              <w:right w:val="nil"/>
            </w:tcBorders>
            <w:shd w:val="clear" w:color="000000" w:fill="FFFFFF"/>
            <w:noWrap/>
            <w:vAlign w:val="center"/>
            <w:hideMark/>
          </w:tcPr>
          <w:p w14:paraId="31D8F702"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4,360</w:t>
            </w:r>
          </w:p>
        </w:tc>
        <w:tc>
          <w:tcPr>
            <w:tcW w:w="460" w:type="pct"/>
            <w:tcBorders>
              <w:top w:val="nil"/>
              <w:left w:val="nil"/>
              <w:bottom w:val="nil"/>
              <w:right w:val="nil"/>
            </w:tcBorders>
            <w:shd w:val="clear" w:color="000000" w:fill="E6F2FF"/>
            <w:noWrap/>
            <w:vAlign w:val="center"/>
            <w:hideMark/>
          </w:tcPr>
          <w:p w14:paraId="6B88D13B"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4,210</w:t>
            </w:r>
          </w:p>
        </w:tc>
        <w:tc>
          <w:tcPr>
            <w:tcW w:w="526" w:type="pct"/>
            <w:tcBorders>
              <w:top w:val="nil"/>
              <w:left w:val="nil"/>
              <w:bottom w:val="nil"/>
              <w:right w:val="nil"/>
            </w:tcBorders>
            <w:shd w:val="clear" w:color="000000" w:fill="FFFFFF"/>
            <w:noWrap/>
            <w:vAlign w:val="center"/>
            <w:hideMark/>
          </w:tcPr>
          <w:p w14:paraId="7ACFA58A"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4,120</w:t>
            </w:r>
          </w:p>
        </w:tc>
        <w:tc>
          <w:tcPr>
            <w:tcW w:w="526" w:type="pct"/>
            <w:tcBorders>
              <w:top w:val="nil"/>
              <w:left w:val="nil"/>
              <w:bottom w:val="nil"/>
              <w:right w:val="nil"/>
            </w:tcBorders>
            <w:shd w:val="clear" w:color="000000" w:fill="FFFFFF"/>
            <w:noWrap/>
            <w:vAlign w:val="center"/>
            <w:hideMark/>
          </w:tcPr>
          <w:p w14:paraId="0B0E888F"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4,170</w:t>
            </w:r>
          </w:p>
        </w:tc>
        <w:tc>
          <w:tcPr>
            <w:tcW w:w="527" w:type="pct"/>
            <w:tcBorders>
              <w:top w:val="nil"/>
              <w:left w:val="nil"/>
              <w:bottom w:val="nil"/>
              <w:right w:val="nil"/>
            </w:tcBorders>
            <w:shd w:val="clear" w:color="000000" w:fill="FFFFFF"/>
            <w:noWrap/>
            <w:vAlign w:val="center"/>
            <w:hideMark/>
          </w:tcPr>
          <w:p w14:paraId="47999F4E"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4,380</w:t>
            </w:r>
          </w:p>
        </w:tc>
      </w:tr>
      <w:tr w:rsidR="001B7830" w:rsidRPr="00673C1F" w14:paraId="0406B269" w14:textId="77777777" w:rsidTr="00CE2887">
        <w:trPr>
          <w:trHeight w:hRule="exact" w:val="225"/>
        </w:trPr>
        <w:tc>
          <w:tcPr>
            <w:tcW w:w="1947" w:type="pct"/>
            <w:tcBorders>
              <w:top w:val="nil"/>
              <w:left w:val="nil"/>
              <w:bottom w:val="nil"/>
              <w:right w:val="nil"/>
            </w:tcBorders>
            <w:shd w:val="clear" w:color="000000" w:fill="FFFFFF"/>
            <w:noWrap/>
            <w:vAlign w:val="center"/>
            <w:hideMark/>
          </w:tcPr>
          <w:p w14:paraId="597AB487" w14:textId="77777777" w:rsidR="001B7830" w:rsidRPr="00673C1F" w:rsidRDefault="001B7830" w:rsidP="001B7830">
            <w:pPr>
              <w:spacing w:before="0" w:after="0" w:line="240" w:lineRule="auto"/>
              <w:rPr>
                <w:rFonts w:ascii="Arial" w:hAnsi="Arial" w:cs="Arial"/>
                <w:sz w:val="16"/>
                <w:szCs w:val="16"/>
              </w:rPr>
            </w:pPr>
            <w:r w:rsidRPr="00673C1F">
              <w:rPr>
                <w:rFonts w:ascii="Arial" w:hAnsi="Arial" w:cs="Arial"/>
                <w:sz w:val="16"/>
                <w:szCs w:val="16"/>
              </w:rPr>
              <w:t>Company tax</w:t>
            </w:r>
          </w:p>
        </w:tc>
        <w:tc>
          <w:tcPr>
            <w:tcW w:w="500" w:type="pct"/>
            <w:tcBorders>
              <w:top w:val="nil"/>
              <w:left w:val="nil"/>
              <w:bottom w:val="nil"/>
              <w:right w:val="nil"/>
            </w:tcBorders>
            <w:shd w:val="clear" w:color="000000" w:fill="FFFFFF"/>
            <w:noWrap/>
            <w:vAlign w:val="center"/>
            <w:hideMark/>
          </w:tcPr>
          <w:p w14:paraId="536C8E03"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151,068</w:t>
            </w:r>
          </w:p>
        </w:tc>
        <w:tc>
          <w:tcPr>
            <w:tcW w:w="54" w:type="pct"/>
            <w:tcBorders>
              <w:top w:val="nil"/>
              <w:left w:val="nil"/>
              <w:bottom w:val="nil"/>
              <w:right w:val="nil"/>
            </w:tcBorders>
            <w:shd w:val="clear" w:color="000000" w:fill="FFFFFF"/>
            <w:noWrap/>
            <w:vAlign w:val="center"/>
            <w:hideMark/>
          </w:tcPr>
          <w:p w14:paraId="0690E34F"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c>
          <w:tcPr>
            <w:tcW w:w="460" w:type="pct"/>
            <w:tcBorders>
              <w:top w:val="nil"/>
              <w:left w:val="nil"/>
              <w:bottom w:val="nil"/>
              <w:right w:val="nil"/>
            </w:tcBorders>
            <w:shd w:val="clear" w:color="000000" w:fill="FFFFFF"/>
            <w:noWrap/>
            <w:vAlign w:val="center"/>
            <w:hideMark/>
          </w:tcPr>
          <w:p w14:paraId="7F6CF57C"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142,900</w:t>
            </w:r>
          </w:p>
        </w:tc>
        <w:tc>
          <w:tcPr>
            <w:tcW w:w="460" w:type="pct"/>
            <w:tcBorders>
              <w:top w:val="nil"/>
              <w:left w:val="nil"/>
              <w:bottom w:val="nil"/>
              <w:right w:val="nil"/>
            </w:tcBorders>
            <w:shd w:val="clear" w:color="000000" w:fill="E6F2FF"/>
            <w:noWrap/>
            <w:vAlign w:val="center"/>
            <w:hideMark/>
          </w:tcPr>
          <w:p w14:paraId="12128133"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139,100</w:t>
            </w:r>
          </w:p>
        </w:tc>
        <w:tc>
          <w:tcPr>
            <w:tcW w:w="526" w:type="pct"/>
            <w:tcBorders>
              <w:top w:val="nil"/>
              <w:left w:val="nil"/>
              <w:bottom w:val="nil"/>
              <w:right w:val="nil"/>
            </w:tcBorders>
            <w:shd w:val="clear" w:color="000000" w:fill="FFFFFF"/>
            <w:noWrap/>
            <w:vAlign w:val="center"/>
            <w:hideMark/>
          </w:tcPr>
          <w:p w14:paraId="6AF32B69"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134,000</w:t>
            </w:r>
          </w:p>
        </w:tc>
        <w:tc>
          <w:tcPr>
            <w:tcW w:w="526" w:type="pct"/>
            <w:tcBorders>
              <w:top w:val="nil"/>
              <w:left w:val="nil"/>
              <w:bottom w:val="nil"/>
              <w:right w:val="nil"/>
            </w:tcBorders>
            <w:shd w:val="clear" w:color="000000" w:fill="FFFFFF"/>
            <w:noWrap/>
            <w:vAlign w:val="center"/>
            <w:hideMark/>
          </w:tcPr>
          <w:p w14:paraId="0DD54998"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144,200</w:t>
            </w:r>
          </w:p>
        </w:tc>
        <w:tc>
          <w:tcPr>
            <w:tcW w:w="527" w:type="pct"/>
            <w:tcBorders>
              <w:top w:val="nil"/>
              <w:left w:val="nil"/>
              <w:bottom w:val="nil"/>
              <w:right w:val="nil"/>
            </w:tcBorders>
            <w:shd w:val="clear" w:color="000000" w:fill="FFFFFF"/>
            <w:noWrap/>
            <w:vAlign w:val="center"/>
            <w:hideMark/>
          </w:tcPr>
          <w:p w14:paraId="4A74F5CE"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150,800</w:t>
            </w:r>
          </w:p>
        </w:tc>
      </w:tr>
      <w:tr w:rsidR="001B7830" w:rsidRPr="00673C1F" w14:paraId="4E8C3C08" w14:textId="77777777" w:rsidTr="00CE2887">
        <w:trPr>
          <w:trHeight w:hRule="exact" w:val="225"/>
        </w:trPr>
        <w:tc>
          <w:tcPr>
            <w:tcW w:w="1947" w:type="pct"/>
            <w:tcBorders>
              <w:top w:val="nil"/>
              <w:left w:val="nil"/>
              <w:bottom w:val="nil"/>
              <w:right w:val="nil"/>
            </w:tcBorders>
            <w:shd w:val="clear" w:color="000000" w:fill="FFFFFF"/>
            <w:noWrap/>
            <w:vAlign w:val="center"/>
            <w:hideMark/>
          </w:tcPr>
          <w:p w14:paraId="0FF72011" w14:textId="77777777" w:rsidR="001B7830" w:rsidRPr="00673C1F" w:rsidRDefault="001B7830" w:rsidP="001B7830">
            <w:pPr>
              <w:spacing w:before="0" w:after="0" w:line="240" w:lineRule="auto"/>
              <w:rPr>
                <w:rFonts w:ascii="Arial" w:hAnsi="Arial" w:cs="Arial"/>
                <w:sz w:val="16"/>
                <w:szCs w:val="16"/>
              </w:rPr>
            </w:pPr>
            <w:r w:rsidRPr="00673C1F">
              <w:rPr>
                <w:rFonts w:ascii="Arial" w:hAnsi="Arial" w:cs="Arial"/>
                <w:sz w:val="16"/>
                <w:szCs w:val="16"/>
              </w:rPr>
              <w:t>Superannuation fund taxes</w:t>
            </w:r>
          </w:p>
        </w:tc>
        <w:tc>
          <w:tcPr>
            <w:tcW w:w="500" w:type="pct"/>
            <w:tcBorders>
              <w:top w:val="nil"/>
              <w:left w:val="nil"/>
              <w:bottom w:val="nil"/>
              <w:right w:val="nil"/>
            </w:tcBorders>
            <w:shd w:val="clear" w:color="000000" w:fill="FFFFFF"/>
            <w:noWrap/>
            <w:vAlign w:val="center"/>
            <w:hideMark/>
          </w:tcPr>
          <w:p w14:paraId="1695EF50"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10,406</w:t>
            </w:r>
          </w:p>
        </w:tc>
        <w:tc>
          <w:tcPr>
            <w:tcW w:w="54" w:type="pct"/>
            <w:tcBorders>
              <w:top w:val="nil"/>
              <w:left w:val="nil"/>
              <w:bottom w:val="nil"/>
              <w:right w:val="nil"/>
            </w:tcBorders>
            <w:shd w:val="clear" w:color="000000" w:fill="FFFFFF"/>
            <w:noWrap/>
            <w:vAlign w:val="center"/>
            <w:hideMark/>
          </w:tcPr>
          <w:p w14:paraId="110AA050"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c>
          <w:tcPr>
            <w:tcW w:w="460" w:type="pct"/>
            <w:tcBorders>
              <w:top w:val="nil"/>
              <w:left w:val="nil"/>
              <w:bottom w:val="nil"/>
              <w:right w:val="nil"/>
            </w:tcBorders>
            <w:shd w:val="clear" w:color="000000" w:fill="FFFFFF"/>
            <w:noWrap/>
            <w:vAlign w:val="center"/>
            <w:hideMark/>
          </w:tcPr>
          <w:p w14:paraId="5FB4E524"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11,660</w:t>
            </w:r>
          </w:p>
        </w:tc>
        <w:tc>
          <w:tcPr>
            <w:tcW w:w="460" w:type="pct"/>
            <w:tcBorders>
              <w:top w:val="nil"/>
              <w:left w:val="nil"/>
              <w:bottom w:val="nil"/>
              <w:right w:val="nil"/>
            </w:tcBorders>
            <w:shd w:val="clear" w:color="000000" w:fill="E6F2FF"/>
            <w:noWrap/>
            <w:vAlign w:val="center"/>
            <w:hideMark/>
          </w:tcPr>
          <w:p w14:paraId="39C78C3E"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19,810</w:t>
            </w:r>
          </w:p>
        </w:tc>
        <w:tc>
          <w:tcPr>
            <w:tcW w:w="526" w:type="pct"/>
            <w:tcBorders>
              <w:top w:val="nil"/>
              <w:left w:val="nil"/>
              <w:bottom w:val="nil"/>
              <w:right w:val="nil"/>
            </w:tcBorders>
            <w:shd w:val="clear" w:color="000000" w:fill="FFFFFF"/>
            <w:noWrap/>
            <w:vAlign w:val="center"/>
            <w:hideMark/>
          </w:tcPr>
          <w:p w14:paraId="375BEB29"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21,360</w:t>
            </w:r>
          </w:p>
        </w:tc>
        <w:tc>
          <w:tcPr>
            <w:tcW w:w="526" w:type="pct"/>
            <w:tcBorders>
              <w:top w:val="nil"/>
              <w:left w:val="nil"/>
              <w:bottom w:val="nil"/>
              <w:right w:val="nil"/>
            </w:tcBorders>
            <w:shd w:val="clear" w:color="000000" w:fill="FFFFFF"/>
            <w:noWrap/>
            <w:vAlign w:val="center"/>
            <w:hideMark/>
          </w:tcPr>
          <w:p w14:paraId="5C59460E"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24,210</w:t>
            </w:r>
          </w:p>
        </w:tc>
        <w:tc>
          <w:tcPr>
            <w:tcW w:w="527" w:type="pct"/>
            <w:tcBorders>
              <w:top w:val="nil"/>
              <w:left w:val="nil"/>
              <w:bottom w:val="nil"/>
              <w:right w:val="nil"/>
            </w:tcBorders>
            <w:shd w:val="clear" w:color="000000" w:fill="FFFFFF"/>
            <w:noWrap/>
            <w:vAlign w:val="center"/>
            <w:hideMark/>
          </w:tcPr>
          <w:p w14:paraId="67E16FD5"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23,060</w:t>
            </w:r>
          </w:p>
        </w:tc>
      </w:tr>
      <w:tr w:rsidR="001B7830" w:rsidRPr="00673C1F" w14:paraId="0DE33EAA" w14:textId="77777777" w:rsidTr="00CE2887">
        <w:trPr>
          <w:trHeight w:hRule="exact" w:val="225"/>
        </w:trPr>
        <w:tc>
          <w:tcPr>
            <w:tcW w:w="1947" w:type="pct"/>
            <w:tcBorders>
              <w:top w:val="nil"/>
              <w:left w:val="nil"/>
              <w:bottom w:val="nil"/>
              <w:right w:val="nil"/>
            </w:tcBorders>
            <w:shd w:val="clear" w:color="000000" w:fill="FFFFFF"/>
            <w:noWrap/>
            <w:vAlign w:val="center"/>
            <w:hideMark/>
          </w:tcPr>
          <w:p w14:paraId="74E7F032" w14:textId="77777777" w:rsidR="001B7830" w:rsidRPr="00673C1F" w:rsidRDefault="001B7830" w:rsidP="001B7830">
            <w:pPr>
              <w:spacing w:before="0" w:after="0" w:line="240" w:lineRule="auto"/>
              <w:rPr>
                <w:rFonts w:ascii="Arial" w:hAnsi="Arial" w:cs="Arial"/>
                <w:sz w:val="16"/>
                <w:szCs w:val="16"/>
              </w:rPr>
            </w:pPr>
            <w:r w:rsidRPr="00673C1F">
              <w:rPr>
                <w:rFonts w:ascii="Arial" w:hAnsi="Arial" w:cs="Arial"/>
                <w:sz w:val="16"/>
                <w:szCs w:val="16"/>
              </w:rPr>
              <w:t>Petroleum resource rent tax</w:t>
            </w:r>
          </w:p>
        </w:tc>
        <w:tc>
          <w:tcPr>
            <w:tcW w:w="500" w:type="pct"/>
            <w:tcBorders>
              <w:top w:val="nil"/>
              <w:left w:val="nil"/>
              <w:bottom w:val="nil"/>
              <w:right w:val="nil"/>
            </w:tcBorders>
            <w:shd w:val="clear" w:color="000000" w:fill="FFFFFF"/>
            <w:noWrap/>
            <w:vAlign w:val="center"/>
            <w:hideMark/>
          </w:tcPr>
          <w:p w14:paraId="00F6A095"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2,287</w:t>
            </w:r>
          </w:p>
        </w:tc>
        <w:tc>
          <w:tcPr>
            <w:tcW w:w="54" w:type="pct"/>
            <w:tcBorders>
              <w:top w:val="nil"/>
              <w:left w:val="nil"/>
              <w:bottom w:val="nil"/>
              <w:right w:val="nil"/>
            </w:tcBorders>
            <w:shd w:val="clear" w:color="000000" w:fill="FFFFFF"/>
            <w:noWrap/>
            <w:vAlign w:val="center"/>
            <w:hideMark/>
          </w:tcPr>
          <w:p w14:paraId="107B35B2"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c>
          <w:tcPr>
            <w:tcW w:w="460" w:type="pct"/>
            <w:tcBorders>
              <w:top w:val="nil"/>
              <w:left w:val="nil"/>
              <w:bottom w:val="nil"/>
              <w:right w:val="nil"/>
            </w:tcBorders>
            <w:shd w:val="clear" w:color="000000" w:fill="FFFFFF"/>
            <w:noWrap/>
            <w:vAlign w:val="center"/>
            <w:hideMark/>
          </w:tcPr>
          <w:p w14:paraId="61C79EAB"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1,150</w:t>
            </w:r>
          </w:p>
        </w:tc>
        <w:tc>
          <w:tcPr>
            <w:tcW w:w="460" w:type="pct"/>
            <w:tcBorders>
              <w:top w:val="nil"/>
              <w:left w:val="nil"/>
              <w:bottom w:val="nil"/>
              <w:right w:val="nil"/>
            </w:tcBorders>
            <w:shd w:val="clear" w:color="000000" w:fill="E6F2FF"/>
            <w:noWrap/>
            <w:vAlign w:val="center"/>
            <w:hideMark/>
          </w:tcPr>
          <w:p w14:paraId="421EE385"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2,650</w:t>
            </w:r>
          </w:p>
        </w:tc>
        <w:tc>
          <w:tcPr>
            <w:tcW w:w="526" w:type="pct"/>
            <w:tcBorders>
              <w:top w:val="nil"/>
              <w:left w:val="nil"/>
              <w:bottom w:val="nil"/>
              <w:right w:val="nil"/>
            </w:tcBorders>
            <w:shd w:val="clear" w:color="000000" w:fill="FFFFFF"/>
            <w:noWrap/>
            <w:vAlign w:val="center"/>
            <w:hideMark/>
          </w:tcPr>
          <w:p w14:paraId="360B3BEF"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2,050</w:t>
            </w:r>
          </w:p>
        </w:tc>
        <w:tc>
          <w:tcPr>
            <w:tcW w:w="526" w:type="pct"/>
            <w:tcBorders>
              <w:top w:val="nil"/>
              <w:left w:val="nil"/>
              <w:bottom w:val="nil"/>
              <w:right w:val="nil"/>
            </w:tcBorders>
            <w:shd w:val="clear" w:color="000000" w:fill="FFFFFF"/>
            <w:noWrap/>
            <w:vAlign w:val="center"/>
            <w:hideMark/>
          </w:tcPr>
          <w:p w14:paraId="680718C3"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1,850</w:t>
            </w:r>
          </w:p>
        </w:tc>
        <w:tc>
          <w:tcPr>
            <w:tcW w:w="527" w:type="pct"/>
            <w:tcBorders>
              <w:top w:val="nil"/>
              <w:left w:val="nil"/>
              <w:bottom w:val="nil"/>
              <w:right w:val="nil"/>
            </w:tcBorders>
            <w:shd w:val="clear" w:color="000000" w:fill="FFFFFF"/>
            <w:noWrap/>
            <w:vAlign w:val="center"/>
            <w:hideMark/>
          </w:tcPr>
          <w:p w14:paraId="734DE1FB"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1,750</w:t>
            </w:r>
          </w:p>
        </w:tc>
      </w:tr>
      <w:tr w:rsidR="001B7830" w:rsidRPr="00673C1F" w14:paraId="6FFF7CC8" w14:textId="77777777" w:rsidTr="00CE2887">
        <w:trPr>
          <w:trHeight w:hRule="exact" w:val="225"/>
        </w:trPr>
        <w:tc>
          <w:tcPr>
            <w:tcW w:w="1947" w:type="pct"/>
            <w:tcBorders>
              <w:top w:val="nil"/>
              <w:left w:val="nil"/>
              <w:bottom w:val="nil"/>
              <w:right w:val="nil"/>
            </w:tcBorders>
            <w:shd w:val="clear" w:color="000000" w:fill="FFFFFF"/>
            <w:noWrap/>
            <w:vAlign w:val="center"/>
            <w:hideMark/>
          </w:tcPr>
          <w:p w14:paraId="61E7C98F" w14:textId="77777777" w:rsidR="001B7830" w:rsidRPr="00673C1F" w:rsidRDefault="001B7830" w:rsidP="001B7830">
            <w:pPr>
              <w:spacing w:before="0" w:after="0" w:line="240" w:lineRule="auto"/>
              <w:rPr>
                <w:rFonts w:ascii="Arial" w:hAnsi="Arial" w:cs="Arial"/>
                <w:b/>
                <w:bCs/>
                <w:sz w:val="16"/>
                <w:szCs w:val="16"/>
              </w:rPr>
            </w:pPr>
            <w:r w:rsidRPr="00673C1F">
              <w:rPr>
                <w:rFonts w:ascii="Arial" w:hAnsi="Arial" w:cs="Arial"/>
                <w:b/>
                <w:bCs/>
                <w:sz w:val="16"/>
                <w:szCs w:val="16"/>
              </w:rPr>
              <w:t>Income taxation receipts</w:t>
            </w:r>
          </w:p>
        </w:tc>
        <w:tc>
          <w:tcPr>
            <w:tcW w:w="500" w:type="pct"/>
            <w:tcBorders>
              <w:top w:val="single" w:sz="4" w:space="0" w:color="293F5B"/>
              <w:left w:val="nil"/>
              <w:bottom w:val="single" w:sz="4" w:space="0" w:color="293F5B"/>
              <w:right w:val="nil"/>
            </w:tcBorders>
            <w:shd w:val="clear" w:color="000000" w:fill="FFFFFF"/>
            <w:noWrap/>
            <w:vAlign w:val="center"/>
            <w:hideMark/>
          </w:tcPr>
          <w:p w14:paraId="142C6FEF"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464,427</w:t>
            </w:r>
          </w:p>
        </w:tc>
        <w:tc>
          <w:tcPr>
            <w:tcW w:w="54" w:type="pct"/>
            <w:tcBorders>
              <w:top w:val="nil"/>
              <w:left w:val="nil"/>
              <w:bottom w:val="nil"/>
              <w:right w:val="nil"/>
            </w:tcBorders>
            <w:shd w:val="clear" w:color="000000" w:fill="FFFFFF"/>
            <w:noWrap/>
            <w:vAlign w:val="center"/>
            <w:hideMark/>
          </w:tcPr>
          <w:p w14:paraId="07CED668"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460" w:type="pct"/>
            <w:tcBorders>
              <w:top w:val="single" w:sz="4" w:space="0" w:color="293F5B"/>
              <w:left w:val="nil"/>
              <w:bottom w:val="single" w:sz="4" w:space="0" w:color="293F5B"/>
              <w:right w:val="nil"/>
            </w:tcBorders>
            <w:shd w:val="clear" w:color="000000" w:fill="FFFFFF"/>
            <w:noWrap/>
            <w:vAlign w:val="center"/>
            <w:hideMark/>
          </w:tcPr>
          <w:p w14:paraId="2503F833"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494,670</w:t>
            </w:r>
          </w:p>
        </w:tc>
        <w:tc>
          <w:tcPr>
            <w:tcW w:w="460" w:type="pct"/>
            <w:tcBorders>
              <w:top w:val="single" w:sz="4" w:space="0" w:color="293F5B"/>
              <w:left w:val="nil"/>
              <w:bottom w:val="single" w:sz="4" w:space="0" w:color="293F5B"/>
              <w:right w:val="nil"/>
            </w:tcBorders>
            <w:shd w:val="clear" w:color="000000" w:fill="E6F2FF"/>
            <w:noWrap/>
            <w:vAlign w:val="center"/>
            <w:hideMark/>
          </w:tcPr>
          <w:p w14:paraId="24557AA5"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492,270</w:t>
            </w:r>
          </w:p>
        </w:tc>
        <w:tc>
          <w:tcPr>
            <w:tcW w:w="526" w:type="pct"/>
            <w:tcBorders>
              <w:top w:val="single" w:sz="4" w:space="0" w:color="293F5B"/>
              <w:left w:val="nil"/>
              <w:bottom w:val="single" w:sz="4" w:space="0" w:color="293F5B"/>
              <w:right w:val="nil"/>
            </w:tcBorders>
            <w:shd w:val="clear" w:color="000000" w:fill="FFFFFF"/>
            <w:noWrap/>
            <w:vAlign w:val="center"/>
            <w:hideMark/>
          </w:tcPr>
          <w:p w14:paraId="7E4ED5AB"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505,030</w:t>
            </w:r>
          </w:p>
        </w:tc>
        <w:tc>
          <w:tcPr>
            <w:tcW w:w="526" w:type="pct"/>
            <w:tcBorders>
              <w:top w:val="single" w:sz="4" w:space="0" w:color="293F5B"/>
              <w:left w:val="nil"/>
              <w:bottom w:val="single" w:sz="4" w:space="0" w:color="293F5B"/>
              <w:right w:val="nil"/>
            </w:tcBorders>
            <w:shd w:val="clear" w:color="000000" w:fill="FFFFFF"/>
            <w:noWrap/>
            <w:vAlign w:val="center"/>
            <w:hideMark/>
          </w:tcPr>
          <w:p w14:paraId="3167F722"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538,630</w:t>
            </w:r>
          </w:p>
        </w:tc>
        <w:tc>
          <w:tcPr>
            <w:tcW w:w="527" w:type="pct"/>
            <w:tcBorders>
              <w:top w:val="single" w:sz="4" w:space="0" w:color="293F5B"/>
              <w:left w:val="nil"/>
              <w:bottom w:val="single" w:sz="4" w:space="0" w:color="293F5B"/>
              <w:right w:val="nil"/>
            </w:tcBorders>
            <w:shd w:val="clear" w:color="000000" w:fill="FFFFFF"/>
            <w:noWrap/>
            <w:vAlign w:val="center"/>
            <w:hideMark/>
          </w:tcPr>
          <w:p w14:paraId="7C80B07C"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572,790</w:t>
            </w:r>
          </w:p>
        </w:tc>
      </w:tr>
      <w:tr w:rsidR="001B7830" w:rsidRPr="00673C1F" w14:paraId="26849BBA" w14:textId="77777777" w:rsidTr="00CE2887">
        <w:trPr>
          <w:trHeight w:hRule="exact" w:val="225"/>
        </w:trPr>
        <w:tc>
          <w:tcPr>
            <w:tcW w:w="1947" w:type="pct"/>
            <w:tcBorders>
              <w:top w:val="nil"/>
              <w:left w:val="nil"/>
              <w:bottom w:val="nil"/>
              <w:right w:val="nil"/>
            </w:tcBorders>
            <w:shd w:val="clear" w:color="000000" w:fill="FFFFFF"/>
            <w:noWrap/>
            <w:vAlign w:val="center"/>
            <w:hideMark/>
          </w:tcPr>
          <w:p w14:paraId="3762E8B0" w14:textId="77777777" w:rsidR="001B7830" w:rsidRPr="00673C1F" w:rsidRDefault="001B7830" w:rsidP="001B7830">
            <w:pPr>
              <w:spacing w:before="0" w:after="0" w:line="240" w:lineRule="auto"/>
              <w:rPr>
                <w:rFonts w:ascii="Arial" w:hAnsi="Arial" w:cs="Arial"/>
                <w:sz w:val="16"/>
                <w:szCs w:val="16"/>
              </w:rPr>
            </w:pPr>
            <w:r w:rsidRPr="00673C1F">
              <w:rPr>
                <w:rFonts w:ascii="Arial" w:hAnsi="Arial" w:cs="Arial"/>
                <w:sz w:val="16"/>
                <w:szCs w:val="16"/>
              </w:rPr>
              <w:t>Goods and services tax</w:t>
            </w:r>
          </w:p>
        </w:tc>
        <w:tc>
          <w:tcPr>
            <w:tcW w:w="500" w:type="pct"/>
            <w:tcBorders>
              <w:top w:val="nil"/>
              <w:left w:val="nil"/>
              <w:bottom w:val="nil"/>
              <w:right w:val="nil"/>
            </w:tcBorders>
            <w:shd w:val="clear" w:color="000000" w:fill="FFFFFF"/>
            <w:noWrap/>
            <w:vAlign w:val="center"/>
            <w:hideMark/>
          </w:tcPr>
          <w:p w14:paraId="68856E4B"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81,518</w:t>
            </w:r>
          </w:p>
        </w:tc>
        <w:tc>
          <w:tcPr>
            <w:tcW w:w="54" w:type="pct"/>
            <w:tcBorders>
              <w:top w:val="nil"/>
              <w:left w:val="nil"/>
              <w:bottom w:val="nil"/>
              <w:right w:val="nil"/>
            </w:tcBorders>
            <w:shd w:val="clear" w:color="000000" w:fill="FFFFFF"/>
            <w:noWrap/>
            <w:vAlign w:val="center"/>
            <w:hideMark/>
          </w:tcPr>
          <w:p w14:paraId="61E52296"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c>
          <w:tcPr>
            <w:tcW w:w="460" w:type="pct"/>
            <w:tcBorders>
              <w:top w:val="nil"/>
              <w:left w:val="nil"/>
              <w:bottom w:val="nil"/>
              <w:right w:val="nil"/>
            </w:tcBorders>
            <w:shd w:val="clear" w:color="000000" w:fill="FFFFFF"/>
            <w:noWrap/>
            <w:vAlign w:val="center"/>
            <w:hideMark/>
          </w:tcPr>
          <w:p w14:paraId="2E6CD18D"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85,758</w:t>
            </w:r>
          </w:p>
        </w:tc>
        <w:tc>
          <w:tcPr>
            <w:tcW w:w="460" w:type="pct"/>
            <w:tcBorders>
              <w:top w:val="nil"/>
              <w:left w:val="nil"/>
              <w:bottom w:val="nil"/>
              <w:right w:val="nil"/>
            </w:tcBorders>
            <w:shd w:val="clear" w:color="000000" w:fill="E6F2FF"/>
            <w:noWrap/>
            <w:vAlign w:val="center"/>
            <w:hideMark/>
          </w:tcPr>
          <w:p w14:paraId="1FAFC7C5"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87,673</w:t>
            </w:r>
          </w:p>
        </w:tc>
        <w:tc>
          <w:tcPr>
            <w:tcW w:w="526" w:type="pct"/>
            <w:tcBorders>
              <w:top w:val="nil"/>
              <w:left w:val="nil"/>
              <w:bottom w:val="nil"/>
              <w:right w:val="nil"/>
            </w:tcBorders>
            <w:shd w:val="clear" w:color="000000" w:fill="FFFFFF"/>
            <w:noWrap/>
            <w:vAlign w:val="center"/>
            <w:hideMark/>
          </w:tcPr>
          <w:p w14:paraId="358F973A"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92,338</w:t>
            </w:r>
          </w:p>
        </w:tc>
        <w:tc>
          <w:tcPr>
            <w:tcW w:w="526" w:type="pct"/>
            <w:tcBorders>
              <w:top w:val="nil"/>
              <w:left w:val="nil"/>
              <w:bottom w:val="nil"/>
              <w:right w:val="nil"/>
            </w:tcBorders>
            <w:shd w:val="clear" w:color="000000" w:fill="FFFFFF"/>
            <w:noWrap/>
            <w:vAlign w:val="center"/>
            <w:hideMark/>
          </w:tcPr>
          <w:p w14:paraId="60A94A8F"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97,866</w:t>
            </w:r>
          </w:p>
        </w:tc>
        <w:tc>
          <w:tcPr>
            <w:tcW w:w="527" w:type="pct"/>
            <w:tcBorders>
              <w:top w:val="nil"/>
              <w:left w:val="nil"/>
              <w:bottom w:val="nil"/>
              <w:right w:val="nil"/>
            </w:tcBorders>
            <w:shd w:val="clear" w:color="000000" w:fill="FFFFFF"/>
            <w:noWrap/>
            <w:vAlign w:val="center"/>
            <w:hideMark/>
          </w:tcPr>
          <w:p w14:paraId="599E3C85"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103,438</w:t>
            </w:r>
          </w:p>
        </w:tc>
      </w:tr>
      <w:tr w:rsidR="001B7830" w:rsidRPr="00673C1F" w14:paraId="3E421839" w14:textId="77777777" w:rsidTr="00CE2887">
        <w:trPr>
          <w:trHeight w:hRule="exact" w:val="225"/>
        </w:trPr>
        <w:tc>
          <w:tcPr>
            <w:tcW w:w="1947" w:type="pct"/>
            <w:tcBorders>
              <w:top w:val="nil"/>
              <w:left w:val="nil"/>
              <w:bottom w:val="nil"/>
              <w:right w:val="nil"/>
            </w:tcBorders>
            <w:shd w:val="clear" w:color="000000" w:fill="FFFFFF"/>
            <w:noWrap/>
            <w:vAlign w:val="center"/>
            <w:hideMark/>
          </w:tcPr>
          <w:p w14:paraId="4856E724" w14:textId="77777777" w:rsidR="001B7830" w:rsidRPr="00673C1F" w:rsidRDefault="001B7830" w:rsidP="001B7830">
            <w:pPr>
              <w:spacing w:before="0" w:after="0" w:line="240" w:lineRule="auto"/>
              <w:rPr>
                <w:rFonts w:ascii="Arial" w:hAnsi="Arial" w:cs="Arial"/>
                <w:sz w:val="16"/>
                <w:szCs w:val="16"/>
              </w:rPr>
            </w:pPr>
            <w:r w:rsidRPr="00673C1F">
              <w:rPr>
                <w:rFonts w:ascii="Arial" w:hAnsi="Arial" w:cs="Arial"/>
                <w:sz w:val="16"/>
                <w:szCs w:val="16"/>
              </w:rPr>
              <w:t>Wine equalisation tax</w:t>
            </w:r>
          </w:p>
        </w:tc>
        <w:tc>
          <w:tcPr>
            <w:tcW w:w="500" w:type="pct"/>
            <w:tcBorders>
              <w:top w:val="nil"/>
              <w:left w:val="nil"/>
              <w:bottom w:val="nil"/>
              <w:right w:val="nil"/>
            </w:tcBorders>
            <w:shd w:val="clear" w:color="000000" w:fill="FFFFFF"/>
            <w:noWrap/>
            <w:vAlign w:val="center"/>
            <w:hideMark/>
          </w:tcPr>
          <w:p w14:paraId="48EE2F3D"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1,107</w:t>
            </w:r>
          </w:p>
        </w:tc>
        <w:tc>
          <w:tcPr>
            <w:tcW w:w="54" w:type="pct"/>
            <w:tcBorders>
              <w:top w:val="nil"/>
              <w:left w:val="nil"/>
              <w:bottom w:val="nil"/>
              <w:right w:val="nil"/>
            </w:tcBorders>
            <w:shd w:val="clear" w:color="000000" w:fill="FFFFFF"/>
            <w:noWrap/>
            <w:vAlign w:val="center"/>
            <w:hideMark/>
          </w:tcPr>
          <w:p w14:paraId="749704DC"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c>
          <w:tcPr>
            <w:tcW w:w="460" w:type="pct"/>
            <w:tcBorders>
              <w:top w:val="nil"/>
              <w:left w:val="nil"/>
              <w:bottom w:val="nil"/>
              <w:right w:val="nil"/>
            </w:tcBorders>
            <w:shd w:val="clear" w:color="000000" w:fill="FFFFFF"/>
            <w:noWrap/>
            <w:vAlign w:val="center"/>
            <w:hideMark/>
          </w:tcPr>
          <w:p w14:paraId="60A2539F"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1,080</w:t>
            </w:r>
          </w:p>
        </w:tc>
        <w:tc>
          <w:tcPr>
            <w:tcW w:w="460" w:type="pct"/>
            <w:tcBorders>
              <w:top w:val="nil"/>
              <w:left w:val="nil"/>
              <w:bottom w:val="nil"/>
              <w:right w:val="nil"/>
            </w:tcBorders>
            <w:shd w:val="clear" w:color="000000" w:fill="E6F2FF"/>
            <w:noWrap/>
            <w:vAlign w:val="center"/>
            <w:hideMark/>
          </w:tcPr>
          <w:p w14:paraId="4E6EE396"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1,150</w:t>
            </w:r>
          </w:p>
        </w:tc>
        <w:tc>
          <w:tcPr>
            <w:tcW w:w="526" w:type="pct"/>
            <w:tcBorders>
              <w:top w:val="nil"/>
              <w:left w:val="nil"/>
              <w:bottom w:val="nil"/>
              <w:right w:val="nil"/>
            </w:tcBorders>
            <w:shd w:val="clear" w:color="000000" w:fill="FFFFFF"/>
            <w:noWrap/>
            <w:vAlign w:val="center"/>
            <w:hideMark/>
          </w:tcPr>
          <w:p w14:paraId="0F1DCFC1"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1,210</w:t>
            </w:r>
          </w:p>
        </w:tc>
        <w:tc>
          <w:tcPr>
            <w:tcW w:w="526" w:type="pct"/>
            <w:tcBorders>
              <w:top w:val="nil"/>
              <w:left w:val="nil"/>
              <w:bottom w:val="nil"/>
              <w:right w:val="nil"/>
            </w:tcBorders>
            <w:shd w:val="clear" w:color="000000" w:fill="FFFFFF"/>
            <w:noWrap/>
            <w:vAlign w:val="center"/>
            <w:hideMark/>
          </w:tcPr>
          <w:p w14:paraId="05B7E5ED"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1,270</w:t>
            </w:r>
          </w:p>
        </w:tc>
        <w:tc>
          <w:tcPr>
            <w:tcW w:w="527" w:type="pct"/>
            <w:tcBorders>
              <w:top w:val="nil"/>
              <w:left w:val="nil"/>
              <w:bottom w:val="nil"/>
              <w:right w:val="nil"/>
            </w:tcBorders>
            <w:shd w:val="clear" w:color="000000" w:fill="FFFFFF"/>
            <w:noWrap/>
            <w:vAlign w:val="center"/>
            <w:hideMark/>
          </w:tcPr>
          <w:p w14:paraId="7AFC5B28"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1,340</w:t>
            </w:r>
          </w:p>
        </w:tc>
      </w:tr>
      <w:tr w:rsidR="001B7830" w:rsidRPr="00673C1F" w14:paraId="412E41B3" w14:textId="77777777" w:rsidTr="00CE2887">
        <w:trPr>
          <w:trHeight w:hRule="exact" w:val="225"/>
        </w:trPr>
        <w:tc>
          <w:tcPr>
            <w:tcW w:w="1947" w:type="pct"/>
            <w:tcBorders>
              <w:top w:val="nil"/>
              <w:left w:val="nil"/>
              <w:bottom w:val="nil"/>
              <w:right w:val="nil"/>
            </w:tcBorders>
            <w:shd w:val="clear" w:color="000000" w:fill="FFFFFF"/>
            <w:noWrap/>
            <w:vAlign w:val="center"/>
            <w:hideMark/>
          </w:tcPr>
          <w:p w14:paraId="08A824F1" w14:textId="77777777" w:rsidR="001B7830" w:rsidRPr="00673C1F" w:rsidRDefault="001B7830" w:rsidP="001B7830">
            <w:pPr>
              <w:spacing w:before="0" w:after="0" w:line="240" w:lineRule="auto"/>
              <w:rPr>
                <w:rFonts w:ascii="Arial" w:hAnsi="Arial" w:cs="Arial"/>
                <w:sz w:val="16"/>
                <w:szCs w:val="16"/>
              </w:rPr>
            </w:pPr>
            <w:r w:rsidRPr="00673C1F">
              <w:rPr>
                <w:rFonts w:ascii="Arial" w:hAnsi="Arial" w:cs="Arial"/>
                <w:sz w:val="16"/>
                <w:szCs w:val="16"/>
              </w:rPr>
              <w:t>Luxury car tax</w:t>
            </w:r>
          </w:p>
        </w:tc>
        <w:tc>
          <w:tcPr>
            <w:tcW w:w="500" w:type="pct"/>
            <w:tcBorders>
              <w:top w:val="nil"/>
              <w:left w:val="nil"/>
              <w:bottom w:val="nil"/>
              <w:right w:val="nil"/>
            </w:tcBorders>
            <w:shd w:val="clear" w:color="000000" w:fill="FFFFFF"/>
            <w:noWrap/>
            <w:vAlign w:val="center"/>
            <w:hideMark/>
          </w:tcPr>
          <w:p w14:paraId="359DEA0C"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1,143</w:t>
            </w:r>
          </w:p>
        </w:tc>
        <w:tc>
          <w:tcPr>
            <w:tcW w:w="54" w:type="pct"/>
            <w:tcBorders>
              <w:top w:val="nil"/>
              <w:left w:val="nil"/>
              <w:bottom w:val="nil"/>
              <w:right w:val="nil"/>
            </w:tcBorders>
            <w:shd w:val="clear" w:color="000000" w:fill="FFFFFF"/>
            <w:noWrap/>
            <w:vAlign w:val="center"/>
            <w:hideMark/>
          </w:tcPr>
          <w:p w14:paraId="0628A68E"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c>
          <w:tcPr>
            <w:tcW w:w="460" w:type="pct"/>
            <w:tcBorders>
              <w:top w:val="nil"/>
              <w:left w:val="nil"/>
              <w:bottom w:val="nil"/>
              <w:right w:val="nil"/>
            </w:tcBorders>
            <w:shd w:val="clear" w:color="000000" w:fill="FFFFFF"/>
            <w:noWrap/>
            <w:vAlign w:val="center"/>
            <w:hideMark/>
          </w:tcPr>
          <w:p w14:paraId="608A410B"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1,310</w:t>
            </w:r>
          </w:p>
        </w:tc>
        <w:tc>
          <w:tcPr>
            <w:tcW w:w="460" w:type="pct"/>
            <w:tcBorders>
              <w:top w:val="nil"/>
              <w:left w:val="nil"/>
              <w:bottom w:val="nil"/>
              <w:right w:val="nil"/>
            </w:tcBorders>
            <w:shd w:val="clear" w:color="000000" w:fill="E6F2FF"/>
            <w:noWrap/>
            <w:vAlign w:val="center"/>
            <w:hideMark/>
          </w:tcPr>
          <w:p w14:paraId="32EE2A53"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1,140</w:t>
            </w:r>
          </w:p>
        </w:tc>
        <w:tc>
          <w:tcPr>
            <w:tcW w:w="526" w:type="pct"/>
            <w:tcBorders>
              <w:top w:val="nil"/>
              <w:left w:val="nil"/>
              <w:bottom w:val="nil"/>
              <w:right w:val="nil"/>
            </w:tcBorders>
            <w:shd w:val="clear" w:color="000000" w:fill="FFFFFF"/>
            <w:noWrap/>
            <w:vAlign w:val="center"/>
            <w:hideMark/>
          </w:tcPr>
          <w:p w14:paraId="75DA7822"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1,200</w:t>
            </w:r>
          </w:p>
        </w:tc>
        <w:tc>
          <w:tcPr>
            <w:tcW w:w="526" w:type="pct"/>
            <w:tcBorders>
              <w:top w:val="nil"/>
              <w:left w:val="nil"/>
              <w:bottom w:val="nil"/>
              <w:right w:val="nil"/>
            </w:tcBorders>
            <w:shd w:val="clear" w:color="000000" w:fill="FFFFFF"/>
            <w:noWrap/>
            <w:vAlign w:val="center"/>
            <w:hideMark/>
          </w:tcPr>
          <w:p w14:paraId="593FA337"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1,270</w:t>
            </w:r>
          </w:p>
        </w:tc>
        <w:tc>
          <w:tcPr>
            <w:tcW w:w="527" w:type="pct"/>
            <w:tcBorders>
              <w:top w:val="nil"/>
              <w:left w:val="nil"/>
              <w:bottom w:val="nil"/>
              <w:right w:val="nil"/>
            </w:tcBorders>
            <w:shd w:val="clear" w:color="000000" w:fill="FFFFFF"/>
            <w:noWrap/>
            <w:vAlign w:val="center"/>
            <w:hideMark/>
          </w:tcPr>
          <w:p w14:paraId="79656059"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1,330</w:t>
            </w:r>
          </w:p>
        </w:tc>
      </w:tr>
      <w:tr w:rsidR="001B7830" w:rsidRPr="00673C1F" w14:paraId="093D3F6F" w14:textId="77777777" w:rsidTr="00CE2887">
        <w:trPr>
          <w:trHeight w:hRule="exact" w:val="225"/>
        </w:trPr>
        <w:tc>
          <w:tcPr>
            <w:tcW w:w="1947" w:type="pct"/>
            <w:tcBorders>
              <w:top w:val="nil"/>
              <w:left w:val="nil"/>
              <w:bottom w:val="nil"/>
              <w:right w:val="nil"/>
            </w:tcBorders>
            <w:shd w:val="clear" w:color="000000" w:fill="FFFFFF"/>
            <w:noWrap/>
            <w:vAlign w:val="center"/>
            <w:hideMark/>
          </w:tcPr>
          <w:p w14:paraId="269B442C" w14:textId="77777777" w:rsidR="001B7830" w:rsidRPr="00673C1F" w:rsidRDefault="001B7830" w:rsidP="001B7830">
            <w:pPr>
              <w:spacing w:before="0" w:after="0" w:line="240" w:lineRule="auto"/>
              <w:rPr>
                <w:rFonts w:ascii="Arial" w:hAnsi="Arial" w:cs="Arial"/>
                <w:sz w:val="16"/>
                <w:szCs w:val="16"/>
              </w:rPr>
            </w:pPr>
            <w:r w:rsidRPr="00673C1F">
              <w:rPr>
                <w:rFonts w:ascii="Arial" w:hAnsi="Arial" w:cs="Arial"/>
                <w:sz w:val="16"/>
                <w:szCs w:val="16"/>
              </w:rPr>
              <w:t>Excise and customs duty</w:t>
            </w:r>
          </w:p>
        </w:tc>
        <w:tc>
          <w:tcPr>
            <w:tcW w:w="500" w:type="pct"/>
            <w:tcBorders>
              <w:top w:val="nil"/>
              <w:left w:val="nil"/>
              <w:bottom w:val="nil"/>
              <w:right w:val="nil"/>
            </w:tcBorders>
            <w:shd w:val="clear" w:color="000000" w:fill="FFFFFF"/>
            <w:noWrap/>
            <w:vAlign w:val="center"/>
            <w:hideMark/>
          </w:tcPr>
          <w:p w14:paraId="2D932527"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c>
          <w:tcPr>
            <w:tcW w:w="54" w:type="pct"/>
            <w:tcBorders>
              <w:top w:val="nil"/>
              <w:left w:val="nil"/>
              <w:bottom w:val="nil"/>
              <w:right w:val="nil"/>
            </w:tcBorders>
            <w:shd w:val="clear" w:color="000000" w:fill="FFFFFF"/>
            <w:noWrap/>
            <w:vAlign w:val="center"/>
            <w:hideMark/>
          </w:tcPr>
          <w:p w14:paraId="0105027E"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c>
          <w:tcPr>
            <w:tcW w:w="460" w:type="pct"/>
            <w:tcBorders>
              <w:top w:val="nil"/>
              <w:left w:val="nil"/>
              <w:bottom w:val="nil"/>
              <w:right w:val="nil"/>
            </w:tcBorders>
            <w:shd w:val="clear" w:color="000000" w:fill="FFFFFF"/>
            <w:noWrap/>
            <w:vAlign w:val="center"/>
            <w:hideMark/>
          </w:tcPr>
          <w:p w14:paraId="383D4D87" w14:textId="77777777" w:rsidR="001B7830" w:rsidRPr="00673C1F" w:rsidRDefault="001B7830" w:rsidP="001B7830">
            <w:pPr>
              <w:spacing w:before="0" w:after="0" w:line="240" w:lineRule="auto"/>
              <w:rPr>
                <w:rFonts w:ascii="Arial" w:hAnsi="Arial" w:cs="Arial"/>
                <w:sz w:val="16"/>
                <w:szCs w:val="16"/>
              </w:rPr>
            </w:pPr>
            <w:r w:rsidRPr="00673C1F">
              <w:rPr>
                <w:rFonts w:ascii="Arial" w:hAnsi="Arial" w:cs="Arial"/>
                <w:sz w:val="16"/>
                <w:szCs w:val="16"/>
              </w:rPr>
              <w:t> </w:t>
            </w:r>
          </w:p>
        </w:tc>
        <w:tc>
          <w:tcPr>
            <w:tcW w:w="460" w:type="pct"/>
            <w:tcBorders>
              <w:top w:val="nil"/>
              <w:left w:val="nil"/>
              <w:bottom w:val="nil"/>
              <w:right w:val="nil"/>
            </w:tcBorders>
            <w:shd w:val="clear" w:color="000000" w:fill="E6F2FF"/>
            <w:noWrap/>
            <w:vAlign w:val="center"/>
            <w:hideMark/>
          </w:tcPr>
          <w:p w14:paraId="22D3FEE6" w14:textId="77777777" w:rsidR="001B7830" w:rsidRPr="00673C1F" w:rsidRDefault="001B7830" w:rsidP="001B7830">
            <w:pPr>
              <w:spacing w:before="0" w:after="0" w:line="240" w:lineRule="auto"/>
              <w:rPr>
                <w:rFonts w:ascii="Arial" w:hAnsi="Arial" w:cs="Arial"/>
                <w:sz w:val="16"/>
                <w:szCs w:val="16"/>
              </w:rPr>
            </w:pPr>
            <w:r w:rsidRPr="00673C1F">
              <w:rPr>
                <w:rFonts w:ascii="Arial" w:hAnsi="Arial" w:cs="Arial"/>
                <w:sz w:val="16"/>
                <w:szCs w:val="16"/>
              </w:rPr>
              <w:t> </w:t>
            </w:r>
          </w:p>
        </w:tc>
        <w:tc>
          <w:tcPr>
            <w:tcW w:w="526" w:type="pct"/>
            <w:tcBorders>
              <w:top w:val="nil"/>
              <w:left w:val="nil"/>
              <w:bottom w:val="nil"/>
              <w:right w:val="nil"/>
            </w:tcBorders>
            <w:shd w:val="clear" w:color="000000" w:fill="FFFFFF"/>
            <w:noWrap/>
            <w:vAlign w:val="center"/>
            <w:hideMark/>
          </w:tcPr>
          <w:p w14:paraId="39E68E1A"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c>
          <w:tcPr>
            <w:tcW w:w="526" w:type="pct"/>
            <w:tcBorders>
              <w:top w:val="nil"/>
              <w:left w:val="nil"/>
              <w:bottom w:val="nil"/>
              <w:right w:val="nil"/>
            </w:tcBorders>
            <w:shd w:val="clear" w:color="000000" w:fill="FFFFFF"/>
            <w:noWrap/>
            <w:vAlign w:val="center"/>
            <w:hideMark/>
          </w:tcPr>
          <w:p w14:paraId="5CE65F66"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c>
          <w:tcPr>
            <w:tcW w:w="527" w:type="pct"/>
            <w:tcBorders>
              <w:top w:val="nil"/>
              <w:left w:val="nil"/>
              <w:bottom w:val="nil"/>
              <w:right w:val="nil"/>
            </w:tcBorders>
            <w:shd w:val="clear" w:color="000000" w:fill="FFFFFF"/>
            <w:noWrap/>
            <w:vAlign w:val="center"/>
            <w:hideMark/>
          </w:tcPr>
          <w:p w14:paraId="0CE6B1BC"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r>
      <w:tr w:rsidR="001B7830" w:rsidRPr="00673C1F" w14:paraId="57EB7783" w14:textId="77777777" w:rsidTr="00CE2887">
        <w:trPr>
          <w:trHeight w:hRule="exact" w:val="225"/>
        </w:trPr>
        <w:tc>
          <w:tcPr>
            <w:tcW w:w="1947" w:type="pct"/>
            <w:tcBorders>
              <w:top w:val="nil"/>
              <w:left w:val="nil"/>
              <w:bottom w:val="nil"/>
              <w:right w:val="nil"/>
            </w:tcBorders>
            <w:shd w:val="clear" w:color="000000" w:fill="FFFFFF"/>
            <w:noWrap/>
            <w:vAlign w:val="center"/>
            <w:hideMark/>
          </w:tcPr>
          <w:p w14:paraId="0DB73967" w14:textId="77777777" w:rsidR="001B7830" w:rsidRPr="00673C1F" w:rsidRDefault="001B7830" w:rsidP="00CE2887">
            <w:pPr>
              <w:spacing w:before="0" w:after="0" w:line="240" w:lineRule="auto"/>
              <w:ind w:left="170"/>
              <w:rPr>
                <w:rFonts w:ascii="Arial" w:hAnsi="Arial" w:cs="Arial"/>
                <w:sz w:val="16"/>
                <w:szCs w:val="16"/>
              </w:rPr>
            </w:pPr>
            <w:r w:rsidRPr="00673C1F">
              <w:rPr>
                <w:rFonts w:ascii="Arial" w:hAnsi="Arial" w:cs="Arial"/>
                <w:sz w:val="16"/>
                <w:szCs w:val="16"/>
              </w:rPr>
              <w:t>Petrol</w:t>
            </w:r>
          </w:p>
        </w:tc>
        <w:tc>
          <w:tcPr>
            <w:tcW w:w="500" w:type="pct"/>
            <w:tcBorders>
              <w:top w:val="nil"/>
              <w:left w:val="nil"/>
              <w:bottom w:val="nil"/>
              <w:right w:val="nil"/>
            </w:tcBorders>
            <w:shd w:val="clear" w:color="000000" w:fill="FFFFFF"/>
            <w:noWrap/>
            <w:vAlign w:val="center"/>
            <w:hideMark/>
          </w:tcPr>
          <w:p w14:paraId="4921E11C"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5,680</w:t>
            </w:r>
          </w:p>
        </w:tc>
        <w:tc>
          <w:tcPr>
            <w:tcW w:w="54" w:type="pct"/>
            <w:tcBorders>
              <w:top w:val="nil"/>
              <w:left w:val="nil"/>
              <w:bottom w:val="nil"/>
              <w:right w:val="nil"/>
            </w:tcBorders>
            <w:shd w:val="clear" w:color="000000" w:fill="FFFFFF"/>
            <w:noWrap/>
            <w:vAlign w:val="center"/>
            <w:hideMark/>
          </w:tcPr>
          <w:p w14:paraId="33C5CDF5"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c>
          <w:tcPr>
            <w:tcW w:w="460" w:type="pct"/>
            <w:tcBorders>
              <w:top w:val="nil"/>
              <w:left w:val="nil"/>
              <w:bottom w:val="nil"/>
              <w:right w:val="nil"/>
            </w:tcBorders>
            <w:shd w:val="clear" w:color="000000" w:fill="FFFFFF"/>
            <w:noWrap/>
            <w:vAlign w:val="center"/>
            <w:hideMark/>
          </w:tcPr>
          <w:p w14:paraId="467B013A"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6,950</w:t>
            </w:r>
          </w:p>
        </w:tc>
        <w:tc>
          <w:tcPr>
            <w:tcW w:w="460" w:type="pct"/>
            <w:tcBorders>
              <w:top w:val="nil"/>
              <w:left w:val="nil"/>
              <w:bottom w:val="nil"/>
              <w:right w:val="nil"/>
            </w:tcBorders>
            <w:shd w:val="clear" w:color="000000" w:fill="E6F2FF"/>
            <w:noWrap/>
            <w:vAlign w:val="center"/>
            <w:hideMark/>
          </w:tcPr>
          <w:p w14:paraId="77EAE403"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7,300</w:t>
            </w:r>
          </w:p>
        </w:tc>
        <w:tc>
          <w:tcPr>
            <w:tcW w:w="526" w:type="pct"/>
            <w:tcBorders>
              <w:top w:val="nil"/>
              <w:left w:val="nil"/>
              <w:bottom w:val="nil"/>
              <w:right w:val="nil"/>
            </w:tcBorders>
            <w:shd w:val="clear" w:color="000000" w:fill="FFFFFF"/>
            <w:noWrap/>
            <w:vAlign w:val="center"/>
            <w:hideMark/>
          </w:tcPr>
          <w:p w14:paraId="093A2E0C"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7,550</w:t>
            </w:r>
          </w:p>
        </w:tc>
        <w:tc>
          <w:tcPr>
            <w:tcW w:w="526" w:type="pct"/>
            <w:tcBorders>
              <w:top w:val="nil"/>
              <w:left w:val="nil"/>
              <w:bottom w:val="nil"/>
              <w:right w:val="nil"/>
            </w:tcBorders>
            <w:shd w:val="clear" w:color="000000" w:fill="FFFFFF"/>
            <w:noWrap/>
            <w:vAlign w:val="center"/>
            <w:hideMark/>
          </w:tcPr>
          <w:p w14:paraId="180525A7"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7,800</w:t>
            </w:r>
          </w:p>
        </w:tc>
        <w:tc>
          <w:tcPr>
            <w:tcW w:w="527" w:type="pct"/>
            <w:tcBorders>
              <w:top w:val="nil"/>
              <w:left w:val="nil"/>
              <w:bottom w:val="nil"/>
              <w:right w:val="nil"/>
            </w:tcBorders>
            <w:shd w:val="clear" w:color="000000" w:fill="FFFFFF"/>
            <w:noWrap/>
            <w:vAlign w:val="center"/>
            <w:hideMark/>
          </w:tcPr>
          <w:p w14:paraId="1882405A"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8,000</w:t>
            </w:r>
          </w:p>
        </w:tc>
      </w:tr>
      <w:tr w:rsidR="001B7830" w:rsidRPr="00673C1F" w14:paraId="233183D0" w14:textId="77777777" w:rsidTr="00CE2887">
        <w:trPr>
          <w:trHeight w:hRule="exact" w:val="225"/>
        </w:trPr>
        <w:tc>
          <w:tcPr>
            <w:tcW w:w="1947" w:type="pct"/>
            <w:tcBorders>
              <w:top w:val="nil"/>
              <w:left w:val="nil"/>
              <w:bottom w:val="nil"/>
              <w:right w:val="nil"/>
            </w:tcBorders>
            <w:shd w:val="clear" w:color="000000" w:fill="FFFFFF"/>
            <w:noWrap/>
            <w:vAlign w:val="center"/>
            <w:hideMark/>
          </w:tcPr>
          <w:p w14:paraId="7F54CCFB" w14:textId="77777777" w:rsidR="001B7830" w:rsidRPr="00673C1F" w:rsidRDefault="001B7830" w:rsidP="00CE2887">
            <w:pPr>
              <w:spacing w:before="0" w:after="0" w:line="240" w:lineRule="auto"/>
              <w:ind w:left="170"/>
              <w:rPr>
                <w:rFonts w:ascii="Arial" w:hAnsi="Arial" w:cs="Arial"/>
                <w:sz w:val="16"/>
                <w:szCs w:val="16"/>
              </w:rPr>
            </w:pPr>
            <w:r w:rsidRPr="00673C1F">
              <w:rPr>
                <w:rFonts w:ascii="Arial" w:hAnsi="Arial" w:cs="Arial"/>
                <w:sz w:val="16"/>
                <w:szCs w:val="16"/>
              </w:rPr>
              <w:t>Diesel</w:t>
            </w:r>
          </w:p>
        </w:tc>
        <w:tc>
          <w:tcPr>
            <w:tcW w:w="500" w:type="pct"/>
            <w:tcBorders>
              <w:top w:val="nil"/>
              <w:left w:val="nil"/>
              <w:bottom w:val="nil"/>
              <w:right w:val="nil"/>
            </w:tcBorders>
            <w:shd w:val="clear" w:color="000000" w:fill="FFFFFF"/>
            <w:noWrap/>
            <w:vAlign w:val="center"/>
            <w:hideMark/>
          </w:tcPr>
          <w:p w14:paraId="7348A4B4"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13,091</w:t>
            </w:r>
          </w:p>
        </w:tc>
        <w:tc>
          <w:tcPr>
            <w:tcW w:w="54" w:type="pct"/>
            <w:tcBorders>
              <w:top w:val="nil"/>
              <w:left w:val="nil"/>
              <w:bottom w:val="nil"/>
              <w:right w:val="nil"/>
            </w:tcBorders>
            <w:shd w:val="clear" w:color="000000" w:fill="FFFFFF"/>
            <w:noWrap/>
            <w:vAlign w:val="center"/>
            <w:hideMark/>
          </w:tcPr>
          <w:p w14:paraId="44E38068"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c>
          <w:tcPr>
            <w:tcW w:w="460" w:type="pct"/>
            <w:tcBorders>
              <w:top w:val="nil"/>
              <w:left w:val="nil"/>
              <w:bottom w:val="nil"/>
              <w:right w:val="nil"/>
            </w:tcBorders>
            <w:shd w:val="clear" w:color="000000" w:fill="FFFFFF"/>
            <w:noWrap/>
            <w:vAlign w:val="center"/>
            <w:hideMark/>
          </w:tcPr>
          <w:p w14:paraId="66C1E8BA"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16,160</w:t>
            </w:r>
          </w:p>
        </w:tc>
        <w:tc>
          <w:tcPr>
            <w:tcW w:w="460" w:type="pct"/>
            <w:tcBorders>
              <w:top w:val="nil"/>
              <w:left w:val="nil"/>
              <w:bottom w:val="nil"/>
              <w:right w:val="nil"/>
            </w:tcBorders>
            <w:shd w:val="clear" w:color="000000" w:fill="E6F2FF"/>
            <w:noWrap/>
            <w:vAlign w:val="center"/>
            <w:hideMark/>
          </w:tcPr>
          <w:p w14:paraId="380A0455"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17,390</w:t>
            </w:r>
          </w:p>
        </w:tc>
        <w:tc>
          <w:tcPr>
            <w:tcW w:w="526" w:type="pct"/>
            <w:tcBorders>
              <w:top w:val="nil"/>
              <w:left w:val="nil"/>
              <w:bottom w:val="nil"/>
              <w:right w:val="nil"/>
            </w:tcBorders>
            <w:shd w:val="clear" w:color="000000" w:fill="FFFFFF"/>
            <w:noWrap/>
            <w:vAlign w:val="center"/>
            <w:hideMark/>
          </w:tcPr>
          <w:p w14:paraId="735505C5"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17,750</w:t>
            </w:r>
          </w:p>
        </w:tc>
        <w:tc>
          <w:tcPr>
            <w:tcW w:w="526" w:type="pct"/>
            <w:tcBorders>
              <w:top w:val="nil"/>
              <w:left w:val="nil"/>
              <w:bottom w:val="nil"/>
              <w:right w:val="nil"/>
            </w:tcBorders>
            <w:shd w:val="clear" w:color="000000" w:fill="FFFFFF"/>
            <w:noWrap/>
            <w:vAlign w:val="center"/>
            <w:hideMark/>
          </w:tcPr>
          <w:p w14:paraId="1FCB4F0E"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18,620</w:t>
            </w:r>
          </w:p>
        </w:tc>
        <w:tc>
          <w:tcPr>
            <w:tcW w:w="527" w:type="pct"/>
            <w:tcBorders>
              <w:top w:val="nil"/>
              <w:left w:val="nil"/>
              <w:bottom w:val="nil"/>
              <w:right w:val="nil"/>
            </w:tcBorders>
            <w:shd w:val="clear" w:color="000000" w:fill="FFFFFF"/>
            <w:noWrap/>
            <w:vAlign w:val="center"/>
            <w:hideMark/>
          </w:tcPr>
          <w:p w14:paraId="55A4828F"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19,320</w:t>
            </w:r>
          </w:p>
        </w:tc>
      </w:tr>
      <w:tr w:rsidR="001B7830" w:rsidRPr="00673C1F" w14:paraId="1B4B2334" w14:textId="77777777" w:rsidTr="00CE2887">
        <w:trPr>
          <w:trHeight w:hRule="exact" w:val="225"/>
        </w:trPr>
        <w:tc>
          <w:tcPr>
            <w:tcW w:w="1947" w:type="pct"/>
            <w:tcBorders>
              <w:top w:val="nil"/>
              <w:left w:val="nil"/>
              <w:bottom w:val="nil"/>
              <w:right w:val="nil"/>
            </w:tcBorders>
            <w:shd w:val="clear" w:color="000000" w:fill="FFFFFF"/>
            <w:noWrap/>
            <w:vAlign w:val="center"/>
            <w:hideMark/>
          </w:tcPr>
          <w:p w14:paraId="3D9A9090" w14:textId="77777777" w:rsidR="001B7830" w:rsidRPr="00673C1F" w:rsidRDefault="001B7830" w:rsidP="00CE2887">
            <w:pPr>
              <w:spacing w:before="0" w:after="0" w:line="240" w:lineRule="auto"/>
              <w:ind w:left="170"/>
              <w:rPr>
                <w:rFonts w:ascii="Arial" w:hAnsi="Arial" w:cs="Arial"/>
                <w:sz w:val="16"/>
                <w:szCs w:val="16"/>
              </w:rPr>
            </w:pPr>
            <w:r w:rsidRPr="00673C1F">
              <w:rPr>
                <w:rFonts w:ascii="Arial" w:hAnsi="Arial" w:cs="Arial"/>
                <w:sz w:val="16"/>
                <w:szCs w:val="16"/>
              </w:rPr>
              <w:t>Other fuel products</w:t>
            </w:r>
          </w:p>
        </w:tc>
        <w:tc>
          <w:tcPr>
            <w:tcW w:w="500" w:type="pct"/>
            <w:tcBorders>
              <w:top w:val="nil"/>
              <w:left w:val="nil"/>
              <w:bottom w:val="nil"/>
              <w:right w:val="nil"/>
            </w:tcBorders>
            <w:shd w:val="clear" w:color="000000" w:fill="FFFFFF"/>
            <w:noWrap/>
            <w:vAlign w:val="center"/>
            <w:hideMark/>
          </w:tcPr>
          <w:p w14:paraId="6DA8C185"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2,722</w:t>
            </w:r>
          </w:p>
        </w:tc>
        <w:tc>
          <w:tcPr>
            <w:tcW w:w="54" w:type="pct"/>
            <w:tcBorders>
              <w:top w:val="nil"/>
              <w:left w:val="nil"/>
              <w:bottom w:val="nil"/>
              <w:right w:val="nil"/>
            </w:tcBorders>
            <w:shd w:val="clear" w:color="000000" w:fill="FFFFFF"/>
            <w:noWrap/>
            <w:vAlign w:val="center"/>
            <w:hideMark/>
          </w:tcPr>
          <w:p w14:paraId="7E150A04"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c>
          <w:tcPr>
            <w:tcW w:w="460" w:type="pct"/>
            <w:tcBorders>
              <w:top w:val="nil"/>
              <w:left w:val="nil"/>
              <w:bottom w:val="nil"/>
              <w:right w:val="nil"/>
            </w:tcBorders>
            <w:shd w:val="clear" w:color="000000" w:fill="FFFFFF"/>
            <w:noWrap/>
            <w:vAlign w:val="center"/>
            <w:hideMark/>
          </w:tcPr>
          <w:p w14:paraId="082E41A7"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2,090</w:t>
            </w:r>
          </w:p>
        </w:tc>
        <w:tc>
          <w:tcPr>
            <w:tcW w:w="460" w:type="pct"/>
            <w:tcBorders>
              <w:top w:val="nil"/>
              <w:left w:val="nil"/>
              <w:bottom w:val="nil"/>
              <w:right w:val="nil"/>
            </w:tcBorders>
            <w:shd w:val="clear" w:color="000000" w:fill="E6F2FF"/>
            <w:noWrap/>
            <w:vAlign w:val="center"/>
            <w:hideMark/>
          </w:tcPr>
          <w:p w14:paraId="7199636E"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2,210</w:t>
            </w:r>
          </w:p>
        </w:tc>
        <w:tc>
          <w:tcPr>
            <w:tcW w:w="526" w:type="pct"/>
            <w:tcBorders>
              <w:top w:val="nil"/>
              <w:left w:val="nil"/>
              <w:bottom w:val="nil"/>
              <w:right w:val="nil"/>
            </w:tcBorders>
            <w:shd w:val="clear" w:color="000000" w:fill="FFFFFF"/>
            <w:noWrap/>
            <w:vAlign w:val="center"/>
            <w:hideMark/>
          </w:tcPr>
          <w:p w14:paraId="248862E8"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2,230</w:t>
            </w:r>
          </w:p>
        </w:tc>
        <w:tc>
          <w:tcPr>
            <w:tcW w:w="526" w:type="pct"/>
            <w:tcBorders>
              <w:top w:val="nil"/>
              <w:left w:val="nil"/>
              <w:bottom w:val="nil"/>
              <w:right w:val="nil"/>
            </w:tcBorders>
            <w:shd w:val="clear" w:color="000000" w:fill="FFFFFF"/>
            <w:noWrap/>
            <w:vAlign w:val="center"/>
            <w:hideMark/>
          </w:tcPr>
          <w:p w14:paraId="1F472025"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2,290</w:t>
            </w:r>
          </w:p>
        </w:tc>
        <w:tc>
          <w:tcPr>
            <w:tcW w:w="527" w:type="pct"/>
            <w:tcBorders>
              <w:top w:val="nil"/>
              <w:left w:val="nil"/>
              <w:bottom w:val="nil"/>
              <w:right w:val="nil"/>
            </w:tcBorders>
            <w:shd w:val="clear" w:color="000000" w:fill="FFFFFF"/>
            <w:noWrap/>
            <w:vAlign w:val="center"/>
            <w:hideMark/>
          </w:tcPr>
          <w:p w14:paraId="06A8F852"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2,340</w:t>
            </w:r>
          </w:p>
        </w:tc>
      </w:tr>
      <w:tr w:rsidR="001B7830" w:rsidRPr="00673C1F" w14:paraId="2506B2C5" w14:textId="77777777" w:rsidTr="00CE2887">
        <w:trPr>
          <w:trHeight w:hRule="exact" w:val="225"/>
        </w:trPr>
        <w:tc>
          <w:tcPr>
            <w:tcW w:w="1947" w:type="pct"/>
            <w:tcBorders>
              <w:top w:val="nil"/>
              <w:left w:val="nil"/>
              <w:bottom w:val="nil"/>
              <w:right w:val="nil"/>
            </w:tcBorders>
            <w:shd w:val="clear" w:color="000000" w:fill="FFFFFF"/>
            <w:noWrap/>
            <w:vAlign w:val="center"/>
            <w:hideMark/>
          </w:tcPr>
          <w:p w14:paraId="2C924B52" w14:textId="77777777" w:rsidR="001B7830" w:rsidRPr="00673C1F" w:rsidRDefault="001B7830" w:rsidP="00CE2887">
            <w:pPr>
              <w:spacing w:before="0" w:after="0" w:line="240" w:lineRule="auto"/>
              <w:ind w:left="170"/>
              <w:rPr>
                <w:rFonts w:ascii="Arial" w:hAnsi="Arial" w:cs="Arial"/>
                <w:sz w:val="16"/>
                <w:szCs w:val="16"/>
              </w:rPr>
            </w:pPr>
            <w:r w:rsidRPr="00673C1F">
              <w:rPr>
                <w:rFonts w:ascii="Arial" w:hAnsi="Arial" w:cs="Arial"/>
                <w:sz w:val="16"/>
                <w:szCs w:val="16"/>
              </w:rPr>
              <w:t>Tobacco</w:t>
            </w:r>
          </w:p>
        </w:tc>
        <w:tc>
          <w:tcPr>
            <w:tcW w:w="500" w:type="pct"/>
            <w:tcBorders>
              <w:top w:val="nil"/>
              <w:left w:val="nil"/>
              <w:bottom w:val="nil"/>
              <w:right w:val="nil"/>
            </w:tcBorders>
            <w:shd w:val="clear" w:color="000000" w:fill="FFFFFF"/>
            <w:noWrap/>
            <w:vAlign w:val="center"/>
            <w:hideMark/>
          </w:tcPr>
          <w:p w14:paraId="036062EF"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12,596</w:t>
            </w:r>
          </w:p>
        </w:tc>
        <w:tc>
          <w:tcPr>
            <w:tcW w:w="54" w:type="pct"/>
            <w:tcBorders>
              <w:top w:val="nil"/>
              <w:left w:val="nil"/>
              <w:bottom w:val="nil"/>
              <w:right w:val="nil"/>
            </w:tcBorders>
            <w:shd w:val="clear" w:color="000000" w:fill="FFFFFF"/>
            <w:noWrap/>
            <w:vAlign w:val="center"/>
            <w:hideMark/>
          </w:tcPr>
          <w:p w14:paraId="23C00BA5"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c>
          <w:tcPr>
            <w:tcW w:w="460" w:type="pct"/>
            <w:tcBorders>
              <w:top w:val="nil"/>
              <w:left w:val="nil"/>
              <w:bottom w:val="nil"/>
              <w:right w:val="nil"/>
            </w:tcBorders>
            <w:shd w:val="clear" w:color="000000" w:fill="FFFFFF"/>
            <w:noWrap/>
            <w:vAlign w:val="center"/>
            <w:hideMark/>
          </w:tcPr>
          <w:p w14:paraId="198B81D9"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10,500</w:t>
            </w:r>
          </w:p>
        </w:tc>
        <w:tc>
          <w:tcPr>
            <w:tcW w:w="460" w:type="pct"/>
            <w:tcBorders>
              <w:top w:val="nil"/>
              <w:left w:val="nil"/>
              <w:bottom w:val="nil"/>
              <w:right w:val="nil"/>
            </w:tcBorders>
            <w:shd w:val="clear" w:color="000000" w:fill="E6F2FF"/>
            <w:noWrap/>
            <w:vAlign w:val="center"/>
            <w:hideMark/>
          </w:tcPr>
          <w:p w14:paraId="1801318F"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11,550</w:t>
            </w:r>
          </w:p>
        </w:tc>
        <w:tc>
          <w:tcPr>
            <w:tcW w:w="526" w:type="pct"/>
            <w:tcBorders>
              <w:top w:val="nil"/>
              <w:left w:val="nil"/>
              <w:bottom w:val="nil"/>
              <w:right w:val="nil"/>
            </w:tcBorders>
            <w:shd w:val="clear" w:color="000000" w:fill="FFFFFF"/>
            <w:noWrap/>
            <w:vAlign w:val="center"/>
            <w:hideMark/>
          </w:tcPr>
          <w:p w14:paraId="00D6F89F"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11,500</w:t>
            </w:r>
          </w:p>
        </w:tc>
        <w:tc>
          <w:tcPr>
            <w:tcW w:w="526" w:type="pct"/>
            <w:tcBorders>
              <w:top w:val="nil"/>
              <w:left w:val="nil"/>
              <w:bottom w:val="nil"/>
              <w:right w:val="nil"/>
            </w:tcBorders>
            <w:shd w:val="clear" w:color="000000" w:fill="FFFFFF"/>
            <w:noWrap/>
            <w:vAlign w:val="center"/>
            <w:hideMark/>
          </w:tcPr>
          <w:p w14:paraId="520C8BAE"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11,100</w:t>
            </w:r>
          </w:p>
        </w:tc>
        <w:tc>
          <w:tcPr>
            <w:tcW w:w="527" w:type="pct"/>
            <w:tcBorders>
              <w:top w:val="nil"/>
              <w:left w:val="nil"/>
              <w:bottom w:val="nil"/>
              <w:right w:val="nil"/>
            </w:tcBorders>
            <w:shd w:val="clear" w:color="000000" w:fill="FFFFFF"/>
            <w:noWrap/>
            <w:vAlign w:val="center"/>
            <w:hideMark/>
          </w:tcPr>
          <w:p w14:paraId="46577A96"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10,700</w:t>
            </w:r>
          </w:p>
        </w:tc>
      </w:tr>
      <w:tr w:rsidR="001B7830" w:rsidRPr="00673C1F" w14:paraId="4EAE7277" w14:textId="77777777" w:rsidTr="00CE2887">
        <w:trPr>
          <w:trHeight w:hRule="exact" w:val="225"/>
        </w:trPr>
        <w:tc>
          <w:tcPr>
            <w:tcW w:w="1947" w:type="pct"/>
            <w:tcBorders>
              <w:top w:val="nil"/>
              <w:left w:val="nil"/>
              <w:bottom w:val="nil"/>
              <w:right w:val="nil"/>
            </w:tcBorders>
            <w:shd w:val="clear" w:color="000000" w:fill="FFFFFF"/>
            <w:noWrap/>
            <w:vAlign w:val="center"/>
            <w:hideMark/>
          </w:tcPr>
          <w:p w14:paraId="0D050716" w14:textId="77777777" w:rsidR="001B7830" w:rsidRPr="00673C1F" w:rsidRDefault="001B7830" w:rsidP="00CE2887">
            <w:pPr>
              <w:spacing w:before="0" w:after="0" w:line="240" w:lineRule="auto"/>
              <w:ind w:left="170"/>
              <w:rPr>
                <w:rFonts w:ascii="Arial" w:hAnsi="Arial" w:cs="Arial"/>
                <w:sz w:val="16"/>
                <w:szCs w:val="16"/>
              </w:rPr>
            </w:pPr>
            <w:r w:rsidRPr="00673C1F">
              <w:rPr>
                <w:rFonts w:ascii="Arial" w:hAnsi="Arial" w:cs="Arial"/>
                <w:sz w:val="16"/>
                <w:szCs w:val="16"/>
              </w:rPr>
              <w:t>Beer</w:t>
            </w:r>
          </w:p>
        </w:tc>
        <w:tc>
          <w:tcPr>
            <w:tcW w:w="500" w:type="pct"/>
            <w:tcBorders>
              <w:top w:val="nil"/>
              <w:left w:val="nil"/>
              <w:bottom w:val="nil"/>
              <w:right w:val="nil"/>
            </w:tcBorders>
            <w:shd w:val="clear" w:color="000000" w:fill="FFFFFF"/>
            <w:noWrap/>
            <w:vAlign w:val="center"/>
            <w:hideMark/>
          </w:tcPr>
          <w:p w14:paraId="14ED9077"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2,543</w:t>
            </w:r>
          </w:p>
        </w:tc>
        <w:tc>
          <w:tcPr>
            <w:tcW w:w="54" w:type="pct"/>
            <w:tcBorders>
              <w:top w:val="nil"/>
              <w:left w:val="nil"/>
              <w:bottom w:val="nil"/>
              <w:right w:val="nil"/>
            </w:tcBorders>
            <w:shd w:val="clear" w:color="000000" w:fill="FFFFFF"/>
            <w:noWrap/>
            <w:vAlign w:val="center"/>
            <w:hideMark/>
          </w:tcPr>
          <w:p w14:paraId="78CBE4EB"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c>
          <w:tcPr>
            <w:tcW w:w="460" w:type="pct"/>
            <w:tcBorders>
              <w:top w:val="nil"/>
              <w:left w:val="nil"/>
              <w:bottom w:val="nil"/>
              <w:right w:val="nil"/>
            </w:tcBorders>
            <w:shd w:val="clear" w:color="000000" w:fill="FFFFFF"/>
            <w:noWrap/>
            <w:vAlign w:val="center"/>
            <w:hideMark/>
          </w:tcPr>
          <w:p w14:paraId="4119F459"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2,630</w:t>
            </w:r>
          </w:p>
        </w:tc>
        <w:tc>
          <w:tcPr>
            <w:tcW w:w="460" w:type="pct"/>
            <w:tcBorders>
              <w:top w:val="nil"/>
              <w:left w:val="nil"/>
              <w:bottom w:val="nil"/>
              <w:right w:val="nil"/>
            </w:tcBorders>
            <w:shd w:val="clear" w:color="000000" w:fill="E6F2FF"/>
            <w:noWrap/>
            <w:vAlign w:val="center"/>
            <w:hideMark/>
          </w:tcPr>
          <w:p w14:paraId="1BBFC03E"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2,760</w:t>
            </w:r>
          </w:p>
        </w:tc>
        <w:tc>
          <w:tcPr>
            <w:tcW w:w="526" w:type="pct"/>
            <w:tcBorders>
              <w:top w:val="nil"/>
              <w:left w:val="nil"/>
              <w:bottom w:val="nil"/>
              <w:right w:val="nil"/>
            </w:tcBorders>
            <w:shd w:val="clear" w:color="000000" w:fill="FFFFFF"/>
            <w:noWrap/>
            <w:vAlign w:val="center"/>
            <w:hideMark/>
          </w:tcPr>
          <w:p w14:paraId="263ED00F"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2,870</w:t>
            </w:r>
          </w:p>
        </w:tc>
        <w:tc>
          <w:tcPr>
            <w:tcW w:w="526" w:type="pct"/>
            <w:tcBorders>
              <w:top w:val="nil"/>
              <w:left w:val="nil"/>
              <w:bottom w:val="nil"/>
              <w:right w:val="nil"/>
            </w:tcBorders>
            <w:shd w:val="clear" w:color="000000" w:fill="FFFFFF"/>
            <w:noWrap/>
            <w:vAlign w:val="center"/>
            <w:hideMark/>
          </w:tcPr>
          <w:p w14:paraId="52C09881"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3,020</w:t>
            </w:r>
          </w:p>
        </w:tc>
        <w:tc>
          <w:tcPr>
            <w:tcW w:w="527" w:type="pct"/>
            <w:tcBorders>
              <w:top w:val="nil"/>
              <w:left w:val="nil"/>
              <w:bottom w:val="nil"/>
              <w:right w:val="nil"/>
            </w:tcBorders>
            <w:shd w:val="clear" w:color="000000" w:fill="FFFFFF"/>
            <w:noWrap/>
            <w:vAlign w:val="center"/>
            <w:hideMark/>
          </w:tcPr>
          <w:p w14:paraId="41A76A86"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3,170</w:t>
            </w:r>
          </w:p>
        </w:tc>
      </w:tr>
      <w:tr w:rsidR="001B7830" w:rsidRPr="00673C1F" w14:paraId="2D84D959" w14:textId="77777777" w:rsidTr="00CE2887">
        <w:trPr>
          <w:trHeight w:hRule="exact" w:val="225"/>
        </w:trPr>
        <w:tc>
          <w:tcPr>
            <w:tcW w:w="1947" w:type="pct"/>
            <w:tcBorders>
              <w:top w:val="nil"/>
              <w:left w:val="nil"/>
              <w:bottom w:val="nil"/>
              <w:right w:val="nil"/>
            </w:tcBorders>
            <w:shd w:val="clear" w:color="000000" w:fill="FFFFFF"/>
            <w:noWrap/>
            <w:vAlign w:val="center"/>
            <w:hideMark/>
          </w:tcPr>
          <w:p w14:paraId="156A2CA1" w14:textId="77777777" w:rsidR="001B7830" w:rsidRPr="00673C1F" w:rsidRDefault="001B7830" w:rsidP="00CE2887">
            <w:pPr>
              <w:spacing w:before="0" w:after="0" w:line="240" w:lineRule="auto"/>
              <w:ind w:left="170"/>
              <w:rPr>
                <w:rFonts w:ascii="Arial" w:hAnsi="Arial" w:cs="Arial"/>
                <w:sz w:val="16"/>
                <w:szCs w:val="16"/>
              </w:rPr>
            </w:pPr>
            <w:r w:rsidRPr="00673C1F">
              <w:rPr>
                <w:rFonts w:ascii="Arial" w:hAnsi="Arial" w:cs="Arial"/>
                <w:sz w:val="16"/>
                <w:szCs w:val="16"/>
              </w:rPr>
              <w:t>Spirits</w:t>
            </w:r>
          </w:p>
        </w:tc>
        <w:tc>
          <w:tcPr>
            <w:tcW w:w="500" w:type="pct"/>
            <w:tcBorders>
              <w:top w:val="nil"/>
              <w:left w:val="nil"/>
              <w:bottom w:val="nil"/>
              <w:right w:val="nil"/>
            </w:tcBorders>
            <w:shd w:val="clear" w:color="000000" w:fill="FFFFFF"/>
            <w:noWrap/>
            <w:vAlign w:val="center"/>
            <w:hideMark/>
          </w:tcPr>
          <w:p w14:paraId="253ED775"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3,348</w:t>
            </w:r>
          </w:p>
        </w:tc>
        <w:tc>
          <w:tcPr>
            <w:tcW w:w="54" w:type="pct"/>
            <w:tcBorders>
              <w:top w:val="nil"/>
              <w:left w:val="nil"/>
              <w:bottom w:val="nil"/>
              <w:right w:val="nil"/>
            </w:tcBorders>
            <w:shd w:val="clear" w:color="000000" w:fill="FFFFFF"/>
            <w:noWrap/>
            <w:vAlign w:val="center"/>
            <w:hideMark/>
          </w:tcPr>
          <w:p w14:paraId="76DC7B77"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c>
          <w:tcPr>
            <w:tcW w:w="460" w:type="pct"/>
            <w:tcBorders>
              <w:top w:val="nil"/>
              <w:left w:val="nil"/>
              <w:bottom w:val="nil"/>
              <w:right w:val="nil"/>
            </w:tcBorders>
            <w:shd w:val="clear" w:color="000000" w:fill="FFFFFF"/>
            <w:noWrap/>
            <w:vAlign w:val="center"/>
            <w:hideMark/>
          </w:tcPr>
          <w:p w14:paraId="03798DE1"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3,340</w:t>
            </w:r>
          </w:p>
        </w:tc>
        <w:tc>
          <w:tcPr>
            <w:tcW w:w="460" w:type="pct"/>
            <w:tcBorders>
              <w:top w:val="nil"/>
              <w:left w:val="nil"/>
              <w:bottom w:val="nil"/>
              <w:right w:val="nil"/>
            </w:tcBorders>
            <w:shd w:val="clear" w:color="000000" w:fill="E6F2FF"/>
            <w:noWrap/>
            <w:vAlign w:val="center"/>
            <w:hideMark/>
          </w:tcPr>
          <w:p w14:paraId="694497C6"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3,590</w:t>
            </w:r>
          </w:p>
        </w:tc>
        <w:tc>
          <w:tcPr>
            <w:tcW w:w="526" w:type="pct"/>
            <w:tcBorders>
              <w:top w:val="nil"/>
              <w:left w:val="nil"/>
              <w:bottom w:val="nil"/>
              <w:right w:val="nil"/>
            </w:tcBorders>
            <w:shd w:val="clear" w:color="000000" w:fill="FFFFFF"/>
            <w:noWrap/>
            <w:vAlign w:val="center"/>
            <w:hideMark/>
          </w:tcPr>
          <w:p w14:paraId="077F7920"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3,770</w:t>
            </w:r>
          </w:p>
        </w:tc>
        <w:tc>
          <w:tcPr>
            <w:tcW w:w="526" w:type="pct"/>
            <w:tcBorders>
              <w:top w:val="nil"/>
              <w:left w:val="nil"/>
              <w:bottom w:val="nil"/>
              <w:right w:val="nil"/>
            </w:tcBorders>
            <w:shd w:val="clear" w:color="000000" w:fill="FFFFFF"/>
            <w:noWrap/>
            <w:vAlign w:val="center"/>
            <w:hideMark/>
          </w:tcPr>
          <w:p w14:paraId="40566D35"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3,970</w:t>
            </w:r>
          </w:p>
        </w:tc>
        <w:tc>
          <w:tcPr>
            <w:tcW w:w="527" w:type="pct"/>
            <w:tcBorders>
              <w:top w:val="nil"/>
              <w:left w:val="nil"/>
              <w:bottom w:val="nil"/>
              <w:right w:val="nil"/>
            </w:tcBorders>
            <w:shd w:val="clear" w:color="000000" w:fill="FFFFFF"/>
            <w:noWrap/>
            <w:vAlign w:val="center"/>
            <w:hideMark/>
          </w:tcPr>
          <w:p w14:paraId="4EA86704"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4,170</w:t>
            </w:r>
          </w:p>
        </w:tc>
      </w:tr>
      <w:tr w:rsidR="001B7830" w:rsidRPr="00673C1F" w14:paraId="25022E2D" w14:textId="77777777" w:rsidTr="00CE2887">
        <w:trPr>
          <w:trHeight w:hRule="exact" w:val="225"/>
        </w:trPr>
        <w:tc>
          <w:tcPr>
            <w:tcW w:w="1947" w:type="pct"/>
            <w:tcBorders>
              <w:top w:val="nil"/>
              <w:left w:val="nil"/>
              <w:bottom w:val="nil"/>
              <w:right w:val="nil"/>
            </w:tcBorders>
            <w:shd w:val="clear" w:color="000000" w:fill="FFFFFF"/>
            <w:noWrap/>
            <w:vAlign w:val="center"/>
            <w:hideMark/>
          </w:tcPr>
          <w:p w14:paraId="5C92FD74" w14:textId="77777777" w:rsidR="001B7830" w:rsidRPr="00673C1F" w:rsidRDefault="001B7830" w:rsidP="00CE2887">
            <w:pPr>
              <w:spacing w:before="0" w:after="0" w:line="240" w:lineRule="auto"/>
              <w:ind w:left="170"/>
              <w:rPr>
                <w:rFonts w:ascii="Arial" w:hAnsi="Arial" w:cs="Arial"/>
                <w:sz w:val="16"/>
                <w:szCs w:val="16"/>
              </w:rPr>
            </w:pPr>
            <w:r w:rsidRPr="00673C1F">
              <w:rPr>
                <w:rFonts w:ascii="Arial" w:hAnsi="Arial" w:cs="Arial"/>
                <w:sz w:val="16"/>
                <w:szCs w:val="16"/>
              </w:rPr>
              <w:t>Other alcoholic beverages(a)</w:t>
            </w:r>
          </w:p>
        </w:tc>
        <w:tc>
          <w:tcPr>
            <w:tcW w:w="500" w:type="pct"/>
            <w:tcBorders>
              <w:top w:val="nil"/>
              <w:left w:val="nil"/>
              <w:bottom w:val="nil"/>
              <w:right w:val="nil"/>
            </w:tcBorders>
            <w:shd w:val="clear" w:color="000000" w:fill="FFFFFF"/>
            <w:noWrap/>
            <w:vAlign w:val="center"/>
            <w:hideMark/>
          </w:tcPr>
          <w:p w14:paraId="0E1227FB"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1,610</w:t>
            </w:r>
          </w:p>
        </w:tc>
        <w:tc>
          <w:tcPr>
            <w:tcW w:w="54" w:type="pct"/>
            <w:tcBorders>
              <w:top w:val="nil"/>
              <w:left w:val="nil"/>
              <w:bottom w:val="nil"/>
              <w:right w:val="nil"/>
            </w:tcBorders>
            <w:shd w:val="clear" w:color="000000" w:fill="FFFFFF"/>
            <w:noWrap/>
            <w:vAlign w:val="center"/>
            <w:hideMark/>
          </w:tcPr>
          <w:p w14:paraId="69947DAE"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c>
          <w:tcPr>
            <w:tcW w:w="460" w:type="pct"/>
            <w:tcBorders>
              <w:top w:val="nil"/>
              <w:left w:val="nil"/>
              <w:bottom w:val="nil"/>
              <w:right w:val="nil"/>
            </w:tcBorders>
            <w:shd w:val="clear" w:color="000000" w:fill="FFFFFF"/>
            <w:noWrap/>
            <w:vAlign w:val="center"/>
            <w:hideMark/>
          </w:tcPr>
          <w:p w14:paraId="00A67094"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1,680</w:t>
            </w:r>
          </w:p>
        </w:tc>
        <w:tc>
          <w:tcPr>
            <w:tcW w:w="460" w:type="pct"/>
            <w:tcBorders>
              <w:top w:val="nil"/>
              <w:left w:val="nil"/>
              <w:bottom w:val="nil"/>
              <w:right w:val="nil"/>
            </w:tcBorders>
            <w:shd w:val="clear" w:color="000000" w:fill="E6F2FF"/>
            <w:noWrap/>
            <w:vAlign w:val="center"/>
            <w:hideMark/>
          </w:tcPr>
          <w:p w14:paraId="0C39949E"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1,750</w:t>
            </w:r>
          </w:p>
        </w:tc>
        <w:tc>
          <w:tcPr>
            <w:tcW w:w="526" w:type="pct"/>
            <w:tcBorders>
              <w:top w:val="nil"/>
              <w:left w:val="nil"/>
              <w:bottom w:val="nil"/>
              <w:right w:val="nil"/>
            </w:tcBorders>
            <w:shd w:val="clear" w:color="000000" w:fill="FFFFFF"/>
            <w:noWrap/>
            <w:vAlign w:val="center"/>
            <w:hideMark/>
          </w:tcPr>
          <w:p w14:paraId="18072361"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1,810</w:t>
            </w:r>
          </w:p>
        </w:tc>
        <w:tc>
          <w:tcPr>
            <w:tcW w:w="526" w:type="pct"/>
            <w:tcBorders>
              <w:top w:val="nil"/>
              <w:left w:val="nil"/>
              <w:bottom w:val="nil"/>
              <w:right w:val="nil"/>
            </w:tcBorders>
            <w:shd w:val="clear" w:color="000000" w:fill="FFFFFF"/>
            <w:noWrap/>
            <w:vAlign w:val="center"/>
            <w:hideMark/>
          </w:tcPr>
          <w:p w14:paraId="64E50522"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1,910</w:t>
            </w:r>
          </w:p>
        </w:tc>
        <w:tc>
          <w:tcPr>
            <w:tcW w:w="527" w:type="pct"/>
            <w:tcBorders>
              <w:top w:val="nil"/>
              <w:left w:val="nil"/>
              <w:bottom w:val="nil"/>
              <w:right w:val="nil"/>
            </w:tcBorders>
            <w:shd w:val="clear" w:color="000000" w:fill="FFFFFF"/>
            <w:noWrap/>
            <w:vAlign w:val="center"/>
            <w:hideMark/>
          </w:tcPr>
          <w:p w14:paraId="4102D716"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2,010</w:t>
            </w:r>
          </w:p>
        </w:tc>
      </w:tr>
      <w:tr w:rsidR="001B7830" w:rsidRPr="00673C1F" w14:paraId="0F460A9A" w14:textId="77777777" w:rsidTr="00CE2887">
        <w:trPr>
          <w:trHeight w:hRule="exact" w:val="225"/>
        </w:trPr>
        <w:tc>
          <w:tcPr>
            <w:tcW w:w="1947" w:type="pct"/>
            <w:tcBorders>
              <w:top w:val="nil"/>
              <w:left w:val="nil"/>
              <w:bottom w:val="nil"/>
              <w:right w:val="nil"/>
            </w:tcBorders>
            <w:shd w:val="clear" w:color="000000" w:fill="FFFFFF"/>
            <w:noWrap/>
            <w:vAlign w:val="center"/>
            <w:hideMark/>
          </w:tcPr>
          <w:p w14:paraId="5FB23D40" w14:textId="77777777" w:rsidR="001B7830" w:rsidRPr="00673C1F" w:rsidRDefault="001B7830" w:rsidP="00CE2887">
            <w:pPr>
              <w:spacing w:before="0" w:after="0" w:line="240" w:lineRule="auto"/>
              <w:ind w:left="170"/>
              <w:rPr>
                <w:rFonts w:ascii="Arial" w:hAnsi="Arial" w:cs="Arial"/>
                <w:sz w:val="16"/>
                <w:szCs w:val="16"/>
              </w:rPr>
            </w:pPr>
            <w:r w:rsidRPr="00673C1F">
              <w:rPr>
                <w:rFonts w:ascii="Arial" w:hAnsi="Arial" w:cs="Arial"/>
                <w:sz w:val="16"/>
                <w:szCs w:val="16"/>
              </w:rPr>
              <w:t>Other customs duty</w:t>
            </w:r>
          </w:p>
        </w:tc>
        <w:tc>
          <w:tcPr>
            <w:tcW w:w="500" w:type="pct"/>
            <w:tcBorders>
              <w:top w:val="nil"/>
              <w:left w:val="nil"/>
              <w:bottom w:val="nil"/>
              <w:right w:val="nil"/>
            </w:tcBorders>
            <w:shd w:val="clear" w:color="000000" w:fill="FFFFFF"/>
            <w:noWrap/>
            <w:vAlign w:val="center"/>
            <w:hideMark/>
          </w:tcPr>
          <w:p w14:paraId="53E4B656"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c>
          <w:tcPr>
            <w:tcW w:w="54" w:type="pct"/>
            <w:tcBorders>
              <w:top w:val="nil"/>
              <w:left w:val="nil"/>
              <w:bottom w:val="nil"/>
              <w:right w:val="nil"/>
            </w:tcBorders>
            <w:shd w:val="clear" w:color="000000" w:fill="FFFFFF"/>
            <w:noWrap/>
            <w:vAlign w:val="center"/>
            <w:hideMark/>
          </w:tcPr>
          <w:p w14:paraId="0833E546"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c>
          <w:tcPr>
            <w:tcW w:w="460" w:type="pct"/>
            <w:tcBorders>
              <w:top w:val="nil"/>
              <w:left w:val="nil"/>
              <w:bottom w:val="nil"/>
              <w:right w:val="nil"/>
            </w:tcBorders>
            <w:shd w:val="clear" w:color="000000" w:fill="FFFFFF"/>
            <w:noWrap/>
            <w:vAlign w:val="center"/>
            <w:hideMark/>
          </w:tcPr>
          <w:p w14:paraId="49EF74B6" w14:textId="77777777" w:rsidR="001B7830" w:rsidRPr="00673C1F" w:rsidRDefault="001B7830" w:rsidP="001B7830">
            <w:pPr>
              <w:spacing w:before="0" w:after="0" w:line="240" w:lineRule="auto"/>
              <w:rPr>
                <w:rFonts w:ascii="Arial" w:hAnsi="Arial" w:cs="Arial"/>
                <w:sz w:val="16"/>
                <w:szCs w:val="16"/>
              </w:rPr>
            </w:pPr>
            <w:r w:rsidRPr="00673C1F">
              <w:rPr>
                <w:rFonts w:ascii="Arial" w:hAnsi="Arial" w:cs="Arial"/>
                <w:sz w:val="16"/>
                <w:szCs w:val="16"/>
              </w:rPr>
              <w:t> </w:t>
            </w:r>
          </w:p>
        </w:tc>
        <w:tc>
          <w:tcPr>
            <w:tcW w:w="460" w:type="pct"/>
            <w:tcBorders>
              <w:top w:val="nil"/>
              <w:left w:val="nil"/>
              <w:bottom w:val="nil"/>
              <w:right w:val="nil"/>
            </w:tcBorders>
            <w:shd w:val="clear" w:color="000000" w:fill="E6F2FF"/>
            <w:noWrap/>
            <w:vAlign w:val="center"/>
            <w:hideMark/>
          </w:tcPr>
          <w:p w14:paraId="025D527F" w14:textId="77777777" w:rsidR="001B7830" w:rsidRPr="00673C1F" w:rsidRDefault="001B7830" w:rsidP="001B7830">
            <w:pPr>
              <w:spacing w:before="0" w:after="0" w:line="240" w:lineRule="auto"/>
              <w:rPr>
                <w:rFonts w:ascii="Arial" w:hAnsi="Arial" w:cs="Arial"/>
                <w:sz w:val="16"/>
                <w:szCs w:val="16"/>
              </w:rPr>
            </w:pPr>
            <w:r w:rsidRPr="00673C1F">
              <w:rPr>
                <w:rFonts w:ascii="Arial" w:hAnsi="Arial" w:cs="Arial"/>
                <w:sz w:val="16"/>
                <w:szCs w:val="16"/>
              </w:rPr>
              <w:t> </w:t>
            </w:r>
          </w:p>
        </w:tc>
        <w:tc>
          <w:tcPr>
            <w:tcW w:w="526" w:type="pct"/>
            <w:tcBorders>
              <w:top w:val="nil"/>
              <w:left w:val="nil"/>
              <w:bottom w:val="nil"/>
              <w:right w:val="nil"/>
            </w:tcBorders>
            <w:shd w:val="clear" w:color="000000" w:fill="FFFFFF"/>
            <w:noWrap/>
            <w:vAlign w:val="center"/>
            <w:hideMark/>
          </w:tcPr>
          <w:p w14:paraId="51328696"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c>
          <w:tcPr>
            <w:tcW w:w="526" w:type="pct"/>
            <w:tcBorders>
              <w:top w:val="nil"/>
              <w:left w:val="nil"/>
              <w:bottom w:val="nil"/>
              <w:right w:val="nil"/>
            </w:tcBorders>
            <w:shd w:val="clear" w:color="000000" w:fill="FFFFFF"/>
            <w:noWrap/>
            <w:vAlign w:val="center"/>
            <w:hideMark/>
          </w:tcPr>
          <w:p w14:paraId="1A620808"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c>
          <w:tcPr>
            <w:tcW w:w="527" w:type="pct"/>
            <w:tcBorders>
              <w:top w:val="nil"/>
              <w:left w:val="nil"/>
              <w:bottom w:val="nil"/>
              <w:right w:val="nil"/>
            </w:tcBorders>
            <w:shd w:val="clear" w:color="000000" w:fill="FFFFFF"/>
            <w:noWrap/>
            <w:vAlign w:val="center"/>
            <w:hideMark/>
          </w:tcPr>
          <w:p w14:paraId="3DDAD5BA"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r>
      <w:tr w:rsidR="001B7830" w:rsidRPr="00673C1F" w14:paraId="3DD0964D" w14:textId="77777777" w:rsidTr="00CE2887">
        <w:trPr>
          <w:trHeight w:hRule="exact" w:val="225"/>
        </w:trPr>
        <w:tc>
          <w:tcPr>
            <w:tcW w:w="1947" w:type="pct"/>
            <w:tcBorders>
              <w:top w:val="nil"/>
              <w:left w:val="nil"/>
              <w:bottom w:val="nil"/>
              <w:right w:val="nil"/>
            </w:tcBorders>
            <w:shd w:val="clear" w:color="000000" w:fill="FFFFFF"/>
            <w:noWrap/>
            <w:vAlign w:val="bottom"/>
            <w:hideMark/>
          </w:tcPr>
          <w:p w14:paraId="0D117B1C" w14:textId="77777777" w:rsidR="001B7830" w:rsidRPr="00673C1F" w:rsidRDefault="001B7830" w:rsidP="00CE2887">
            <w:pPr>
              <w:spacing w:before="0" w:after="0" w:line="240" w:lineRule="auto"/>
              <w:ind w:left="170"/>
              <w:rPr>
                <w:rFonts w:ascii="Arial" w:hAnsi="Arial" w:cs="Arial"/>
                <w:sz w:val="16"/>
                <w:szCs w:val="16"/>
              </w:rPr>
            </w:pPr>
            <w:r w:rsidRPr="00673C1F">
              <w:rPr>
                <w:rFonts w:ascii="Arial" w:hAnsi="Arial" w:cs="Arial"/>
                <w:sz w:val="16"/>
                <w:szCs w:val="16"/>
              </w:rPr>
              <w:t xml:space="preserve">    Textiles, clothing and footwear</w:t>
            </w:r>
          </w:p>
        </w:tc>
        <w:tc>
          <w:tcPr>
            <w:tcW w:w="500" w:type="pct"/>
            <w:tcBorders>
              <w:top w:val="nil"/>
              <w:left w:val="nil"/>
              <w:bottom w:val="nil"/>
              <w:right w:val="nil"/>
            </w:tcBorders>
            <w:shd w:val="clear" w:color="000000" w:fill="FFFFFF"/>
            <w:noWrap/>
            <w:vAlign w:val="center"/>
            <w:hideMark/>
          </w:tcPr>
          <w:p w14:paraId="72AC8762"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199</w:t>
            </w:r>
          </w:p>
        </w:tc>
        <w:tc>
          <w:tcPr>
            <w:tcW w:w="54" w:type="pct"/>
            <w:tcBorders>
              <w:top w:val="nil"/>
              <w:left w:val="nil"/>
              <w:bottom w:val="nil"/>
              <w:right w:val="nil"/>
            </w:tcBorders>
            <w:shd w:val="clear" w:color="000000" w:fill="FFFFFF"/>
            <w:noWrap/>
            <w:vAlign w:val="center"/>
            <w:hideMark/>
          </w:tcPr>
          <w:p w14:paraId="5FD2ACDE"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c>
          <w:tcPr>
            <w:tcW w:w="460" w:type="pct"/>
            <w:tcBorders>
              <w:top w:val="nil"/>
              <w:left w:val="nil"/>
              <w:bottom w:val="nil"/>
              <w:right w:val="nil"/>
            </w:tcBorders>
            <w:shd w:val="clear" w:color="000000" w:fill="FFFFFF"/>
            <w:noWrap/>
            <w:vAlign w:val="center"/>
            <w:hideMark/>
          </w:tcPr>
          <w:p w14:paraId="303E9AA3"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160</w:t>
            </w:r>
          </w:p>
        </w:tc>
        <w:tc>
          <w:tcPr>
            <w:tcW w:w="460" w:type="pct"/>
            <w:tcBorders>
              <w:top w:val="nil"/>
              <w:left w:val="nil"/>
              <w:bottom w:val="nil"/>
              <w:right w:val="nil"/>
            </w:tcBorders>
            <w:shd w:val="clear" w:color="000000" w:fill="E6F2FF"/>
            <w:noWrap/>
            <w:vAlign w:val="center"/>
            <w:hideMark/>
          </w:tcPr>
          <w:p w14:paraId="6CBF3ED2"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170</w:t>
            </w:r>
          </w:p>
        </w:tc>
        <w:tc>
          <w:tcPr>
            <w:tcW w:w="526" w:type="pct"/>
            <w:tcBorders>
              <w:top w:val="nil"/>
              <w:left w:val="nil"/>
              <w:bottom w:val="nil"/>
              <w:right w:val="nil"/>
            </w:tcBorders>
            <w:shd w:val="clear" w:color="000000" w:fill="FFFFFF"/>
            <w:noWrap/>
            <w:vAlign w:val="center"/>
            <w:hideMark/>
          </w:tcPr>
          <w:p w14:paraId="7FD9F5CC"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170</w:t>
            </w:r>
          </w:p>
        </w:tc>
        <w:tc>
          <w:tcPr>
            <w:tcW w:w="526" w:type="pct"/>
            <w:tcBorders>
              <w:top w:val="nil"/>
              <w:left w:val="nil"/>
              <w:bottom w:val="nil"/>
              <w:right w:val="nil"/>
            </w:tcBorders>
            <w:shd w:val="clear" w:color="000000" w:fill="FFFFFF"/>
            <w:noWrap/>
            <w:vAlign w:val="center"/>
            <w:hideMark/>
          </w:tcPr>
          <w:p w14:paraId="67B78885"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190</w:t>
            </w:r>
          </w:p>
        </w:tc>
        <w:tc>
          <w:tcPr>
            <w:tcW w:w="527" w:type="pct"/>
            <w:tcBorders>
              <w:top w:val="nil"/>
              <w:left w:val="nil"/>
              <w:bottom w:val="nil"/>
              <w:right w:val="nil"/>
            </w:tcBorders>
            <w:shd w:val="clear" w:color="000000" w:fill="FFFFFF"/>
            <w:noWrap/>
            <w:vAlign w:val="center"/>
            <w:hideMark/>
          </w:tcPr>
          <w:p w14:paraId="06FD4870"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150</w:t>
            </w:r>
          </w:p>
        </w:tc>
      </w:tr>
      <w:tr w:rsidR="001B7830" w:rsidRPr="00673C1F" w14:paraId="693057F8" w14:textId="77777777" w:rsidTr="00CE2887">
        <w:trPr>
          <w:trHeight w:hRule="exact" w:val="225"/>
        </w:trPr>
        <w:tc>
          <w:tcPr>
            <w:tcW w:w="1947" w:type="pct"/>
            <w:tcBorders>
              <w:top w:val="nil"/>
              <w:left w:val="nil"/>
              <w:bottom w:val="nil"/>
              <w:right w:val="nil"/>
            </w:tcBorders>
            <w:shd w:val="clear" w:color="000000" w:fill="FFFFFF"/>
            <w:noWrap/>
            <w:vAlign w:val="bottom"/>
            <w:hideMark/>
          </w:tcPr>
          <w:p w14:paraId="0622E8DC" w14:textId="77777777" w:rsidR="001B7830" w:rsidRPr="00673C1F" w:rsidRDefault="001B7830" w:rsidP="00CE2887">
            <w:pPr>
              <w:spacing w:before="0" w:after="0" w:line="240" w:lineRule="auto"/>
              <w:ind w:left="170"/>
              <w:rPr>
                <w:rFonts w:ascii="Arial" w:hAnsi="Arial" w:cs="Arial"/>
                <w:sz w:val="16"/>
                <w:szCs w:val="16"/>
              </w:rPr>
            </w:pPr>
            <w:r w:rsidRPr="00673C1F">
              <w:rPr>
                <w:rFonts w:ascii="Arial" w:hAnsi="Arial" w:cs="Arial"/>
                <w:sz w:val="16"/>
                <w:szCs w:val="16"/>
              </w:rPr>
              <w:t xml:space="preserve">    Passenger motor vehicles</w:t>
            </w:r>
          </w:p>
        </w:tc>
        <w:tc>
          <w:tcPr>
            <w:tcW w:w="500" w:type="pct"/>
            <w:tcBorders>
              <w:top w:val="nil"/>
              <w:left w:val="nil"/>
              <w:bottom w:val="nil"/>
              <w:right w:val="nil"/>
            </w:tcBorders>
            <w:shd w:val="clear" w:color="000000" w:fill="FFFFFF"/>
            <w:noWrap/>
            <w:vAlign w:val="center"/>
            <w:hideMark/>
          </w:tcPr>
          <w:p w14:paraId="044BEE15"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445</w:t>
            </w:r>
          </w:p>
        </w:tc>
        <w:tc>
          <w:tcPr>
            <w:tcW w:w="54" w:type="pct"/>
            <w:tcBorders>
              <w:top w:val="nil"/>
              <w:left w:val="nil"/>
              <w:bottom w:val="nil"/>
              <w:right w:val="nil"/>
            </w:tcBorders>
            <w:shd w:val="clear" w:color="000000" w:fill="FFFFFF"/>
            <w:noWrap/>
            <w:vAlign w:val="center"/>
            <w:hideMark/>
          </w:tcPr>
          <w:p w14:paraId="6FF94AE8"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c>
          <w:tcPr>
            <w:tcW w:w="460" w:type="pct"/>
            <w:tcBorders>
              <w:top w:val="nil"/>
              <w:left w:val="nil"/>
              <w:bottom w:val="nil"/>
              <w:right w:val="nil"/>
            </w:tcBorders>
            <w:shd w:val="clear" w:color="000000" w:fill="FFFFFF"/>
            <w:noWrap/>
            <w:vAlign w:val="center"/>
            <w:hideMark/>
          </w:tcPr>
          <w:p w14:paraId="49BB97B9"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380</w:t>
            </w:r>
          </w:p>
        </w:tc>
        <w:tc>
          <w:tcPr>
            <w:tcW w:w="460" w:type="pct"/>
            <w:tcBorders>
              <w:top w:val="nil"/>
              <w:left w:val="nil"/>
              <w:bottom w:val="nil"/>
              <w:right w:val="nil"/>
            </w:tcBorders>
            <w:shd w:val="clear" w:color="000000" w:fill="E6F2FF"/>
            <w:noWrap/>
            <w:vAlign w:val="center"/>
            <w:hideMark/>
          </w:tcPr>
          <w:p w14:paraId="3CB86E59"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380</w:t>
            </w:r>
          </w:p>
        </w:tc>
        <w:tc>
          <w:tcPr>
            <w:tcW w:w="526" w:type="pct"/>
            <w:tcBorders>
              <w:top w:val="nil"/>
              <w:left w:val="nil"/>
              <w:bottom w:val="nil"/>
              <w:right w:val="nil"/>
            </w:tcBorders>
            <w:shd w:val="clear" w:color="000000" w:fill="FFFFFF"/>
            <w:noWrap/>
            <w:vAlign w:val="center"/>
            <w:hideMark/>
          </w:tcPr>
          <w:p w14:paraId="0A6E1384"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370</w:t>
            </w:r>
          </w:p>
        </w:tc>
        <w:tc>
          <w:tcPr>
            <w:tcW w:w="526" w:type="pct"/>
            <w:tcBorders>
              <w:top w:val="nil"/>
              <w:left w:val="nil"/>
              <w:bottom w:val="nil"/>
              <w:right w:val="nil"/>
            </w:tcBorders>
            <w:shd w:val="clear" w:color="000000" w:fill="FFFFFF"/>
            <w:noWrap/>
            <w:vAlign w:val="center"/>
            <w:hideMark/>
          </w:tcPr>
          <w:p w14:paraId="3BEF77DC"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330</w:t>
            </w:r>
          </w:p>
        </w:tc>
        <w:tc>
          <w:tcPr>
            <w:tcW w:w="527" w:type="pct"/>
            <w:tcBorders>
              <w:top w:val="nil"/>
              <w:left w:val="nil"/>
              <w:bottom w:val="nil"/>
              <w:right w:val="nil"/>
            </w:tcBorders>
            <w:shd w:val="clear" w:color="000000" w:fill="FFFFFF"/>
            <w:noWrap/>
            <w:vAlign w:val="center"/>
            <w:hideMark/>
          </w:tcPr>
          <w:p w14:paraId="6CD602A5"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110</w:t>
            </w:r>
          </w:p>
        </w:tc>
      </w:tr>
      <w:tr w:rsidR="001B7830" w:rsidRPr="00673C1F" w14:paraId="09C61619" w14:textId="77777777" w:rsidTr="00CE2887">
        <w:trPr>
          <w:trHeight w:hRule="exact" w:val="225"/>
        </w:trPr>
        <w:tc>
          <w:tcPr>
            <w:tcW w:w="1947" w:type="pct"/>
            <w:tcBorders>
              <w:top w:val="nil"/>
              <w:left w:val="nil"/>
              <w:bottom w:val="nil"/>
              <w:right w:val="nil"/>
            </w:tcBorders>
            <w:shd w:val="clear" w:color="000000" w:fill="FFFFFF"/>
            <w:noWrap/>
            <w:vAlign w:val="center"/>
            <w:hideMark/>
          </w:tcPr>
          <w:p w14:paraId="7EABB1D0" w14:textId="77777777" w:rsidR="001B7830" w:rsidRPr="00673C1F" w:rsidRDefault="001B7830" w:rsidP="00CE2887">
            <w:pPr>
              <w:spacing w:before="0" w:after="0" w:line="240" w:lineRule="auto"/>
              <w:ind w:left="170"/>
              <w:rPr>
                <w:rFonts w:ascii="Arial" w:hAnsi="Arial" w:cs="Arial"/>
                <w:sz w:val="16"/>
                <w:szCs w:val="16"/>
              </w:rPr>
            </w:pPr>
            <w:r w:rsidRPr="00673C1F">
              <w:rPr>
                <w:rFonts w:ascii="Arial" w:hAnsi="Arial" w:cs="Arial"/>
                <w:sz w:val="16"/>
                <w:szCs w:val="16"/>
              </w:rPr>
              <w:t xml:space="preserve">    Other imports</w:t>
            </w:r>
          </w:p>
        </w:tc>
        <w:tc>
          <w:tcPr>
            <w:tcW w:w="500" w:type="pct"/>
            <w:tcBorders>
              <w:top w:val="nil"/>
              <w:left w:val="nil"/>
              <w:bottom w:val="nil"/>
              <w:right w:val="nil"/>
            </w:tcBorders>
            <w:shd w:val="clear" w:color="000000" w:fill="FFFFFF"/>
            <w:noWrap/>
            <w:vAlign w:val="center"/>
            <w:hideMark/>
          </w:tcPr>
          <w:p w14:paraId="1BD167E9"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1,519</w:t>
            </w:r>
          </w:p>
        </w:tc>
        <w:tc>
          <w:tcPr>
            <w:tcW w:w="54" w:type="pct"/>
            <w:tcBorders>
              <w:top w:val="nil"/>
              <w:left w:val="nil"/>
              <w:bottom w:val="nil"/>
              <w:right w:val="nil"/>
            </w:tcBorders>
            <w:shd w:val="clear" w:color="000000" w:fill="FFFFFF"/>
            <w:noWrap/>
            <w:vAlign w:val="center"/>
            <w:hideMark/>
          </w:tcPr>
          <w:p w14:paraId="4B8C061F"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c>
          <w:tcPr>
            <w:tcW w:w="460" w:type="pct"/>
            <w:tcBorders>
              <w:top w:val="nil"/>
              <w:left w:val="nil"/>
              <w:bottom w:val="nil"/>
              <w:right w:val="nil"/>
            </w:tcBorders>
            <w:shd w:val="clear" w:color="000000" w:fill="FFFFFF"/>
            <w:noWrap/>
            <w:vAlign w:val="center"/>
            <w:hideMark/>
          </w:tcPr>
          <w:p w14:paraId="55D3C11B"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1,490</w:t>
            </w:r>
          </w:p>
        </w:tc>
        <w:tc>
          <w:tcPr>
            <w:tcW w:w="460" w:type="pct"/>
            <w:tcBorders>
              <w:top w:val="nil"/>
              <w:left w:val="nil"/>
              <w:bottom w:val="nil"/>
              <w:right w:val="nil"/>
            </w:tcBorders>
            <w:shd w:val="clear" w:color="000000" w:fill="E6F2FF"/>
            <w:noWrap/>
            <w:vAlign w:val="center"/>
            <w:hideMark/>
          </w:tcPr>
          <w:p w14:paraId="37A40D97"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1,530</w:t>
            </w:r>
          </w:p>
        </w:tc>
        <w:tc>
          <w:tcPr>
            <w:tcW w:w="526" w:type="pct"/>
            <w:tcBorders>
              <w:top w:val="nil"/>
              <w:left w:val="nil"/>
              <w:bottom w:val="nil"/>
              <w:right w:val="nil"/>
            </w:tcBorders>
            <w:shd w:val="clear" w:color="000000" w:fill="FFFFFF"/>
            <w:noWrap/>
            <w:vAlign w:val="center"/>
            <w:hideMark/>
          </w:tcPr>
          <w:p w14:paraId="2BAA1919"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1,590</w:t>
            </w:r>
          </w:p>
        </w:tc>
        <w:tc>
          <w:tcPr>
            <w:tcW w:w="526" w:type="pct"/>
            <w:tcBorders>
              <w:top w:val="nil"/>
              <w:left w:val="nil"/>
              <w:bottom w:val="nil"/>
              <w:right w:val="nil"/>
            </w:tcBorders>
            <w:shd w:val="clear" w:color="000000" w:fill="FFFFFF"/>
            <w:noWrap/>
            <w:vAlign w:val="center"/>
            <w:hideMark/>
          </w:tcPr>
          <w:p w14:paraId="3791933F"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1,650</w:t>
            </w:r>
          </w:p>
        </w:tc>
        <w:tc>
          <w:tcPr>
            <w:tcW w:w="527" w:type="pct"/>
            <w:tcBorders>
              <w:top w:val="nil"/>
              <w:left w:val="nil"/>
              <w:bottom w:val="nil"/>
              <w:right w:val="nil"/>
            </w:tcBorders>
            <w:shd w:val="clear" w:color="000000" w:fill="FFFFFF"/>
            <w:noWrap/>
            <w:vAlign w:val="center"/>
            <w:hideMark/>
          </w:tcPr>
          <w:p w14:paraId="66CAB672"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900</w:t>
            </w:r>
          </w:p>
        </w:tc>
      </w:tr>
      <w:tr w:rsidR="001B7830" w:rsidRPr="00673C1F" w14:paraId="0E926542" w14:textId="77777777" w:rsidTr="00CE2887">
        <w:trPr>
          <w:trHeight w:hRule="exact" w:val="225"/>
        </w:trPr>
        <w:tc>
          <w:tcPr>
            <w:tcW w:w="1947" w:type="pct"/>
            <w:tcBorders>
              <w:top w:val="nil"/>
              <w:left w:val="nil"/>
              <w:bottom w:val="nil"/>
              <w:right w:val="nil"/>
            </w:tcBorders>
            <w:shd w:val="clear" w:color="000000" w:fill="FFFFFF"/>
            <w:noWrap/>
            <w:vAlign w:val="bottom"/>
            <w:hideMark/>
          </w:tcPr>
          <w:p w14:paraId="0F4A7907" w14:textId="77777777" w:rsidR="001B7830" w:rsidRPr="00673C1F" w:rsidRDefault="001B7830" w:rsidP="00CE2887">
            <w:pPr>
              <w:spacing w:before="0" w:after="0" w:line="240" w:lineRule="auto"/>
              <w:ind w:left="170"/>
              <w:rPr>
                <w:rFonts w:ascii="Arial" w:hAnsi="Arial" w:cs="Arial"/>
                <w:i/>
                <w:iCs/>
                <w:sz w:val="16"/>
                <w:szCs w:val="16"/>
              </w:rPr>
            </w:pPr>
            <w:r w:rsidRPr="00673C1F">
              <w:rPr>
                <w:rFonts w:ascii="Arial" w:hAnsi="Arial" w:cs="Arial"/>
                <w:i/>
                <w:iCs/>
                <w:sz w:val="16"/>
                <w:szCs w:val="16"/>
              </w:rPr>
              <w:t xml:space="preserve">less: </w:t>
            </w:r>
            <w:r w:rsidRPr="00673C1F">
              <w:rPr>
                <w:rFonts w:ascii="Arial" w:hAnsi="Arial" w:cs="Arial"/>
                <w:sz w:val="16"/>
                <w:szCs w:val="16"/>
              </w:rPr>
              <w:t>Refunds and drawbacks</w:t>
            </w:r>
          </w:p>
        </w:tc>
        <w:tc>
          <w:tcPr>
            <w:tcW w:w="500" w:type="pct"/>
            <w:tcBorders>
              <w:top w:val="nil"/>
              <w:left w:val="nil"/>
              <w:bottom w:val="single" w:sz="4" w:space="0" w:color="000000"/>
              <w:right w:val="nil"/>
            </w:tcBorders>
            <w:shd w:val="clear" w:color="000000" w:fill="FFFFFF"/>
            <w:noWrap/>
            <w:vAlign w:val="center"/>
            <w:hideMark/>
          </w:tcPr>
          <w:p w14:paraId="3711C102"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723</w:t>
            </w:r>
          </w:p>
        </w:tc>
        <w:tc>
          <w:tcPr>
            <w:tcW w:w="54" w:type="pct"/>
            <w:tcBorders>
              <w:top w:val="nil"/>
              <w:left w:val="nil"/>
              <w:bottom w:val="nil"/>
              <w:right w:val="nil"/>
            </w:tcBorders>
            <w:shd w:val="clear" w:color="000000" w:fill="FFFFFF"/>
            <w:noWrap/>
            <w:vAlign w:val="center"/>
            <w:hideMark/>
          </w:tcPr>
          <w:p w14:paraId="3F263DCC"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c>
          <w:tcPr>
            <w:tcW w:w="460" w:type="pct"/>
            <w:tcBorders>
              <w:top w:val="nil"/>
              <w:left w:val="nil"/>
              <w:bottom w:val="single" w:sz="4" w:space="0" w:color="000000"/>
              <w:right w:val="nil"/>
            </w:tcBorders>
            <w:shd w:val="clear" w:color="000000" w:fill="FFFFFF"/>
            <w:noWrap/>
            <w:vAlign w:val="center"/>
            <w:hideMark/>
          </w:tcPr>
          <w:p w14:paraId="391D8D4E"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850</w:t>
            </w:r>
          </w:p>
        </w:tc>
        <w:tc>
          <w:tcPr>
            <w:tcW w:w="460" w:type="pct"/>
            <w:tcBorders>
              <w:top w:val="nil"/>
              <w:left w:val="nil"/>
              <w:bottom w:val="single" w:sz="4" w:space="0" w:color="000000"/>
              <w:right w:val="nil"/>
            </w:tcBorders>
            <w:shd w:val="clear" w:color="000000" w:fill="E6F2FF"/>
            <w:noWrap/>
            <w:vAlign w:val="center"/>
            <w:hideMark/>
          </w:tcPr>
          <w:p w14:paraId="3DC2CD24"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730</w:t>
            </w:r>
          </w:p>
        </w:tc>
        <w:tc>
          <w:tcPr>
            <w:tcW w:w="526" w:type="pct"/>
            <w:tcBorders>
              <w:top w:val="nil"/>
              <w:left w:val="nil"/>
              <w:bottom w:val="single" w:sz="4" w:space="0" w:color="000000"/>
              <w:right w:val="nil"/>
            </w:tcBorders>
            <w:shd w:val="clear" w:color="000000" w:fill="FFFFFF"/>
            <w:noWrap/>
            <w:vAlign w:val="center"/>
            <w:hideMark/>
          </w:tcPr>
          <w:p w14:paraId="7544B5D1"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730</w:t>
            </w:r>
          </w:p>
        </w:tc>
        <w:tc>
          <w:tcPr>
            <w:tcW w:w="526" w:type="pct"/>
            <w:tcBorders>
              <w:top w:val="nil"/>
              <w:left w:val="nil"/>
              <w:bottom w:val="single" w:sz="4" w:space="0" w:color="000000"/>
              <w:right w:val="nil"/>
            </w:tcBorders>
            <w:shd w:val="clear" w:color="000000" w:fill="FFFFFF"/>
            <w:noWrap/>
            <w:vAlign w:val="center"/>
            <w:hideMark/>
          </w:tcPr>
          <w:p w14:paraId="680007A9"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730</w:t>
            </w:r>
          </w:p>
        </w:tc>
        <w:tc>
          <w:tcPr>
            <w:tcW w:w="527" w:type="pct"/>
            <w:tcBorders>
              <w:top w:val="nil"/>
              <w:left w:val="nil"/>
              <w:bottom w:val="single" w:sz="4" w:space="0" w:color="000000"/>
              <w:right w:val="nil"/>
            </w:tcBorders>
            <w:shd w:val="clear" w:color="000000" w:fill="FFFFFF"/>
            <w:noWrap/>
            <w:vAlign w:val="center"/>
            <w:hideMark/>
          </w:tcPr>
          <w:p w14:paraId="6432DE98"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730</w:t>
            </w:r>
          </w:p>
        </w:tc>
      </w:tr>
      <w:tr w:rsidR="001B7830" w:rsidRPr="00673C1F" w14:paraId="48A3D297" w14:textId="77777777" w:rsidTr="00CE2887">
        <w:trPr>
          <w:trHeight w:hRule="exact" w:val="225"/>
        </w:trPr>
        <w:tc>
          <w:tcPr>
            <w:tcW w:w="1947" w:type="pct"/>
            <w:tcBorders>
              <w:top w:val="nil"/>
              <w:left w:val="nil"/>
              <w:bottom w:val="nil"/>
              <w:right w:val="nil"/>
            </w:tcBorders>
            <w:shd w:val="clear" w:color="000000" w:fill="FFFFFF"/>
            <w:noWrap/>
            <w:vAlign w:val="bottom"/>
            <w:hideMark/>
          </w:tcPr>
          <w:p w14:paraId="21434801" w14:textId="77777777" w:rsidR="001B7830" w:rsidRPr="00673C1F" w:rsidRDefault="001B7830" w:rsidP="001B7830">
            <w:pPr>
              <w:spacing w:before="0" w:after="0" w:line="240" w:lineRule="auto"/>
              <w:rPr>
                <w:rFonts w:ascii="Arial" w:hAnsi="Arial" w:cs="Arial"/>
                <w:sz w:val="16"/>
                <w:szCs w:val="16"/>
              </w:rPr>
            </w:pPr>
            <w:r w:rsidRPr="00673C1F">
              <w:rPr>
                <w:rFonts w:ascii="Arial" w:hAnsi="Arial" w:cs="Arial"/>
                <w:sz w:val="16"/>
                <w:szCs w:val="16"/>
              </w:rPr>
              <w:t xml:space="preserve">Total excise and customs duty </w:t>
            </w:r>
          </w:p>
        </w:tc>
        <w:tc>
          <w:tcPr>
            <w:tcW w:w="500" w:type="pct"/>
            <w:tcBorders>
              <w:top w:val="nil"/>
              <w:left w:val="nil"/>
              <w:bottom w:val="nil"/>
              <w:right w:val="nil"/>
            </w:tcBorders>
            <w:shd w:val="clear" w:color="000000" w:fill="FFFFFF"/>
            <w:noWrap/>
            <w:vAlign w:val="center"/>
            <w:hideMark/>
          </w:tcPr>
          <w:p w14:paraId="2D2E1C97"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43,029</w:t>
            </w:r>
          </w:p>
        </w:tc>
        <w:tc>
          <w:tcPr>
            <w:tcW w:w="54" w:type="pct"/>
            <w:tcBorders>
              <w:top w:val="nil"/>
              <w:left w:val="nil"/>
              <w:bottom w:val="nil"/>
              <w:right w:val="nil"/>
            </w:tcBorders>
            <w:shd w:val="clear" w:color="000000" w:fill="FFFFFF"/>
            <w:noWrap/>
            <w:vAlign w:val="center"/>
            <w:hideMark/>
          </w:tcPr>
          <w:p w14:paraId="5D0B989B"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c>
          <w:tcPr>
            <w:tcW w:w="460" w:type="pct"/>
            <w:tcBorders>
              <w:top w:val="nil"/>
              <w:left w:val="nil"/>
              <w:bottom w:val="nil"/>
              <w:right w:val="nil"/>
            </w:tcBorders>
            <w:shd w:val="clear" w:color="000000" w:fill="FFFFFF"/>
            <w:noWrap/>
            <w:vAlign w:val="center"/>
            <w:hideMark/>
          </w:tcPr>
          <w:p w14:paraId="20EA64A7"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44,530</w:t>
            </w:r>
          </w:p>
        </w:tc>
        <w:tc>
          <w:tcPr>
            <w:tcW w:w="460" w:type="pct"/>
            <w:tcBorders>
              <w:top w:val="nil"/>
              <w:left w:val="nil"/>
              <w:bottom w:val="nil"/>
              <w:right w:val="nil"/>
            </w:tcBorders>
            <w:shd w:val="clear" w:color="000000" w:fill="E6F2FF"/>
            <w:noWrap/>
            <w:vAlign w:val="center"/>
            <w:hideMark/>
          </w:tcPr>
          <w:p w14:paraId="5B241530"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47,900</w:t>
            </w:r>
          </w:p>
        </w:tc>
        <w:tc>
          <w:tcPr>
            <w:tcW w:w="526" w:type="pct"/>
            <w:tcBorders>
              <w:top w:val="nil"/>
              <w:left w:val="nil"/>
              <w:bottom w:val="nil"/>
              <w:right w:val="nil"/>
            </w:tcBorders>
            <w:shd w:val="clear" w:color="000000" w:fill="FFFFFF"/>
            <w:noWrap/>
            <w:vAlign w:val="center"/>
            <w:hideMark/>
          </w:tcPr>
          <w:p w14:paraId="124DA6F6"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48,880</w:t>
            </w:r>
          </w:p>
        </w:tc>
        <w:tc>
          <w:tcPr>
            <w:tcW w:w="526" w:type="pct"/>
            <w:tcBorders>
              <w:top w:val="nil"/>
              <w:left w:val="nil"/>
              <w:bottom w:val="nil"/>
              <w:right w:val="nil"/>
            </w:tcBorders>
            <w:shd w:val="clear" w:color="000000" w:fill="FFFFFF"/>
            <w:noWrap/>
            <w:vAlign w:val="center"/>
            <w:hideMark/>
          </w:tcPr>
          <w:p w14:paraId="480ADAA6"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50,150</w:t>
            </w:r>
          </w:p>
        </w:tc>
        <w:tc>
          <w:tcPr>
            <w:tcW w:w="527" w:type="pct"/>
            <w:tcBorders>
              <w:top w:val="nil"/>
              <w:left w:val="nil"/>
              <w:bottom w:val="nil"/>
              <w:right w:val="nil"/>
            </w:tcBorders>
            <w:shd w:val="clear" w:color="000000" w:fill="FFFFFF"/>
            <w:noWrap/>
            <w:vAlign w:val="center"/>
            <w:hideMark/>
          </w:tcPr>
          <w:p w14:paraId="6372DD62"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50,140</w:t>
            </w:r>
          </w:p>
        </w:tc>
      </w:tr>
      <w:tr w:rsidR="001B7830" w:rsidRPr="00673C1F" w14:paraId="3B61C6CE" w14:textId="77777777" w:rsidTr="00CE2887">
        <w:trPr>
          <w:trHeight w:hRule="exact" w:val="225"/>
        </w:trPr>
        <w:tc>
          <w:tcPr>
            <w:tcW w:w="1947" w:type="pct"/>
            <w:tcBorders>
              <w:top w:val="nil"/>
              <w:left w:val="nil"/>
              <w:bottom w:val="nil"/>
              <w:right w:val="nil"/>
            </w:tcBorders>
            <w:shd w:val="clear" w:color="000000" w:fill="FFFFFF"/>
            <w:noWrap/>
            <w:vAlign w:val="center"/>
            <w:hideMark/>
          </w:tcPr>
          <w:p w14:paraId="4FD2CA77" w14:textId="77777777" w:rsidR="001B7830" w:rsidRPr="00673C1F" w:rsidRDefault="001B7830" w:rsidP="001B7830">
            <w:pPr>
              <w:spacing w:before="0" w:after="0" w:line="240" w:lineRule="auto"/>
              <w:rPr>
                <w:rFonts w:ascii="Arial" w:hAnsi="Arial" w:cs="Arial"/>
                <w:sz w:val="16"/>
                <w:szCs w:val="16"/>
              </w:rPr>
            </w:pPr>
            <w:r w:rsidRPr="00673C1F">
              <w:rPr>
                <w:rFonts w:ascii="Arial" w:hAnsi="Arial" w:cs="Arial"/>
                <w:sz w:val="16"/>
                <w:szCs w:val="16"/>
              </w:rPr>
              <w:t>Major Bank Levy</w:t>
            </w:r>
          </w:p>
        </w:tc>
        <w:tc>
          <w:tcPr>
            <w:tcW w:w="500" w:type="pct"/>
            <w:tcBorders>
              <w:top w:val="nil"/>
              <w:left w:val="nil"/>
              <w:bottom w:val="nil"/>
              <w:right w:val="nil"/>
            </w:tcBorders>
            <w:shd w:val="clear" w:color="000000" w:fill="FFFFFF"/>
            <w:noWrap/>
            <w:vAlign w:val="center"/>
            <w:hideMark/>
          </w:tcPr>
          <w:p w14:paraId="64AE0860"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1,525</w:t>
            </w:r>
          </w:p>
        </w:tc>
        <w:tc>
          <w:tcPr>
            <w:tcW w:w="54" w:type="pct"/>
            <w:tcBorders>
              <w:top w:val="nil"/>
              <w:left w:val="nil"/>
              <w:bottom w:val="nil"/>
              <w:right w:val="nil"/>
            </w:tcBorders>
            <w:shd w:val="clear" w:color="000000" w:fill="FFFFFF"/>
            <w:noWrap/>
            <w:vAlign w:val="center"/>
            <w:hideMark/>
          </w:tcPr>
          <w:p w14:paraId="03844037"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c>
          <w:tcPr>
            <w:tcW w:w="460" w:type="pct"/>
            <w:tcBorders>
              <w:top w:val="nil"/>
              <w:left w:val="nil"/>
              <w:bottom w:val="nil"/>
              <w:right w:val="nil"/>
            </w:tcBorders>
            <w:shd w:val="clear" w:color="000000" w:fill="FFFFFF"/>
            <w:noWrap/>
            <w:vAlign w:val="center"/>
            <w:hideMark/>
          </w:tcPr>
          <w:p w14:paraId="03A042B2"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1,630</w:t>
            </w:r>
          </w:p>
        </w:tc>
        <w:tc>
          <w:tcPr>
            <w:tcW w:w="460" w:type="pct"/>
            <w:tcBorders>
              <w:top w:val="nil"/>
              <w:left w:val="nil"/>
              <w:bottom w:val="nil"/>
              <w:right w:val="nil"/>
            </w:tcBorders>
            <w:shd w:val="clear" w:color="000000" w:fill="E6F2FF"/>
            <w:noWrap/>
            <w:vAlign w:val="center"/>
            <w:hideMark/>
          </w:tcPr>
          <w:p w14:paraId="362B496F"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1,720</w:t>
            </w:r>
          </w:p>
        </w:tc>
        <w:tc>
          <w:tcPr>
            <w:tcW w:w="526" w:type="pct"/>
            <w:tcBorders>
              <w:top w:val="nil"/>
              <w:left w:val="nil"/>
              <w:bottom w:val="nil"/>
              <w:right w:val="nil"/>
            </w:tcBorders>
            <w:shd w:val="clear" w:color="000000" w:fill="FFFFFF"/>
            <w:noWrap/>
            <w:vAlign w:val="center"/>
            <w:hideMark/>
          </w:tcPr>
          <w:p w14:paraId="35ACE597"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1,780</w:t>
            </w:r>
          </w:p>
        </w:tc>
        <w:tc>
          <w:tcPr>
            <w:tcW w:w="526" w:type="pct"/>
            <w:tcBorders>
              <w:top w:val="nil"/>
              <w:left w:val="nil"/>
              <w:bottom w:val="nil"/>
              <w:right w:val="nil"/>
            </w:tcBorders>
            <w:shd w:val="clear" w:color="000000" w:fill="FFFFFF"/>
            <w:noWrap/>
            <w:vAlign w:val="center"/>
            <w:hideMark/>
          </w:tcPr>
          <w:p w14:paraId="44F0A986"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1,860</w:t>
            </w:r>
          </w:p>
        </w:tc>
        <w:tc>
          <w:tcPr>
            <w:tcW w:w="527" w:type="pct"/>
            <w:tcBorders>
              <w:top w:val="nil"/>
              <w:left w:val="nil"/>
              <w:bottom w:val="nil"/>
              <w:right w:val="nil"/>
            </w:tcBorders>
            <w:shd w:val="clear" w:color="000000" w:fill="FFFFFF"/>
            <w:noWrap/>
            <w:vAlign w:val="center"/>
            <w:hideMark/>
          </w:tcPr>
          <w:p w14:paraId="5FA44116"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1,960</w:t>
            </w:r>
          </w:p>
        </w:tc>
      </w:tr>
      <w:tr w:rsidR="001B7830" w:rsidRPr="00673C1F" w14:paraId="595786DB" w14:textId="77777777" w:rsidTr="00CE2887">
        <w:trPr>
          <w:trHeight w:hRule="exact" w:val="225"/>
        </w:trPr>
        <w:tc>
          <w:tcPr>
            <w:tcW w:w="1947" w:type="pct"/>
            <w:tcBorders>
              <w:top w:val="nil"/>
              <w:left w:val="nil"/>
              <w:bottom w:val="nil"/>
              <w:right w:val="nil"/>
            </w:tcBorders>
            <w:shd w:val="clear" w:color="000000" w:fill="FFFFFF"/>
            <w:noWrap/>
            <w:vAlign w:val="center"/>
            <w:hideMark/>
          </w:tcPr>
          <w:p w14:paraId="31149033" w14:textId="77777777" w:rsidR="001B7830" w:rsidRPr="00673C1F" w:rsidRDefault="001B7830" w:rsidP="001B7830">
            <w:pPr>
              <w:spacing w:before="0" w:after="0" w:line="240" w:lineRule="auto"/>
              <w:rPr>
                <w:rFonts w:ascii="Arial" w:hAnsi="Arial" w:cs="Arial"/>
                <w:sz w:val="16"/>
                <w:szCs w:val="16"/>
              </w:rPr>
            </w:pPr>
            <w:r w:rsidRPr="00673C1F">
              <w:rPr>
                <w:rFonts w:ascii="Arial" w:hAnsi="Arial" w:cs="Arial"/>
                <w:sz w:val="16"/>
                <w:szCs w:val="16"/>
              </w:rPr>
              <w:t>Agricultural levies</w:t>
            </w:r>
          </w:p>
        </w:tc>
        <w:tc>
          <w:tcPr>
            <w:tcW w:w="500" w:type="pct"/>
            <w:tcBorders>
              <w:top w:val="nil"/>
              <w:left w:val="nil"/>
              <w:bottom w:val="nil"/>
              <w:right w:val="nil"/>
            </w:tcBorders>
            <w:shd w:val="clear" w:color="000000" w:fill="FFFFFF"/>
            <w:noWrap/>
            <w:vAlign w:val="center"/>
            <w:hideMark/>
          </w:tcPr>
          <w:p w14:paraId="7CECB350"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666</w:t>
            </w:r>
          </w:p>
        </w:tc>
        <w:tc>
          <w:tcPr>
            <w:tcW w:w="54" w:type="pct"/>
            <w:tcBorders>
              <w:top w:val="nil"/>
              <w:left w:val="nil"/>
              <w:bottom w:val="nil"/>
              <w:right w:val="nil"/>
            </w:tcBorders>
            <w:shd w:val="clear" w:color="000000" w:fill="FFFFFF"/>
            <w:noWrap/>
            <w:vAlign w:val="center"/>
            <w:hideMark/>
          </w:tcPr>
          <w:p w14:paraId="1FA80C82"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c>
          <w:tcPr>
            <w:tcW w:w="460" w:type="pct"/>
            <w:tcBorders>
              <w:top w:val="nil"/>
              <w:left w:val="nil"/>
              <w:bottom w:val="nil"/>
              <w:right w:val="nil"/>
            </w:tcBorders>
            <w:shd w:val="clear" w:color="000000" w:fill="FFFFFF"/>
            <w:noWrap/>
            <w:vAlign w:val="center"/>
            <w:hideMark/>
          </w:tcPr>
          <w:p w14:paraId="0CF4A83A"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620</w:t>
            </w:r>
          </w:p>
        </w:tc>
        <w:tc>
          <w:tcPr>
            <w:tcW w:w="460" w:type="pct"/>
            <w:tcBorders>
              <w:top w:val="nil"/>
              <w:left w:val="nil"/>
              <w:bottom w:val="nil"/>
              <w:right w:val="nil"/>
            </w:tcBorders>
            <w:shd w:val="clear" w:color="000000" w:fill="E6F2FF"/>
            <w:noWrap/>
            <w:vAlign w:val="center"/>
            <w:hideMark/>
          </w:tcPr>
          <w:p w14:paraId="20E67A1C"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623</w:t>
            </w:r>
          </w:p>
        </w:tc>
        <w:tc>
          <w:tcPr>
            <w:tcW w:w="526" w:type="pct"/>
            <w:tcBorders>
              <w:top w:val="nil"/>
              <w:left w:val="nil"/>
              <w:bottom w:val="nil"/>
              <w:right w:val="nil"/>
            </w:tcBorders>
            <w:shd w:val="clear" w:color="000000" w:fill="FFFFFF"/>
            <w:noWrap/>
            <w:vAlign w:val="center"/>
            <w:hideMark/>
          </w:tcPr>
          <w:p w14:paraId="44E75120"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645</w:t>
            </w:r>
          </w:p>
        </w:tc>
        <w:tc>
          <w:tcPr>
            <w:tcW w:w="526" w:type="pct"/>
            <w:tcBorders>
              <w:top w:val="nil"/>
              <w:left w:val="nil"/>
              <w:bottom w:val="nil"/>
              <w:right w:val="nil"/>
            </w:tcBorders>
            <w:shd w:val="clear" w:color="000000" w:fill="FFFFFF"/>
            <w:noWrap/>
            <w:vAlign w:val="center"/>
            <w:hideMark/>
          </w:tcPr>
          <w:p w14:paraId="79200101"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641</w:t>
            </w:r>
          </w:p>
        </w:tc>
        <w:tc>
          <w:tcPr>
            <w:tcW w:w="527" w:type="pct"/>
            <w:tcBorders>
              <w:top w:val="nil"/>
              <w:left w:val="nil"/>
              <w:bottom w:val="nil"/>
              <w:right w:val="nil"/>
            </w:tcBorders>
            <w:shd w:val="clear" w:color="000000" w:fill="FFFFFF"/>
            <w:noWrap/>
            <w:vAlign w:val="center"/>
            <w:hideMark/>
          </w:tcPr>
          <w:p w14:paraId="5BD36F09"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650</w:t>
            </w:r>
          </w:p>
        </w:tc>
      </w:tr>
      <w:tr w:rsidR="001B7830" w:rsidRPr="00673C1F" w14:paraId="24BA6D7B" w14:textId="77777777" w:rsidTr="00CE2887">
        <w:trPr>
          <w:trHeight w:hRule="exact" w:val="225"/>
        </w:trPr>
        <w:tc>
          <w:tcPr>
            <w:tcW w:w="1947" w:type="pct"/>
            <w:tcBorders>
              <w:top w:val="nil"/>
              <w:left w:val="nil"/>
              <w:bottom w:val="nil"/>
              <w:right w:val="nil"/>
            </w:tcBorders>
            <w:shd w:val="clear" w:color="000000" w:fill="FFFFFF"/>
            <w:noWrap/>
            <w:vAlign w:val="center"/>
            <w:hideMark/>
          </w:tcPr>
          <w:p w14:paraId="0DDD708E" w14:textId="77777777" w:rsidR="001B7830" w:rsidRPr="00673C1F" w:rsidRDefault="001B7830" w:rsidP="001B7830">
            <w:pPr>
              <w:spacing w:before="0" w:after="0" w:line="240" w:lineRule="auto"/>
              <w:rPr>
                <w:rFonts w:ascii="Arial" w:hAnsi="Arial" w:cs="Arial"/>
                <w:sz w:val="16"/>
                <w:szCs w:val="16"/>
              </w:rPr>
            </w:pPr>
            <w:r w:rsidRPr="00673C1F">
              <w:rPr>
                <w:rFonts w:ascii="Arial" w:hAnsi="Arial" w:cs="Arial"/>
                <w:sz w:val="16"/>
                <w:szCs w:val="16"/>
              </w:rPr>
              <w:t>Visa application charges</w:t>
            </w:r>
          </w:p>
        </w:tc>
        <w:tc>
          <w:tcPr>
            <w:tcW w:w="500" w:type="pct"/>
            <w:tcBorders>
              <w:top w:val="nil"/>
              <w:left w:val="nil"/>
              <w:bottom w:val="nil"/>
              <w:right w:val="nil"/>
            </w:tcBorders>
            <w:shd w:val="clear" w:color="000000" w:fill="FFFFFF"/>
            <w:noWrap/>
            <w:vAlign w:val="center"/>
            <w:hideMark/>
          </w:tcPr>
          <w:p w14:paraId="0333A7C5"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3,156</w:t>
            </w:r>
          </w:p>
        </w:tc>
        <w:tc>
          <w:tcPr>
            <w:tcW w:w="54" w:type="pct"/>
            <w:tcBorders>
              <w:top w:val="nil"/>
              <w:left w:val="nil"/>
              <w:bottom w:val="nil"/>
              <w:right w:val="nil"/>
            </w:tcBorders>
            <w:shd w:val="clear" w:color="000000" w:fill="FFFFFF"/>
            <w:noWrap/>
            <w:vAlign w:val="center"/>
            <w:hideMark/>
          </w:tcPr>
          <w:p w14:paraId="6FB7DC2C"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c>
          <w:tcPr>
            <w:tcW w:w="460" w:type="pct"/>
            <w:tcBorders>
              <w:top w:val="nil"/>
              <w:left w:val="nil"/>
              <w:bottom w:val="nil"/>
              <w:right w:val="nil"/>
            </w:tcBorders>
            <w:shd w:val="clear" w:color="000000" w:fill="FFFFFF"/>
            <w:noWrap/>
            <w:vAlign w:val="center"/>
            <w:hideMark/>
          </w:tcPr>
          <w:p w14:paraId="7B86793F"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3,290</w:t>
            </w:r>
          </w:p>
        </w:tc>
        <w:tc>
          <w:tcPr>
            <w:tcW w:w="460" w:type="pct"/>
            <w:tcBorders>
              <w:top w:val="nil"/>
              <w:left w:val="nil"/>
              <w:bottom w:val="nil"/>
              <w:right w:val="nil"/>
            </w:tcBorders>
            <w:shd w:val="clear" w:color="000000" w:fill="E6F2FF"/>
            <w:noWrap/>
            <w:vAlign w:val="center"/>
            <w:hideMark/>
          </w:tcPr>
          <w:p w14:paraId="70E660FE"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3,882</w:t>
            </w:r>
          </w:p>
        </w:tc>
        <w:tc>
          <w:tcPr>
            <w:tcW w:w="526" w:type="pct"/>
            <w:tcBorders>
              <w:top w:val="nil"/>
              <w:left w:val="nil"/>
              <w:bottom w:val="nil"/>
              <w:right w:val="nil"/>
            </w:tcBorders>
            <w:shd w:val="clear" w:color="000000" w:fill="FFFFFF"/>
            <w:noWrap/>
            <w:vAlign w:val="center"/>
            <w:hideMark/>
          </w:tcPr>
          <w:p w14:paraId="5123DAE5"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4,096</w:t>
            </w:r>
          </w:p>
        </w:tc>
        <w:tc>
          <w:tcPr>
            <w:tcW w:w="526" w:type="pct"/>
            <w:tcBorders>
              <w:top w:val="nil"/>
              <w:left w:val="nil"/>
              <w:bottom w:val="nil"/>
              <w:right w:val="nil"/>
            </w:tcBorders>
            <w:shd w:val="clear" w:color="000000" w:fill="FFFFFF"/>
            <w:noWrap/>
            <w:vAlign w:val="center"/>
            <w:hideMark/>
          </w:tcPr>
          <w:p w14:paraId="67916F50"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4,315</w:t>
            </w:r>
          </w:p>
        </w:tc>
        <w:tc>
          <w:tcPr>
            <w:tcW w:w="527" w:type="pct"/>
            <w:tcBorders>
              <w:top w:val="nil"/>
              <w:left w:val="nil"/>
              <w:bottom w:val="nil"/>
              <w:right w:val="nil"/>
            </w:tcBorders>
            <w:shd w:val="clear" w:color="000000" w:fill="FFFFFF"/>
            <w:noWrap/>
            <w:vAlign w:val="center"/>
            <w:hideMark/>
          </w:tcPr>
          <w:p w14:paraId="51682E06"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4,484</w:t>
            </w:r>
          </w:p>
        </w:tc>
      </w:tr>
      <w:tr w:rsidR="001B7830" w:rsidRPr="00673C1F" w14:paraId="0E52DEEC" w14:textId="77777777" w:rsidTr="00CE2887">
        <w:trPr>
          <w:trHeight w:hRule="exact" w:val="225"/>
        </w:trPr>
        <w:tc>
          <w:tcPr>
            <w:tcW w:w="1947" w:type="pct"/>
            <w:tcBorders>
              <w:top w:val="nil"/>
              <w:left w:val="nil"/>
              <w:bottom w:val="nil"/>
              <w:right w:val="nil"/>
            </w:tcBorders>
            <w:shd w:val="clear" w:color="000000" w:fill="FFFFFF"/>
            <w:noWrap/>
            <w:vAlign w:val="center"/>
            <w:hideMark/>
          </w:tcPr>
          <w:p w14:paraId="1F06BE3C" w14:textId="77777777" w:rsidR="001B7830" w:rsidRPr="00673C1F" w:rsidRDefault="001B7830" w:rsidP="001B7830">
            <w:pPr>
              <w:spacing w:before="0" w:after="0" w:line="240" w:lineRule="auto"/>
              <w:rPr>
                <w:rFonts w:ascii="Arial" w:hAnsi="Arial" w:cs="Arial"/>
                <w:sz w:val="16"/>
                <w:szCs w:val="16"/>
              </w:rPr>
            </w:pPr>
            <w:r w:rsidRPr="00673C1F">
              <w:rPr>
                <w:rFonts w:ascii="Arial" w:hAnsi="Arial" w:cs="Arial"/>
                <w:sz w:val="16"/>
                <w:szCs w:val="16"/>
              </w:rPr>
              <w:t>Other taxes</w:t>
            </w:r>
          </w:p>
        </w:tc>
        <w:tc>
          <w:tcPr>
            <w:tcW w:w="500" w:type="pct"/>
            <w:tcBorders>
              <w:top w:val="nil"/>
              <w:left w:val="nil"/>
              <w:bottom w:val="nil"/>
              <w:right w:val="nil"/>
            </w:tcBorders>
            <w:shd w:val="clear" w:color="000000" w:fill="FFFFFF"/>
            <w:noWrap/>
            <w:vAlign w:val="center"/>
            <w:hideMark/>
          </w:tcPr>
          <w:p w14:paraId="60BCC043"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4,730</w:t>
            </w:r>
          </w:p>
        </w:tc>
        <w:tc>
          <w:tcPr>
            <w:tcW w:w="54" w:type="pct"/>
            <w:tcBorders>
              <w:top w:val="nil"/>
              <w:left w:val="nil"/>
              <w:bottom w:val="nil"/>
              <w:right w:val="nil"/>
            </w:tcBorders>
            <w:shd w:val="clear" w:color="000000" w:fill="FFFFFF"/>
            <w:noWrap/>
            <w:vAlign w:val="center"/>
            <w:hideMark/>
          </w:tcPr>
          <w:p w14:paraId="4428BA95"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c>
          <w:tcPr>
            <w:tcW w:w="460" w:type="pct"/>
            <w:tcBorders>
              <w:top w:val="nil"/>
              <w:left w:val="nil"/>
              <w:bottom w:val="nil"/>
              <w:right w:val="nil"/>
            </w:tcBorders>
            <w:shd w:val="clear" w:color="000000" w:fill="FFFFFF"/>
            <w:noWrap/>
            <w:vAlign w:val="center"/>
            <w:hideMark/>
          </w:tcPr>
          <w:p w14:paraId="698AC3B6"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5,862</w:t>
            </w:r>
          </w:p>
        </w:tc>
        <w:tc>
          <w:tcPr>
            <w:tcW w:w="460" w:type="pct"/>
            <w:tcBorders>
              <w:top w:val="nil"/>
              <w:left w:val="nil"/>
              <w:bottom w:val="nil"/>
              <w:right w:val="nil"/>
            </w:tcBorders>
            <w:shd w:val="clear" w:color="000000" w:fill="E6F2FF"/>
            <w:noWrap/>
            <w:vAlign w:val="center"/>
            <w:hideMark/>
          </w:tcPr>
          <w:p w14:paraId="0B83184E"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6,183</w:t>
            </w:r>
          </w:p>
        </w:tc>
        <w:tc>
          <w:tcPr>
            <w:tcW w:w="526" w:type="pct"/>
            <w:tcBorders>
              <w:top w:val="nil"/>
              <w:left w:val="nil"/>
              <w:bottom w:val="nil"/>
              <w:right w:val="nil"/>
            </w:tcBorders>
            <w:shd w:val="clear" w:color="000000" w:fill="FFFFFF"/>
            <w:noWrap/>
            <w:vAlign w:val="center"/>
            <w:hideMark/>
          </w:tcPr>
          <w:p w14:paraId="3F480D20"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6,404</w:t>
            </w:r>
          </w:p>
        </w:tc>
        <w:tc>
          <w:tcPr>
            <w:tcW w:w="526" w:type="pct"/>
            <w:tcBorders>
              <w:top w:val="nil"/>
              <w:left w:val="nil"/>
              <w:bottom w:val="nil"/>
              <w:right w:val="nil"/>
            </w:tcBorders>
            <w:shd w:val="clear" w:color="000000" w:fill="FFFFFF"/>
            <w:noWrap/>
            <w:vAlign w:val="center"/>
            <w:hideMark/>
          </w:tcPr>
          <w:p w14:paraId="4A2C6595"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6,276</w:t>
            </w:r>
          </w:p>
        </w:tc>
        <w:tc>
          <w:tcPr>
            <w:tcW w:w="527" w:type="pct"/>
            <w:tcBorders>
              <w:top w:val="nil"/>
              <w:left w:val="nil"/>
              <w:bottom w:val="nil"/>
              <w:right w:val="nil"/>
            </w:tcBorders>
            <w:shd w:val="clear" w:color="000000" w:fill="FFFFFF"/>
            <w:noWrap/>
            <w:vAlign w:val="center"/>
            <w:hideMark/>
          </w:tcPr>
          <w:p w14:paraId="2441E09E"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6,167</w:t>
            </w:r>
          </w:p>
        </w:tc>
      </w:tr>
      <w:tr w:rsidR="001B7830" w:rsidRPr="00673C1F" w14:paraId="4BF6CCB1" w14:textId="77777777" w:rsidTr="00CE2887">
        <w:trPr>
          <w:trHeight w:hRule="exact" w:val="225"/>
        </w:trPr>
        <w:tc>
          <w:tcPr>
            <w:tcW w:w="1947" w:type="pct"/>
            <w:tcBorders>
              <w:top w:val="nil"/>
              <w:left w:val="nil"/>
              <w:bottom w:val="nil"/>
              <w:right w:val="nil"/>
            </w:tcBorders>
            <w:shd w:val="clear" w:color="000000" w:fill="FFFFFF"/>
            <w:noWrap/>
            <w:vAlign w:val="center"/>
            <w:hideMark/>
          </w:tcPr>
          <w:p w14:paraId="1C3ECF31" w14:textId="77777777" w:rsidR="001B7830" w:rsidRPr="00673C1F" w:rsidRDefault="001B7830" w:rsidP="001B7830">
            <w:pPr>
              <w:spacing w:before="0" w:after="0" w:line="240" w:lineRule="auto"/>
              <w:rPr>
                <w:rFonts w:ascii="Arial" w:hAnsi="Arial" w:cs="Arial"/>
                <w:b/>
                <w:bCs/>
                <w:sz w:val="16"/>
                <w:szCs w:val="16"/>
              </w:rPr>
            </w:pPr>
            <w:r w:rsidRPr="00673C1F">
              <w:rPr>
                <w:rFonts w:ascii="Arial" w:hAnsi="Arial" w:cs="Arial"/>
                <w:b/>
                <w:bCs/>
                <w:sz w:val="16"/>
                <w:szCs w:val="16"/>
              </w:rPr>
              <w:t>Indirect taxation receipts</w:t>
            </w:r>
          </w:p>
        </w:tc>
        <w:tc>
          <w:tcPr>
            <w:tcW w:w="500" w:type="pct"/>
            <w:tcBorders>
              <w:top w:val="single" w:sz="4" w:space="0" w:color="293F5B"/>
              <w:left w:val="nil"/>
              <w:bottom w:val="single" w:sz="4" w:space="0" w:color="293F5B"/>
              <w:right w:val="nil"/>
            </w:tcBorders>
            <w:shd w:val="clear" w:color="000000" w:fill="FFFFFF"/>
            <w:noWrap/>
            <w:vAlign w:val="center"/>
            <w:hideMark/>
          </w:tcPr>
          <w:p w14:paraId="309F3AE8"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136,873</w:t>
            </w:r>
          </w:p>
        </w:tc>
        <w:tc>
          <w:tcPr>
            <w:tcW w:w="54" w:type="pct"/>
            <w:tcBorders>
              <w:top w:val="nil"/>
              <w:left w:val="nil"/>
              <w:bottom w:val="nil"/>
              <w:right w:val="nil"/>
            </w:tcBorders>
            <w:shd w:val="clear" w:color="000000" w:fill="FFFFFF"/>
            <w:noWrap/>
            <w:vAlign w:val="center"/>
            <w:hideMark/>
          </w:tcPr>
          <w:p w14:paraId="67A3A148"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460" w:type="pct"/>
            <w:tcBorders>
              <w:top w:val="single" w:sz="4" w:space="0" w:color="293F5B"/>
              <w:left w:val="nil"/>
              <w:bottom w:val="single" w:sz="4" w:space="0" w:color="293F5B"/>
              <w:right w:val="nil"/>
            </w:tcBorders>
            <w:shd w:val="clear" w:color="000000" w:fill="FFFFFF"/>
            <w:noWrap/>
            <w:vAlign w:val="center"/>
            <w:hideMark/>
          </w:tcPr>
          <w:p w14:paraId="0B6F408B"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144,080</w:t>
            </w:r>
          </w:p>
        </w:tc>
        <w:tc>
          <w:tcPr>
            <w:tcW w:w="460" w:type="pct"/>
            <w:tcBorders>
              <w:top w:val="single" w:sz="4" w:space="0" w:color="293F5B"/>
              <w:left w:val="nil"/>
              <w:bottom w:val="single" w:sz="4" w:space="0" w:color="293F5B"/>
              <w:right w:val="nil"/>
            </w:tcBorders>
            <w:shd w:val="clear" w:color="000000" w:fill="E6F2FF"/>
            <w:noWrap/>
            <w:vAlign w:val="center"/>
            <w:hideMark/>
          </w:tcPr>
          <w:p w14:paraId="460BD1DD"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150,272</w:t>
            </w:r>
          </w:p>
        </w:tc>
        <w:tc>
          <w:tcPr>
            <w:tcW w:w="526" w:type="pct"/>
            <w:tcBorders>
              <w:top w:val="single" w:sz="4" w:space="0" w:color="293F5B"/>
              <w:left w:val="nil"/>
              <w:bottom w:val="single" w:sz="4" w:space="0" w:color="293F5B"/>
              <w:right w:val="nil"/>
            </w:tcBorders>
            <w:shd w:val="clear" w:color="000000" w:fill="FFFFFF"/>
            <w:noWrap/>
            <w:vAlign w:val="center"/>
            <w:hideMark/>
          </w:tcPr>
          <w:p w14:paraId="4E7EDC0F"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156,553</w:t>
            </w:r>
          </w:p>
        </w:tc>
        <w:tc>
          <w:tcPr>
            <w:tcW w:w="526" w:type="pct"/>
            <w:tcBorders>
              <w:top w:val="single" w:sz="4" w:space="0" w:color="293F5B"/>
              <w:left w:val="nil"/>
              <w:bottom w:val="single" w:sz="4" w:space="0" w:color="293F5B"/>
              <w:right w:val="nil"/>
            </w:tcBorders>
            <w:shd w:val="clear" w:color="000000" w:fill="FFFFFF"/>
            <w:noWrap/>
            <w:vAlign w:val="center"/>
            <w:hideMark/>
          </w:tcPr>
          <w:p w14:paraId="73CCFDF1"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163,648</w:t>
            </w:r>
          </w:p>
        </w:tc>
        <w:tc>
          <w:tcPr>
            <w:tcW w:w="527" w:type="pct"/>
            <w:tcBorders>
              <w:top w:val="single" w:sz="4" w:space="0" w:color="293F5B"/>
              <w:left w:val="nil"/>
              <w:bottom w:val="single" w:sz="4" w:space="0" w:color="293F5B"/>
              <w:right w:val="nil"/>
            </w:tcBorders>
            <w:shd w:val="clear" w:color="000000" w:fill="FFFFFF"/>
            <w:noWrap/>
            <w:vAlign w:val="center"/>
            <w:hideMark/>
          </w:tcPr>
          <w:p w14:paraId="1A37063B"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169,509</w:t>
            </w:r>
          </w:p>
        </w:tc>
      </w:tr>
      <w:tr w:rsidR="001B7830" w:rsidRPr="00673C1F" w14:paraId="3FCED3F4" w14:textId="77777777" w:rsidTr="00CE2887">
        <w:trPr>
          <w:trHeight w:hRule="exact" w:val="225"/>
        </w:trPr>
        <w:tc>
          <w:tcPr>
            <w:tcW w:w="1947" w:type="pct"/>
            <w:tcBorders>
              <w:top w:val="nil"/>
              <w:left w:val="nil"/>
              <w:bottom w:val="nil"/>
              <w:right w:val="nil"/>
            </w:tcBorders>
            <w:shd w:val="clear" w:color="000000" w:fill="FFFFFF"/>
            <w:noWrap/>
            <w:vAlign w:val="center"/>
            <w:hideMark/>
          </w:tcPr>
          <w:p w14:paraId="5617722C" w14:textId="77777777" w:rsidR="001B7830" w:rsidRPr="00673C1F" w:rsidRDefault="001B7830" w:rsidP="001B7830">
            <w:pPr>
              <w:spacing w:before="0" w:after="0" w:line="240" w:lineRule="auto"/>
              <w:rPr>
                <w:rFonts w:ascii="Arial" w:hAnsi="Arial" w:cs="Arial"/>
                <w:b/>
                <w:bCs/>
                <w:sz w:val="16"/>
                <w:szCs w:val="16"/>
              </w:rPr>
            </w:pPr>
            <w:r w:rsidRPr="00673C1F">
              <w:rPr>
                <w:rFonts w:ascii="Arial" w:hAnsi="Arial" w:cs="Arial"/>
                <w:b/>
                <w:bCs/>
                <w:sz w:val="16"/>
                <w:szCs w:val="16"/>
              </w:rPr>
              <w:t>Taxation receipts</w:t>
            </w:r>
          </w:p>
        </w:tc>
        <w:tc>
          <w:tcPr>
            <w:tcW w:w="500" w:type="pct"/>
            <w:tcBorders>
              <w:top w:val="nil"/>
              <w:left w:val="nil"/>
              <w:bottom w:val="single" w:sz="4" w:space="0" w:color="000000"/>
              <w:right w:val="nil"/>
            </w:tcBorders>
            <w:shd w:val="clear" w:color="000000" w:fill="FFFFFF"/>
            <w:noWrap/>
            <w:vAlign w:val="center"/>
            <w:hideMark/>
          </w:tcPr>
          <w:p w14:paraId="5C83F3F3"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601,300</w:t>
            </w:r>
          </w:p>
        </w:tc>
        <w:tc>
          <w:tcPr>
            <w:tcW w:w="54" w:type="pct"/>
            <w:tcBorders>
              <w:top w:val="nil"/>
              <w:left w:val="nil"/>
              <w:bottom w:val="nil"/>
              <w:right w:val="nil"/>
            </w:tcBorders>
            <w:shd w:val="clear" w:color="000000" w:fill="FFFFFF"/>
            <w:noWrap/>
            <w:vAlign w:val="center"/>
            <w:hideMark/>
          </w:tcPr>
          <w:p w14:paraId="4D3295AE"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460" w:type="pct"/>
            <w:tcBorders>
              <w:top w:val="nil"/>
              <w:left w:val="nil"/>
              <w:bottom w:val="single" w:sz="4" w:space="0" w:color="000000"/>
              <w:right w:val="nil"/>
            </w:tcBorders>
            <w:shd w:val="clear" w:color="000000" w:fill="FFFFFF"/>
            <w:noWrap/>
            <w:vAlign w:val="center"/>
            <w:hideMark/>
          </w:tcPr>
          <w:p w14:paraId="28A51D56"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638,750</w:t>
            </w:r>
          </w:p>
        </w:tc>
        <w:tc>
          <w:tcPr>
            <w:tcW w:w="460" w:type="pct"/>
            <w:tcBorders>
              <w:top w:val="nil"/>
              <w:left w:val="nil"/>
              <w:bottom w:val="single" w:sz="4" w:space="0" w:color="000000"/>
              <w:right w:val="nil"/>
            </w:tcBorders>
            <w:shd w:val="clear" w:color="000000" w:fill="E6F2FF"/>
            <w:noWrap/>
            <w:vAlign w:val="center"/>
            <w:hideMark/>
          </w:tcPr>
          <w:p w14:paraId="61634003"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642,542</w:t>
            </w:r>
          </w:p>
        </w:tc>
        <w:tc>
          <w:tcPr>
            <w:tcW w:w="526" w:type="pct"/>
            <w:tcBorders>
              <w:top w:val="nil"/>
              <w:left w:val="nil"/>
              <w:bottom w:val="single" w:sz="4" w:space="0" w:color="000000"/>
              <w:right w:val="nil"/>
            </w:tcBorders>
            <w:shd w:val="clear" w:color="000000" w:fill="FFFFFF"/>
            <w:noWrap/>
            <w:vAlign w:val="center"/>
            <w:hideMark/>
          </w:tcPr>
          <w:p w14:paraId="379B8FC7"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661,583</w:t>
            </w:r>
          </w:p>
        </w:tc>
        <w:tc>
          <w:tcPr>
            <w:tcW w:w="526" w:type="pct"/>
            <w:tcBorders>
              <w:top w:val="nil"/>
              <w:left w:val="nil"/>
              <w:bottom w:val="single" w:sz="4" w:space="0" w:color="000000"/>
              <w:right w:val="nil"/>
            </w:tcBorders>
            <w:shd w:val="clear" w:color="000000" w:fill="FFFFFF"/>
            <w:noWrap/>
            <w:vAlign w:val="center"/>
            <w:hideMark/>
          </w:tcPr>
          <w:p w14:paraId="65E79337"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702,278</w:t>
            </w:r>
          </w:p>
        </w:tc>
        <w:tc>
          <w:tcPr>
            <w:tcW w:w="527" w:type="pct"/>
            <w:tcBorders>
              <w:top w:val="nil"/>
              <w:left w:val="nil"/>
              <w:bottom w:val="single" w:sz="4" w:space="0" w:color="000000"/>
              <w:right w:val="nil"/>
            </w:tcBorders>
            <w:shd w:val="clear" w:color="000000" w:fill="FFFFFF"/>
            <w:noWrap/>
            <w:vAlign w:val="center"/>
            <w:hideMark/>
          </w:tcPr>
          <w:p w14:paraId="0007A197"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742,299</w:t>
            </w:r>
          </w:p>
        </w:tc>
      </w:tr>
      <w:tr w:rsidR="001B7830" w:rsidRPr="00673C1F" w14:paraId="482A4814" w14:textId="77777777" w:rsidTr="00CE2887">
        <w:trPr>
          <w:trHeight w:hRule="exact" w:val="60"/>
        </w:trPr>
        <w:tc>
          <w:tcPr>
            <w:tcW w:w="1947" w:type="pct"/>
            <w:tcBorders>
              <w:top w:val="nil"/>
              <w:left w:val="nil"/>
              <w:bottom w:val="nil"/>
              <w:right w:val="nil"/>
            </w:tcBorders>
            <w:shd w:val="clear" w:color="000000" w:fill="FFFFFF"/>
            <w:noWrap/>
            <w:vAlign w:val="center"/>
            <w:hideMark/>
          </w:tcPr>
          <w:p w14:paraId="7CA61706" w14:textId="77777777" w:rsidR="001B7830" w:rsidRPr="00673C1F" w:rsidRDefault="001B7830" w:rsidP="001B7830">
            <w:pPr>
              <w:spacing w:before="0" w:after="0" w:line="240" w:lineRule="auto"/>
              <w:rPr>
                <w:rFonts w:ascii="Arial" w:hAnsi="Arial" w:cs="Arial"/>
                <w:b/>
                <w:bCs/>
                <w:sz w:val="16"/>
                <w:szCs w:val="16"/>
              </w:rPr>
            </w:pPr>
            <w:r w:rsidRPr="00673C1F">
              <w:rPr>
                <w:rFonts w:ascii="Arial" w:hAnsi="Arial" w:cs="Arial"/>
                <w:b/>
                <w:bCs/>
                <w:sz w:val="16"/>
                <w:szCs w:val="16"/>
              </w:rPr>
              <w:t> </w:t>
            </w:r>
          </w:p>
        </w:tc>
        <w:tc>
          <w:tcPr>
            <w:tcW w:w="500" w:type="pct"/>
            <w:tcBorders>
              <w:top w:val="nil"/>
              <w:left w:val="nil"/>
              <w:bottom w:val="nil"/>
              <w:right w:val="nil"/>
            </w:tcBorders>
            <w:shd w:val="clear" w:color="000000" w:fill="FFFFFF"/>
            <w:noWrap/>
            <w:vAlign w:val="center"/>
            <w:hideMark/>
          </w:tcPr>
          <w:p w14:paraId="0ACE316D"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54" w:type="pct"/>
            <w:tcBorders>
              <w:top w:val="nil"/>
              <w:left w:val="nil"/>
              <w:bottom w:val="nil"/>
              <w:right w:val="nil"/>
            </w:tcBorders>
            <w:shd w:val="clear" w:color="000000" w:fill="FFFFFF"/>
            <w:noWrap/>
            <w:vAlign w:val="center"/>
            <w:hideMark/>
          </w:tcPr>
          <w:p w14:paraId="234AD9F9"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460" w:type="pct"/>
            <w:tcBorders>
              <w:top w:val="nil"/>
              <w:left w:val="nil"/>
              <w:bottom w:val="nil"/>
              <w:right w:val="nil"/>
            </w:tcBorders>
            <w:shd w:val="clear" w:color="000000" w:fill="FFFFFF"/>
            <w:noWrap/>
            <w:vAlign w:val="center"/>
            <w:hideMark/>
          </w:tcPr>
          <w:p w14:paraId="0998E1DA" w14:textId="77777777" w:rsidR="001B7830" w:rsidRPr="00673C1F" w:rsidRDefault="001B7830" w:rsidP="001B7830">
            <w:pPr>
              <w:spacing w:before="0" w:after="0" w:line="240" w:lineRule="auto"/>
              <w:rPr>
                <w:rFonts w:ascii="Arial" w:hAnsi="Arial" w:cs="Arial"/>
                <w:b/>
                <w:bCs/>
                <w:sz w:val="16"/>
                <w:szCs w:val="16"/>
              </w:rPr>
            </w:pPr>
            <w:r w:rsidRPr="00673C1F">
              <w:rPr>
                <w:rFonts w:ascii="Arial" w:hAnsi="Arial" w:cs="Arial"/>
                <w:b/>
                <w:bCs/>
                <w:sz w:val="16"/>
                <w:szCs w:val="16"/>
              </w:rPr>
              <w:t> </w:t>
            </w:r>
          </w:p>
        </w:tc>
        <w:tc>
          <w:tcPr>
            <w:tcW w:w="460" w:type="pct"/>
            <w:tcBorders>
              <w:top w:val="nil"/>
              <w:left w:val="nil"/>
              <w:bottom w:val="nil"/>
              <w:right w:val="nil"/>
            </w:tcBorders>
            <w:shd w:val="clear" w:color="000000" w:fill="E6F2FF"/>
            <w:noWrap/>
            <w:vAlign w:val="center"/>
            <w:hideMark/>
          </w:tcPr>
          <w:p w14:paraId="491D2B1B" w14:textId="77777777" w:rsidR="001B7830" w:rsidRPr="00673C1F" w:rsidRDefault="001B7830" w:rsidP="001B7830">
            <w:pPr>
              <w:spacing w:before="0" w:after="0" w:line="240" w:lineRule="auto"/>
              <w:rPr>
                <w:rFonts w:ascii="Arial" w:hAnsi="Arial" w:cs="Arial"/>
                <w:b/>
                <w:bCs/>
                <w:sz w:val="16"/>
                <w:szCs w:val="16"/>
              </w:rPr>
            </w:pPr>
            <w:r w:rsidRPr="00673C1F">
              <w:rPr>
                <w:rFonts w:ascii="Arial" w:hAnsi="Arial" w:cs="Arial"/>
                <w:b/>
                <w:bCs/>
                <w:sz w:val="16"/>
                <w:szCs w:val="16"/>
              </w:rPr>
              <w:t> </w:t>
            </w:r>
          </w:p>
        </w:tc>
        <w:tc>
          <w:tcPr>
            <w:tcW w:w="526" w:type="pct"/>
            <w:tcBorders>
              <w:top w:val="nil"/>
              <w:left w:val="nil"/>
              <w:bottom w:val="nil"/>
              <w:right w:val="nil"/>
            </w:tcBorders>
            <w:shd w:val="clear" w:color="000000" w:fill="FFFFFF"/>
            <w:noWrap/>
            <w:vAlign w:val="center"/>
            <w:hideMark/>
          </w:tcPr>
          <w:p w14:paraId="7F0B8C83"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526" w:type="pct"/>
            <w:tcBorders>
              <w:top w:val="nil"/>
              <w:left w:val="nil"/>
              <w:bottom w:val="nil"/>
              <w:right w:val="nil"/>
            </w:tcBorders>
            <w:shd w:val="clear" w:color="000000" w:fill="FFFFFF"/>
            <w:noWrap/>
            <w:vAlign w:val="center"/>
            <w:hideMark/>
          </w:tcPr>
          <w:p w14:paraId="791A7865"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527" w:type="pct"/>
            <w:tcBorders>
              <w:top w:val="nil"/>
              <w:left w:val="nil"/>
              <w:bottom w:val="nil"/>
              <w:right w:val="nil"/>
            </w:tcBorders>
            <w:shd w:val="clear" w:color="000000" w:fill="FFFFFF"/>
            <w:noWrap/>
            <w:vAlign w:val="center"/>
            <w:hideMark/>
          </w:tcPr>
          <w:p w14:paraId="0789AFCF"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 </w:t>
            </w:r>
          </w:p>
        </w:tc>
      </w:tr>
      <w:tr w:rsidR="001B7830" w:rsidRPr="00673C1F" w14:paraId="55ACA954" w14:textId="77777777" w:rsidTr="00CE2887">
        <w:trPr>
          <w:trHeight w:hRule="exact" w:val="225"/>
        </w:trPr>
        <w:tc>
          <w:tcPr>
            <w:tcW w:w="1947" w:type="pct"/>
            <w:tcBorders>
              <w:top w:val="nil"/>
              <w:left w:val="nil"/>
              <w:bottom w:val="nil"/>
              <w:right w:val="nil"/>
            </w:tcBorders>
            <w:shd w:val="clear" w:color="000000" w:fill="FFFFFF"/>
            <w:noWrap/>
            <w:vAlign w:val="center"/>
            <w:hideMark/>
          </w:tcPr>
          <w:p w14:paraId="191C03BB" w14:textId="77777777" w:rsidR="001B7830" w:rsidRPr="00673C1F" w:rsidRDefault="001B7830" w:rsidP="001B7830">
            <w:pPr>
              <w:spacing w:before="0" w:after="0" w:line="240" w:lineRule="auto"/>
              <w:rPr>
                <w:rFonts w:ascii="Arial" w:hAnsi="Arial" w:cs="Arial"/>
                <w:sz w:val="16"/>
                <w:szCs w:val="16"/>
              </w:rPr>
            </w:pPr>
            <w:r w:rsidRPr="00673C1F">
              <w:rPr>
                <w:rFonts w:ascii="Arial" w:hAnsi="Arial" w:cs="Arial"/>
                <w:sz w:val="16"/>
                <w:szCs w:val="16"/>
              </w:rPr>
              <w:t>Sales of goods and services</w:t>
            </w:r>
          </w:p>
        </w:tc>
        <w:tc>
          <w:tcPr>
            <w:tcW w:w="500" w:type="pct"/>
            <w:tcBorders>
              <w:top w:val="nil"/>
              <w:left w:val="nil"/>
              <w:bottom w:val="nil"/>
              <w:right w:val="nil"/>
            </w:tcBorders>
            <w:shd w:val="clear" w:color="000000" w:fill="FFFFFF"/>
            <w:noWrap/>
            <w:vAlign w:val="center"/>
            <w:hideMark/>
          </w:tcPr>
          <w:p w14:paraId="62C7D5F4"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19,282</w:t>
            </w:r>
          </w:p>
        </w:tc>
        <w:tc>
          <w:tcPr>
            <w:tcW w:w="54" w:type="pct"/>
            <w:tcBorders>
              <w:top w:val="nil"/>
              <w:left w:val="nil"/>
              <w:bottom w:val="nil"/>
              <w:right w:val="nil"/>
            </w:tcBorders>
            <w:shd w:val="clear" w:color="000000" w:fill="FFFFFF"/>
            <w:noWrap/>
            <w:vAlign w:val="center"/>
            <w:hideMark/>
          </w:tcPr>
          <w:p w14:paraId="2767D440"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c>
          <w:tcPr>
            <w:tcW w:w="460" w:type="pct"/>
            <w:tcBorders>
              <w:top w:val="nil"/>
              <w:left w:val="nil"/>
              <w:bottom w:val="nil"/>
              <w:right w:val="nil"/>
            </w:tcBorders>
            <w:shd w:val="clear" w:color="000000" w:fill="FFFFFF"/>
            <w:noWrap/>
            <w:vAlign w:val="center"/>
            <w:hideMark/>
          </w:tcPr>
          <w:p w14:paraId="55465039"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19,938</w:t>
            </w:r>
          </w:p>
        </w:tc>
        <w:tc>
          <w:tcPr>
            <w:tcW w:w="460" w:type="pct"/>
            <w:tcBorders>
              <w:top w:val="nil"/>
              <w:left w:val="nil"/>
              <w:bottom w:val="nil"/>
              <w:right w:val="nil"/>
            </w:tcBorders>
            <w:shd w:val="clear" w:color="000000" w:fill="E6F2FF"/>
            <w:noWrap/>
            <w:vAlign w:val="center"/>
            <w:hideMark/>
          </w:tcPr>
          <w:p w14:paraId="058084A9"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21,396</w:t>
            </w:r>
          </w:p>
        </w:tc>
        <w:tc>
          <w:tcPr>
            <w:tcW w:w="526" w:type="pct"/>
            <w:tcBorders>
              <w:top w:val="nil"/>
              <w:left w:val="nil"/>
              <w:bottom w:val="nil"/>
              <w:right w:val="nil"/>
            </w:tcBorders>
            <w:shd w:val="clear" w:color="000000" w:fill="FFFFFF"/>
            <w:noWrap/>
            <w:vAlign w:val="center"/>
            <w:hideMark/>
          </w:tcPr>
          <w:p w14:paraId="2E6DF4BA"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22,549</w:t>
            </w:r>
          </w:p>
        </w:tc>
        <w:tc>
          <w:tcPr>
            <w:tcW w:w="526" w:type="pct"/>
            <w:tcBorders>
              <w:top w:val="nil"/>
              <w:left w:val="nil"/>
              <w:bottom w:val="nil"/>
              <w:right w:val="nil"/>
            </w:tcBorders>
            <w:shd w:val="clear" w:color="000000" w:fill="FFFFFF"/>
            <w:noWrap/>
            <w:vAlign w:val="center"/>
            <w:hideMark/>
          </w:tcPr>
          <w:p w14:paraId="4B52594A"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23,506</w:t>
            </w:r>
          </w:p>
        </w:tc>
        <w:tc>
          <w:tcPr>
            <w:tcW w:w="527" w:type="pct"/>
            <w:tcBorders>
              <w:top w:val="nil"/>
              <w:left w:val="nil"/>
              <w:bottom w:val="nil"/>
              <w:right w:val="nil"/>
            </w:tcBorders>
            <w:shd w:val="clear" w:color="000000" w:fill="FFFFFF"/>
            <w:noWrap/>
            <w:vAlign w:val="center"/>
            <w:hideMark/>
          </w:tcPr>
          <w:p w14:paraId="31383DEE"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23,888</w:t>
            </w:r>
          </w:p>
        </w:tc>
      </w:tr>
      <w:tr w:rsidR="001B7830" w:rsidRPr="00673C1F" w14:paraId="2EE25614" w14:textId="77777777" w:rsidTr="00CE2887">
        <w:trPr>
          <w:trHeight w:hRule="exact" w:val="225"/>
        </w:trPr>
        <w:tc>
          <w:tcPr>
            <w:tcW w:w="1947" w:type="pct"/>
            <w:tcBorders>
              <w:top w:val="nil"/>
              <w:left w:val="nil"/>
              <w:bottom w:val="nil"/>
              <w:right w:val="nil"/>
            </w:tcBorders>
            <w:shd w:val="clear" w:color="000000" w:fill="FFFFFF"/>
            <w:noWrap/>
            <w:vAlign w:val="center"/>
            <w:hideMark/>
          </w:tcPr>
          <w:p w14:paraId="5BE8DB7F" w14:textId="77777777" w:rsidR="001B7830" w:rsidRPr="00673C1F" w:rsidRDefault="001B7830" w:rsidP="001B7830">
            <w:pPr>
              <w:spacing w:before="0" w:after="0" w:line="240" w:lineRule="auto"/>
              <w:rPr>
                <w:rFonts w:ascii="Arial" w:hAnsi="Arial" w:cs="Arial"/>
                <w:sz w:val="16"/>
                <w:szCs w:val="16"/>
              </w:rPr>
            </w:pPr>
            <w:r w:rsidRPr="00673C1F">
              <w:rPr>
                <w:rFonts w:ascii="Arial" w:hAnsi="Arial" w:cs="Arial"/>
                <w:sz w:val="16"/>
                <w:szCs w:val="16"/>
              </w:rPr>
              <w:t>Interest received</w:t>
            </w:r>
          </w:p>
        </w:tc>
        <w:tc>
          <w:tcPr>
            <w:tcW w:w="500" w:type="pct"/>
            <w:tcBorders>
              <w:top w:val="nil"/>
              <w:left w:val="nil"/>
              <w:bottom w:val="nil"/>
              <w:right w:val="nil"/>
            </w:tcBorders>
            <w:shd w:val="clear" w:color="000000" w:fill="FFFFFF"/>
            <w:noWrap/>
            <w:vAlign w:val="center"/>
            <w:hideMark/>
          </w:tcPr>
          <w:p w14:paraId="0F398B21"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7,009</w:t>
            </w:r>
          </w:p>
        </w:tc>
        <w:tc>
          <w:tcPr>
            <w:tcW w:w="54" w:type="pct"/>
            <w:tcBorders>
              <w:top w:val="nil"/>
              <w:left w:val="nil"/>
              <w:bottom w:val="nil"/>
              <w:right w:val="nil"/>
            </w:tcBorders>
            <w:shd w:val="clear" w:color="000000" w:fill="FFFFFF"/>
            <w:noWrap/>
            <w:vAlign w:val="center"/>
            <w:hideMark/>
          </w:tcPr>
          <w:p w14:paraId="2D9B2B5C"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c>
          <w:tcPr>
            <w:tcW w:w="460" w:type="pct"/>
            <w:tcBorders>
              <w:top w:val="nil"/>
              <w:left w:val="nil"/>
              <w:bottom w:val="nil"/>
              <w:right w:val="nil"/>
            </w:tcBorders>
            <w:shd w:val="clear" w:color="000000" w:fill="FFFFFF"/>
            <w:noWrap/>
            <w:vAlign w:val="center"/>
            <w:hideMark/>
          </w:tcPr>
          <w:p w14:paraId="34DB2F01"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10,404</w:t>
            </w:r>
          </w:p>
        </w:tc>
        <w:tc>
          <w:tcPr>
            <w:tcW w:w="460" w:type="pct"/>
            <w:tcBorders>
              <w:top w:val="nil"/>
              <w:left w:val="nil"/>
              <w:bottom w:val="nil"/>
              <w:right w:val="nil"/>
            </w:tcBorders>
            <w:shd w:val="clear" w:color="000000" w:fill="E6F2FF"/>
            <w:noWrap/>
            <w:vAlign w:val="center"/>
            <w:hideMark/>
          </w:tcPr>
          <w:p w14:paraId="57A7173F"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9,275</w:t>
            </w:r>
          </w:p>
        </w:tc>
        <w:tc>
          <w:tcPr>
            <w:tcW w:w="526" w:type="pct"/>
            <w:tcBorders>
              <w:top w:val="nil"/>
              <w:left w:val="nil"/>
              <w:bottom w:val="nil"/>
              <w:right w:val="nil"/>
            </w:tcBorders>
            <w:shd w:val="clear" w:color="000000" w:fill="FFFFFF"/>
            <w:noWrap/>
            <w:vAlign w:val="center"/>
            <w:hideMark/>
          </w:tcPr>
          <w:p w14:paraId="4033BC94"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8,705</w:t>
            </w:r>
          </w:p>
        </w:tc>
        <w:tc>
          <w:tcPr>
            <w:tcW w:w="526" w:type="pct"/>
            <w:tcBorders>
              <w:top w:val="nil"/>
              <w:left w:val="nil"/>
              <w:bottom w:val="nil"/>
              <w:right w:val="nil"/>
            </w:tcBorders>
            <w:shd w:val="clear" w:color="000000" w:fill="FFFFFF"/>
            <w:noWrap/>
            <w:vAlign w:val="center"/>
            <w:hideMark/>
          </w:tcPr>
          <w:p w14:paraId="1BD65ACD"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9,051</w:t>
            </w:r>
          </w:p>
        </w:tc>
        <w:tc>
          <w:tcPr>
            <w:tcW w:w="527" w:type="pct"/>
            <w:tcBorders>
              <w:top w:val="nil"/>
              <w:left w:val="nil"/>
              <w:bottom w:val="nil"/>
              <w:right w:val="nil"/>
            </w:tcBorders>
            <w:shd w:val="clear" w:color="000000" w:fill="FFFFFF"/>
            <w:noWrap/>
            <w:vAlign w:val="center"/>
            <w:hideMark/>
          </w:tcPr>
          <w:p w14:paraId="09662692"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9,591</w:t>
            </w:r>
          </w:p>
        </w:tc>
      </w:tr>
      <w:tr w:rsidR="001B7830" w:rsidRPr="00673C1F" w14:paraId="3F4C3836" w14:textId="77777777" w:rsidTr="00CE2887">
        <w:trPr>
          <w:trHeight w:hRule="exact" w:val="225"/>
        </w:trPr>
        <w:tc>
          <w:tcPr>
            <w:tcW w:w="1947" w:type="pct"/>
            <w:tcBorders>
              <w:top w:val="nil"/>
              <w:left w:val="nil"/>
              <w:bottom w:val="nil"/>
              <w:right w:val="nil"/>
            </w:tcBorders>
            <w:shd w:val="clear" w:color="000000" w:fill="FFFFFF"/>
            <w:noWrap/>
            <w:vAlign w:val="center"/>
            <w:hideMark/>
          </w:tcPr>
          <w:p w14:paraId="3C0D0918" w14:textId="77777777" w:rsidR="001B7830" w:rsidRPr="00673C1F" w:rsidRDefault="001B7830" w:rsidP="001B7830">
            <w:pPr>
              <w:spacing w:before="0" w:after="0" w:line="240" w:lineRule="auto"/>
              <w:rPr>
                <w:rFonts w:ascii="Arial" w:hAnsi="Arial" w:cs="Arial"/>
                <w:sz w:val="16"/>
                <w:szCs w:val="16"/>
              </w:rPr>
            </w:pPr>
            <w:r w:rsidRPr="00673C1F">
              <w:rPr>
                <w:rFonts w:ascii="Arial" w:hAnsi="Arial" w:cs="Arial"/>
                <w:sz w:val="16"/>
                <w:szCs w:val="16"/>
              </w:rPr>
              <w:t>Dividends and distributions</w:t>
            </w:r>
          </w:p>
        </w:tc>
        <w:tc>
          <w:tcPr>
            <w:tcW w:w="500" w:type="pct"/>
            <w:tcBorders>
              <w:top w:val="nil"/>
              <w:left w:val="nil"/>
              <w:bottom w:val="nil"/>
              <w:right w:val="nil"/>
            </w:tcBorders>
            <w:shd w:val="clear" w:color="000000" w:fill="FFFFFF"/>
            <w:noWrap/>
            <w:vAlign w:val="center"/>
            <w:hideMark/>
          </w:tcPr>
          <w:p w14:paraId="5B22B0AA"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5,164</w:t>
            </w:r>
          </w:p>
        </w:tc>
        <w:tc>
          <w:tcPr>
            <w:tcW w:w="54" w:type="pct"/>
            <w:tcBorders>
              <w:top w:val="nil"/>
              <w:left w:val="nil"/>
              <w:bottom w:val="nil"/>
              <w:right w:val="nil"/>
            </w:tcBorders>
            <w:shd w:val="clear" w:color="000000" w:fill="FFFFFF"/>
            <w:noWrap/>
            <w:vAlign w:val="center"/>
            <w:hideMark/>
          </w:tcPr>
          <w:p w14:paraId="5CE04685"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c>
          <w:tcPr>
            <w:tcW w:w="460" w:type="pct"/>
            <w:tcBorders>
              <w:top w:val="nil"/>
              <w:left w:val="nil"/>
              <w:bottom w:val="nil"/>
              <w:right w:val="nil"/>
            </w:tcBorders>
            <w:shd w:val="clear" w:color="000000" w:fill="FFFFFF"/>
            <w:noWrap/>
            <w:vAlign w:val="center"/>
            <w:hideMark/>
          </w:tcPr>
          <w:p w14:paraId="22FE3136"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5,918</w:t>
            </w:r>
          </w:p>
        </w:tc>
        <w:tc>
          <w:tcPr>
            <w:tcW w:w="460" w:type="pct"/>
            <w:tcBorders>
              <w:top w:val="nil"/>
              <w:left w:val="nil"/>
              <w:bottom w:val="nil"/>
              <w:right w:val="nil"/>
            </w:tcBorders>
            <w:shd w:val="clear" w:color="000000" w:fill="E6F2FF"/>
            <w:noWrap/>
            <w:vAlign w:val="center"/>
            <w:hideMark/>
          </w:tcPr>
          <w:p w14:paraId="0CB2B6BE"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6,789</w:t>
            </w:r>
          </w:p>
        </w:tc>
        <w:tc>
          <w:tcPr>
            <w:tcW w:w="526" w:type="pct"/>
            <w:tcBorders>
              <w:top w:val="nil"/>
              <w:left w:val="nil"/>
              <w:bottom w:val="nil"/>
              <w:right w:val="nil"/>
            </w:tcBorders>
            <w:shd w:val="clear" w:color="000000" w:fill="FFFFFF"/>
            <w:noWrap/>
            <w:vAlign w:val="center"/>
            <w:hideMark/>
          </w:tcPr>
          <w:p w14:paraId="3F194D7F"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7,160</w:t>
            </w:r>
          </w:p>
        </w:tc>
        <w:tc>
          <w:tcPr>
            <w:tcW w:w="526" w:type="pct"/>
            <w:tcBorders>
              <w:top w:val="nil"/>
              <w:left w:val="nil"/>
              <w:bottom w:val="nil"/>
              <w:right w:val="nil"/>
            </w:tcBorders>
            <w:shd w:val="clear" w:color="000000" w:fill="FFFFFF"/>
            <w:noWrap/>
            <w:vAlign w:val="center"/>
            <w:hideMark/>
          </w:tcPr>
          <w:p w14:paraId="48BEDD00"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7,522</w:t>
            </w:r>
          </w:p>
        </w:tc>
        <w:tc>
          <w:tcPr>
            <w:tcW w:w="527" w:type="pct"/>
            <w:tcBorders>
              <w:top w:val="nil"/>
              <w:left w:val="nil"/>
              <w:bottom w:val="nil"/>
              <w:right w:val="nil"/>
            </w:tcBorders>
            <w:shd w:val="clear" w:color="000000" w:fill="FFFFFF"/>
            <w:noWrap/>
            <w:vAlign w:val="center"/>
            <w:hideMark/>
          </w:tcPr>
          <w:p w14:paraId="5D311700"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8,001</w:t>
            </w:r>
          </w:p>
        </w:tc>
      </w:tr>
      <w:tr w:rsidR="001B7830" w:rsidRPr="00673C1F" w14:paraId="68D3BB0C" w14:textId="77777777" w:rsidTr="00CE2887">
        <w:trPr>
          <w:trHeight w:hRule="exact" w:val="225"/>
        </w:trPr>
        <w:tc>
          <w:tcPr>
            <w:tcW w:w="1947" w:type="pct"/>
            <w:tcBorders>
              <w:top w:val="nil"/>
              <w:left w:val="nil"/>
              <w:bottom w:val="nil"/>
              <w:right w:val="nil"/>
            </w:tcBorders>
            <w:shd w:val="clear" w:color="000000" w:fill="FFFFFF"/>
            <w:noWrap/>
            <w:vAlign w:val="center"/>
            <w:hideMark/>
          </w:tcPr>
          <w:p w14:paraId="6A1547F5" w14:textId="03AD3B48" w:rsidR="001B7830" w:rsidRPr="00673C1F" w:rsidRDefault="001B7830" w:rsidP="001B7830">
            <w:pPr>
              <w:spacing w:before="0" w:after="0" w:line="240" w:lineRule="auto"/>
              <w:rPr>
                <w:rFonts w:ascii="Arial" w:hAnsi="Arial" w:cs="Arial"/>
                <w:sz w:val="16"/>
                <w:szCs w:val="16"/>
              </w:rPr>
            </w:pPr>
            <w:r w:rsidRPr="00673C1F">
              <w:rPr>
                <w:rFonts w:ascii="Arial" w:hAnsi="Arial" w:cs="Arial"/>
                <w:sz w:val="16"/>
                <w:szCs w:val="16"/>
              </w:rPr>
              <w:t>Other non</w:t>
            </w:r>
            <w:r w:rsidR="006D727E" w:rsidRPr="00673C1F">
              <w:rPr>
                <w:rFonts w:ascii="Arial" w:hAnsi="Arial" w:cs="Arial"/>
                <w:sz w:val="16"/>
                <w:szCs w:val="16"/>
              </w:rPr>
              <w:noBreakHyphen/>
            </w:r>
            <w:r w:rsidRPr="00673C1F">
              <w:rPr>
                <w:rFonts w:ascii="Arial" w:hAnsi="Arial" w:cs="Arial"/>
                <w:sz w:val="16"/>
                <w:szCs w:val="16"/>
              </w:rPr>
              <w:t>taxation receipts</w:t>
            </w:r>
          </w:p>
        </w:tc>
        <w:tc>
          <w:tcPr>
            <w:tcW w:w="500" w:type="pct"/>
            <w:tcBorders>
              <w:top w:val="nil"/>
              <w:left w:val="nil"/>
              <w:bottom w:val="nil"/>
              <w:right w:val="nil"/>
            </w:tcBorders>
            <w:shd w:val="clear" w:color="000000" w:fill="FFFFFF"/>
            <w:noWrap/>
            <w:vAlign w:val="center"/>
            <w:hideMark/>
          </w:tcPr>
          <w:p w14:paraId="4D7661C3"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16,722</w:t>
            </w:r>
          </w:p>
        </w:tc>
        <w:tc>
          <w:tcPr>
            <w:tcW w:w="54" w:type="pct"/>
            <w:tcBorders>
              <w:top w:val="nil"/>
              <w:left w:val="nil"/>
              <w:bottom w:val="nil"/>
              <w:right w:val="nil"/>
            </w:tcBorders>
            <w:shd w:val="clear" w:color="000000" w:fill="FFFFFF"/>
            <w:noWrap/>
            <w:vAlign w:val="center"/>
            <w:hideMark/>
          </w:tcPr>
          <w:p w14:paraId="519154EC"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 </w:t>
            </w:r>
          </w:p>
        </w:tc>
        <w:tc>
          <w:tcPr>
            <w:tcW w:w="460" w:type="pct"/>
            <w:tcBorders>
              <w:top w:val="nil"/>
              <w:left w:val="nil"/>
              <w:bottom w:val="nil"/>
              <w:right w:val="nil"/>
            </w:tcBorders>
            <w:shd w:val="clear" w:color="000000" w:fill="FFFFFF"/>
            <w:noWrap/>
            <w:vAlign w:val="center"/>
            <w:hideMark/>
          </w:tcPr>
          <w:p w14:paraId="4F73CED4"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17,297</w:t>
            </w:r>
          </w:p>
        </w:tc>
        <w:tc>
          <w:tcPr>
            <w:tcW w:w="460" w:type="pct"/>
            <w:tcBorders>
              <w:top w:val="nil"/>
              <w:left w:val="nil"/>
              <w:bottom w:val="nil"/>
              <w:right w:val="nil"/>
            </w:tcBorders>
            <w:shd w:val="clear" w:color="000000" w:fill="E6F2FF"/>
            <w:noWrap/>
            <w:vAlign w:val="center"/>
            <w:hideMark/>
          </w:tcPr>
          <w:p w14:paraId="28D286D7"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18,444</w:t>
            </w:r>
          </w:p>
        </w:tc>
        <w:tc>
          <w:tcPr>
            <w:tcW w:w="526" w:type="pct"/>
            <w:tcBorders>
              <w:top w:val="nil"/>
              <w:left w:val="nil"/>
              <w:bottom w:val="nil"/>
              <w:right w:val="nil"/>
            </w:tcBorders>
            <w:shd w:val="clear" w:color="000000" w:fill="FFFFFF"/>
            <w:noWrap/>
            <w:vAlign w:val="center"/>
            <w:hideMark/>
          </w:tcPr>
          <w:p w14:paraId="2F8BA832"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19,357</w:t>
            </w:r>
          </w:p>
        </w:tc>
        <w:tc>
          <w:tcPr>
            <w:tcW w:w="526" w:type="pct"/>
            <w:tcBorders>
              <w:top w:val="nil"/>
              <w:left w:val="nil"/>
              <w:bottom w:val="nil"/>
              <w:right w:val="nil"/>
            </w:tcBorders>
            <w:shd w:val="clear" w:color="000000" w:fill="FFFFFF"/>
            <w:noWrap/>
            <w:vAlign w:val="center"/>
            <w:hideMark/>
          </w:tcPr>
          <w:p w14:paraId="1BC04196"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17,652</w:t>
            </w:r>
          </w:p>
        </w:tc>
        <w:tc>
          <w:tcPr>
            <w:tcW w:w="527" w:type="pct"/>
            <w:tcBorders>
              <w:top w:val="nil"/>
              <w:left w:val="nil"/>
              <w:bottom w:val="nil"/>
              <w:right w:val="nil"/>
            </w:tcBorders>
            <w:shd w:val="clear" w:color="000000" w:fill="FFFFFF"/>
            <w:noWrap/>
            <w:vAlign w:val="center"/>
            <w:hideMark/>
          </w:tcPr>
          <w:p w14:paraId="39A0CC8B" w14:textId="77777777" w:rsidR="001B7830" w:rsidRPr="00673C1F" w:rsidRDefault="001B7830" w:rsidP="001B7830">
            <w:pPr>
              <w:spacing w:before="0" w:after="0" w:line="240" w:lineRule="auto"/>
              <w:jc w:val="right"/>
              <w:rPr>
                <w:rFonts w:ascii="Arial" w:hAnsi="Arial" w:cs="Arial"/>
                <w:sz w:val="16"/>
                <w:szCs w:val="16"/>
              </w:rPr>
            </w:pPr>
            <w:r w:rsidRPr="00673C1F">
              <w:rPr>
                <w:rFonts w:ascii="Arial" w:hAnsi="Arial" w:cs="Arial"/>
                <w:sz w:val="16"/>
                <w:szCs w:val="16"/>
              </w:rPr>
              <w:t>18,034</w:t>
            </w:r>
          </w:p>
        </w:tc>
      </w:tr>
      <w:tr w:rsidR="001B7830" w:rsidRPr="00673C1F" w14:paraId="22B63FC3" w14:textId="77777777" w:rsidTr="00CE2887">
        <w:trPr>
          <w:trHeight w:hRule="exact" w:val="225"/>
        </w:trPr>
        <w:tc>
          <w:tcPr>
            <w:tcW w:w="1947" w:type="pct"/>
            <w:tcBorders>
              <w:top w:val="nil"/>
              <w:left w:val="nil"/>
              <w:bottom w:val="nil"/>
              <w:right w:val="nil"/>
            </w:tcBorders>
            <w:shd w:val="clear" w:color="000000" w:fill="FFFFFF"/>
            <w:noWrap/>
            <w:vAlign w:val="center"/>
            <w:hideMark/>
          </w:tcPr>
          <w:p w14:paraId="1DBBB14D" w14:textId="3BB115D1" w:rsidR="001B7830" w:rsidRPr="00673C1F" w:rsidRDefault="001B7830" w:rsidP="001B7830">
            <w:pPr>
              <w:spacing w:before="0" w:after="0" w:line="240" w:lineRule="auto"/>
              <w:rPr>
                <w:rFonts w:ascii="Arial" w:hAnsi="Arial" w:cs="Arial"/>
                <w:b/>
                <w:bCs/>
                <w:sz w:val="16"/>
                <w:szCs w:val="16"/>
              </w:rPr>
            </w:pPr>
            <w:r w:rsidRPr="00673C1F">
              <w:rPr>
                <w:rFonts w:ascii="Arial" w:hAnsi="Arial" w:cs="Arial"/>
                <w:b/>
                <w:bCs/>
                <w:sz w:val="16"/>
                <w:szCs w:val="16"/>
              </w:rPr>
              <w:t>Non</w:t>
            </w:r>
            <w:r w:rsidR="006D727E" w:rsidRPr="00673C1F">
              <w:rPr>
                <w:rFonts w:ascii="Arial" w:hAnsi="Arial" w:cs="Arial"/>
                <w:b/>
                <w:bCs/>
                <w:sz w:val="16"/>
                <w:szCs w:val="16"/>
              </w:rPr>
              <w:noBreakHyphen/>
            </w:r>
            <w:r w:rsidRPr="00673C1F">
              <w:rPr>
                <w:rFonts w:ascii="Arial" w:hAnsi="Arial" w:cs="Arial"/>
                <w:b/>
                <w:bCs/>
                <w:sz w:val="16"/>
                <w:szCs w:val="16"/>
              </w:rPr>
              <w:t>taxation receipts</w:t>
            </w:r>
          </w:p>
        </w:tc>
        <w:tc>
          <w:tcPr>
            <w:tcW w:w="500" w:type="pct"/>
            <w:tcBorders>
              <w:top w:val="single" w:sz="4" w:space="0" w:color="000000"/>
              <w:left w:val="nil"/>
              <w:bottom w:val="single" w:sz="4" w:space="0" w:color="000000"/>
              <w:right w:val="nil"/>
            </w:tcBorders>
            <w:shd w:val="clear" w:color="000000" w:fill="FFFFFF"/>
            <w:noWrap/>
            <w:vAlign w:val="center"/>
            <w:hideMark/>
          </w:tcPr>
          <w:p w14:paraId="448D86B4"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48,177</w:t>
            </w:r>
          </w:p>
        </w:tc>
        <w:tc>
          <w:tcPr>
            <w:tcW w:w="54" w:type="pct"/>
            <w:tcBorders>
              <w:top w:val="nil"/>
              <w:left w:val="nil"/>
              <w:bottom w:val="nil"/>
              <w:right w:val="nil"/>
            </w:tcBorders>
            <w:shd w:val="clear" w:color="000000" w:fill="FFFFFF"/>
            <w:noWrap/>
            <w:vAlign w:val="center"/>
            <w:hideMark/>
          </w:tcPr>
          <w:p w14:paraId="047575EB"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460" w:type="pct"/>
            <w:tcBorders>
              <w:top w:val="single" w:sz="4" w:space="0" w:color="000000"/>
              <w:left w:val="nil"/>
              <w:bottom w:val="single" w:sz="4" w:space="0" w:color="000000"/>
              <w:right w:val="nil"/>
            </w:tcBorders>
            <w:shd w:val="clear" w:color="000000" w:fill="FFFFFF"/>
            <w:noWrap/>
            <w:vAlign w:val="center"/>
            <w:hideMark/>
          </w:tcPr>
          <w:p w14:paraId="293979A3"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53,557</w:t>
            </w:r>
          </w:p>
        </w:tc>
        <w:tc>
          <w:tcPr>
            <w:tcW w:w="460" w:type="pct"/>
            <w:tcBorders>
              <w:top w:val="single" w:sz="4" w:space="0" w:color="000000"/>
              <w:left w:val="nil"/>
              <w:bottom w:val="single" w:sz="4" w:space="0" w:color="000000"/>
              <w:right w:val="nil"/>
            </w:tcBorders>
            <w:shd w:val="clear" w:color="000000" w:fill="E6F2FF"/>
            <w:noWrap/>
            <w:vAlign w:val="center"/>
            <w:hideMark/>
          </w:tcPr>
          <w:p w14:paraId="1CFC1DB6"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55,904</w:t>
            </w:r>
          </w:p>
        </w:tc>
        <w:tc>
          <w:tcPr>
            <w:tcW w:w="526" w:type="pct"/>
            <w:tcBorders>
              <w:top w:val="single" w:sz="4" w:space="0" w:color="000000"/>
              <w:left w:val="nil"/>
              <w:bottom w:val="single" w:sz="4" w:space="0" w:color="000000"/>
              <w:right w:val="nil"/>
            </w:tcBorders>
            <w:shd w:val="clear" w:color="000000" w:fill="FFFFFF"/>
            <w:noWrap/>
            <w:vAlign w:val="center"/>
            <w:hideMark/>
          </w:tcPr>
          <w:p w14:paraId="0F0C8B23"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57,770</w:t>
            </w:r>
          </w:p>
        </w:tc>
        <w:tc>
          <w:tcPr>
            <w:tcW w:w="526" w:type="pct"/>
            <w:tcBorders>
              <w:top w:val="single" w:sz="4" w:space="0" w:color="000000"/>
              <w:left w:val="nil"/>
              <w:bottom w:val="single" w:sz="4" w:space="0" w:color="000000"/>
              <w:right w:val="nil"/>
            </w:tcBorders>
            <w:shd w:val="clear" w:color="000000" w:fill="FFFFFF"/>
            <w:noWrap/>
            <w:vAlign w:val="center"/>
            <w:hideMark/>
          </w:tcPr>
          <w:p w14:paraId="6F428425"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57,732</w:t>
            </w:r>
          </w:p>
        </w:tc>
        <w:tc>
          <w:tcPr>
            <w:tcW w:w="527" w:type="pct"/>
            <w:tcBorders>
              <w:top w:val="single" w:sz="4" w:space="0" w:color="000000"/>
              <w:left w:val="nil"/>
              <w:bottom w:val="single" w:sz="4" w:space="0" w:color="000000"/>
              <w:right w:val="nil"/>
            </w:tcBorders>
            <w:shd w:val="clear" w:color="000000" w:fill="FFFFFF"/>
            <w:noWrap/>
            <w:vAlign w:val="center"/>
            <w:hideMark/>
          </w:tcPr>
          <w:p w14:paraId="65D475C0"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59,513</w:t>
            </w:r>
          </w:p>
        </w:tc>
      </w:tr>
      <w:tr w:rsidR="001B7830" w:rsidRPr="00673C1F" w14:paraId="73317275" w14:textId="77777777" w:rsidTr="00CE2887">
        <w:trPr>
          <w:trHeight w:hRule="exact" w:val="225"/>
        </w:trPr>
        <w:tc>
          <w:tcPr>
            <w:tcW w:w="1947" w:type="pct"/>
            <w:tcBorders>
              <w:top w:val="nil"/>
              <w:left w:val="nil"/>
              <w:bottom w:val="nil"/>
              <w:right w:val="nil"/>
            </w:tcBorders>
            <w:shd w:val="clear" w:color="000000" w:fill="FFFFFF"/>
            <w:noWrap/>
            <w:vAlign w:val="center"/>
            <w:hideMark/>
          </w:tcPr>
          <w:p w14:paraId="44B8DCBA" w14:textId="77777777" w:rsidR="001B7830" w:rsidRPr="00673C1F" w:rsidRDefault="001B7830" w:rsidP="001B7830">
            <w:pPr>
              <w:spacing w:before="0" w:after="0" w:line="240" w:lineRule="auto"/>
              <w:rPr>
                <w:rFonts w:ascii="Arial" w:hAnsi="Arial" w:cs="Arial"/>
                <w:b/>
                <w:bCs/>
                <w:sz w:val="16"/>
                <w:szCs w:val="16"/>
              </w:rPr>
            </w:pPr>
            <w:r w:rsidRPr="00673C1F">
              <w:rPr>
                <w:rFonts w:ascii="Arial" w:hAnsi="Arial" w:cs="Arial"/>
                <w:b/>
                <w:bCs/>
                <w:sz w:val="16"/>
                <w:szCs w:val="16"/>
              </w:rPr>
              <w:t>Total receipts</w:t>
            </w:r>
          </w:p>
        </w:tc>
        <w:tc>
          <w:tcPr>
            <w:tcW w:w="500" w:type="pct"/>
            <w:tcBorders>
              <w:top w:val="nil"/>
              <w:left w:val="nil"/>
              <w:bottom w:val="nil"/>
              <w:right w:val="nil"/>
            </w:tcBorders>
            <w:shd w:val="clear" w:color="000000" w:fill="FFFFFF"/>
            <w:noWrap/>
            <w:vAlign w:val="center"/>
            <w:hideMark/>
          </w:tcPr>
          <w:p w14:paraId="02F8B0F4"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649,477</w:t>
            </w:r>
          </w:p>
        </w:tc>
        <w:tc>
          <w:tcPr>
            <w:tcW w:w="54" w:type="pct"/>
            <w:tcBorders>
              <w:top w:val="nil"/>
              <w:left w:val="nil"/>
              <w:bottom w:val="nil"/>
              <w:right w:val="nil"/>
            </w:tcBorders>
            <w:shd w:val="clear" w:color="000000" w:fill="FFFFFF"/>
            <w:noWrap/>
            <w:vAlign w:val="center"/>
            <w:hideMark/>
          </w:tcPr>
          <w:p w14:paraId="19A92AE7"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460" w:type="pct"/>
            <w:tcBorders>
              <w:top w:val="nil"/>
              <w:left w:val="nil"/>
              <w:bottom w:val="nil"/>
              <w:right w:val="nil"/>
            </w:tcBorders>
            <w:shd w:val="clear" w:color="000000" w:fill="FFFFFF"/>
            <w:noWrap/>
            <w:vAlign w:val="center"/>
            <w:hideMark/>
          </w:tcPr>
          <w:p w14:paraId="09DFA47C"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692,307</w:t>
            </w:r>
          </w:p>
        </w:tc>
        <w:tc>
          <w:tcPr>
            <w:tcW w:w="460" w:type="pct"/>
            <w:tcBorders>
              <w:top w:val="nil"/>
              <w:left w:val="nil"/>
              <w:bottom w:val="nil"/>
              <w:right w:val="nil"/>
            </w:tcBorders>
            <w:shd w:val="clear" w:color="000000" w:fill="E6F2FF"/>
            <w:noWrap/>
            <w:vAlign w:val="center"/>
            <w:hideMark/>
          </w:tcPr>
          <w:p w14:paraId="63B5D4E1"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698,446</w:t>
            </w:r>
          </w:p>
        </w:tc>
        <w:tc>
          <w:tcPr>
            <w:tcW w:w="526" w:type="pct"/>
            <w:tcBorders>
              <w:top w:val="nil"/>
              <w:left w:val="nil"/>
              <w:bottom w:val="nil"/>
              <w:right w:val="nil"/>
            </w:tcBorders>
            <w:shd w:val="clear" w:color="000000" w:fill="FFFFFF"/>
            <w:noWrap/>
            <w:vAlign w:val="center"/>
            <w:hideMark/>
          </w:tcPr>
          <w:p w14:paraId="51B49F8B"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719,353</w:t>
            </w:r>
          </w:p>
        </w:tc>
        <w:tc>
          <w:tcPr>
            <w:tcW w:w="526" w:type="pct"/>
            <w:tcBorders>
              <w:top w:val="nil"/>
              <w:left w:val="nil"/>
              <w:bottom w:val="nil"/>
              <w:right w:val="nil"/>
            </w:tcBorders>
            <w:shd w:val="clear" w:color="000000" w:fill="FFFFFF"/>
            <w:noWrap/>
            <w:vAlign w:val="center"/>
            <w:hideMark/>
          </w:tcPr>
          <w:p w14:paraId="19596F3D"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760,010</w:t>
            </w:r>
          </w:p>
        </w:tc>
        <w:tc>
          <w:tcPr>
            <w:tcW w:w="527" w:type="pct"/>
            <w:tcBorders>
              <w:top w:val="nil"/>
              <w:left w:val="nil"/>
              <w:bottom w:val="nil"/>
              <w:right w:val="nil"/>
            </w:tcBorders>
            <w:shd w:val="clear" w:color="000000" w:fill="FFFFFF"/>
            <w:noWrap/>
            <w:vAlign w:val="center"/>
            <w:hideMark/>
          </w:tcPr>
          <w:p w14:paraId="170D458A"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801,811</w:t>
            </w:r>
          </w:p>
        </w:tc>
      </w:tr>
      <w:tr w:rsidR="001B7830" w:rsidRPr="00673C1F" w14:paraId="36B9AF14" w14:textId="77777777" w:rsidTr="00CE2887">
        <w:trPr>
          <w:trHeight w:hRule="exact" w:val="225"/>
        </w:trPr>
        <w:tc>
          <w:tcPr>
            <w:tcW w:w="1947" w:type="pct"/>
            <w:tcBorders>
              <w:top w:val="single" w:sz="4" w:space="0" w:color="000000"/>
              <w:left w:val="nil"/>
              <w:bottom w:val="nil"/>
              <w:right w:val="nil"/>
            </w:tcBorders>
            <w:shd w:val="clear" w:color="000000" w:fill="FFFFFF"/>
            <w:noWrap/>
            <w:vAlign w:val="center"/>
            <w:hideMark/>
          </w:tcPr>
          <w:p w14:paraId="4B00DC9A" w14:textId="77777777" w:rsidR="001B7830" w:rsidRPr="00673C1F" w:rsidRDefault="001B7830" w:rsidP="001B7830">
            <w:pPr>
              <w:spacing w:before="0" w:after="0" w:line="240" w:lineRule="auto"/>
              <w:rPr>
                <w:rFonts w:ascii="Arial" w:hAnsi="Arial" w:cs="Arial"/>
                <w:i/>
                <w:iCs/>
                <w:sz w:val="16"/>
                <w:szCs w:val="16"/>
              </w:rPr>
            </w:pPr>
            <w:r w:rsidRPr="00673C1F">
              <w:rPr>
                <w:rFonts w:ascii="Arial" w:hAnsi="Arial" w:cs="Arial"/>
                <w:i/>
                <w:iCs/>
                <w:sz w:val="16"/>
                <w:szCs w:val="16"/>
              </w:rPr>
              <w:t>Memorandum:</w:t>
            </w:r>
          </w:p>
        </w:tc>
        <w:tc>
          <w:tcPr>
            <w:tcW w:w="500" w:type="pct"/>
            <w:tcBorders>
              <w:top w:val="single" w:sz="4" w:space="0" w:color="000000"/>
              <w:left w:val="nil"/>
              <w:bottom w:val="nil"/>
              <w:right w:val="nil"/>
            </w:tcBorders>
            <w:shd w:val="clear" w:color="000000" w:fill="FFFFFF"/>
            <w:noWrap/>
            <w:vAlign w:val="center"/>
            <w:hideMark/>
          </w:tcPr>
          <w:p w14:paraId="7B1BE193"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54" w:type="pct"/>
            <w:tcBorders>
              <w:top w:val="single" w:sz="4" w:space="0" w:color="000000"/>
              <w:left w:val="nil"/>
              <w:bottom w:val="nil"/>
              <w:right w:val="nil"/>
            </w:tcBorders>
            <w:shd w:val="clear" w:color="000000" w:fill="FFFFFF"/>
            <w:noWrap/>
            <w:vAlign w:val="center"/>
            <w:hideMark/>
          </w:tcPr>
          <w:p w14:paraId="77A9B83D"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460" w:type="pct"/>
            <w:tcBorders>
              <w:top w:val="single" w:sz="4" w:space="0" w:color="000000"/>
              <w:left w:val="nil"/>
              <w:bottom w:val="nil"/>
              <w:right w:val="nil"/>
            </w:tcBorders>
            <w:shd w:val="clear" w:color="000000" w:fill="FFFFFF"/>
            <w:noWrap/>
            <w:vAlign w:val="center"/>
            <w:hideMark/>
          </w:tcPr>
          <w:p w14:paraId="450DF578" w14:textId="77777777" w:rsidR="001B7830" w:rsidRPr="00673C1F" w:rsidRDefault="001B7830" w:rsidP="001B7830">
            <w:pPr>
              <w:spacing w:before="0" w:after="0" w:line="240" w:lineRule="auto"/>
              <w:rPr>
                <w:rFonts w:ascii="Arial" w:hAnsi="Arial" w:cs="Arial"/>
                <w:b/>
                <w:bCs/>
                <w:sz w:val="16"/>
                <w:szCs w:val="16"/>
              </w:rPr>
            </w:pPr>
            <w:r w:rsidRPr="00673C1F">
              <w:rPr>
                <w:rFonts w:ascii="Arial" w:hAnsi="Arial" w:cs="Arial"/>
                <w:b/>
                <w:bCs/>
                <w:sz w:val="16"/>
                <w:szCs w:val="16"/>
              </w:rPr>
              <w:t> </w:t>
            </w:r>
          </w:p>
        </w:tc>
        <w:tc>
          <w:tcPr>
            <w:tcW w:w="460" w:type="pct"/>
            <w:tcBorders>
              <w:top w:val="single" w:sz="4" w:space="0" w:color="000000"/>
              <w:left w:val="nil"/>
              <w:bottom w:val="nil"/>
              <w:right w:val="nil"/>
            </w:tcBorders>
            <w:shd w:val="clear" w:color="000000" w:fill="E6F2FF"/>
            <w:noWrap/>
            <w:vAlign w:val="center"/>
            <w:hideMark/>
          </w:tcPr>
          <w:p w14:paraId="438ED96E" w14:textId="77777777" w:rsidR="001B7830" w:rsidRPr="00673C1F" w:rsidRDefault="001B7830" w:rsidP="001B7830">
            <w:pPr>
              <w:spacing w:before="0" w:after="0" w:line="240" w:lineRule="auto"/>
              <w:rPr>
                <w:rFonts w:ascii="Arial" w:hAnsi="Arial" w:cs="Arial"/>
                <w:b/>
                <w:bCs/>
                <w:sz w:val="16"/>
                <w:szCs w:val="16"/>
              </w:rPr>
            </w:pPr>
            <w:r w:rsidRPr="00673C1F">
              <w:rPr>
                <w:rFonts w:ascii="Arial" w:hAnsi="Arial" w:cs="Arial"/>
                <w:b/>
                <w:bCs/>
                <w:sz w:val="16"/>
                <w:szCs w:val="16"/>
              </w:rPr>
              <w:t> </w:t>
            </w:r>
          </w:p>
        </w:tc>
        <w:tc>
          <w:tcPr>
            <w:tcW w:w="526" w:type="pct"/>
            <w:tcBorders>
              <w:top w:val="single" w:sz="4" w:space="0" w:color="000000"/>
              <w:left w:val="nil"/>
              <w:bottom w:val="nil"/>
              <w:right w:val="nil"/>
            </w:tcBorders>
            <w:shd w:val="clear" w:color="000000" w:fill="FFFFFF"/>
            <w:noWrap/>
            <w:vAlign w:val="center"/>
            <w:hideMark/>
          </w:tcPr>
          <w:p w14:paraId="5A382CD2"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526" w:type="pct"/>
            <w:tcBorders>
              <w:top w:val="single" w:sz="4" w:space="0" w:color="000000"/>
              <w:left w:val="nil"/>
              <w:bottom w:val="nil"/>
              <w:right w:val="nil"/>
            </w:tcBorders>
            <w:shd w:val="clear" w:color="000000" w:fill="FFFFFF"/>
            <w:noWrap/>
            <w:vAlign w:val="center"/>
            <w:hideMark/>
          </w:tcPr>
          <w:p w14:paraId="381C68A7"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527" w:type="pct"/>
            <w:tcBorders>
              <w:top w:val="single" w:sz="4" w:space="0" w:color="000000"/>
              <w:left w:val="nil"/>
              <w:bottom w:val="nil"/>
              <w:right w:val="nil"/>
            </w:tcBorders>
            <w:shd w:val="clear" w:color="000000" w:fill="FFFFFF"/>
            <w:noWrap/>
            <w:vAlign w:val="center"/>
            <w:hideMark/>
          </w:tcPr>
          <w:p w14:paraId="34E7ABE1" w14:textId="77777777" w:rsidR="001B7830" w:rsidRPr="00673C1F" w:rsidRDefault="001B7830" w:rsidP="001B7830">
            <w:pPr>
              <w:spacing w:before="0" w:after="0" w:line="240" w:lineRule="auto"/>
              <w:jc w:val="right"/>
              <w:rPr>
                <w:rFonts w:ascii="Arial" w:hAnsi="Arial" w:cs="Arial"/>
                <w:b/>
                <w:bCs/>
                <w:sz w:val="16"/>
                <w:szCs w:val="16"/>
              </w:rPr>
            </w:pPr>
            <w:r w:rsidRPr="00673C1F">
              <w:rPr>
                <w:rFonts w:ascii="Arial" w:hAnsi="Arial" w:cs="Arial"/>
                <w:b/>
                <w:bCs/>
                <w:sz w:val="16"/>
                <w:szCs w:val="16"/>
              </w:rPr>
              <w:t> </w:t>
            </w:r>
          </w:p>
        </w:tc>
      </w:tr>
      <w:tr w:rsidR="001B7830" w:rsidRPr="00673C1F" w14:paraId="53D1736F" w14:textId="77777777" w:rsidTr="00CE2887">
        <w:trPr>
          <w:trHeight w:hRule="exact" w:val="225"/>
        </w:trPr>
        <w:tc>
          <w:tcPr>
            <w:tcW w:w="1947" w:type="pct"/>
            <w:tcBorders>
              <w:top w:val="nil"/>
              <w:left w:val="nil"/>
              <w:bottom w:val="nil"/>
              <w:right w:val="nil"/>
            </w:tcBorders>
            <w:shd w:val="clear" w:color="000000" w:fill="FFFFFF"/>
            <w:noWrap/>
            <w:vAlign w:val="center"/>
            <w:hideMark/>
          </w:tcPr>
          <w:p w14:paraId="0C7E7207" w14:textId="77777777" w:rsidR="001B7830" w:rsidRPr="00673C1F" w:rsidRDefault="001B7830" w:rsidP="00CE2887">
            <w:pPr>
              <w:spacing w:before="0" w:after="0" w:line="240" w:lineRule="auto"/>
              <w:ind w:left="170"/>
              <w:rPr>
                <w:rFonts w:ascii="Arial" w:hAnsi="Arial" w:cs="Arial"/>
                <w:i/>
                <w:iCs/>
                <w:sz w:val="16"/>
                <w:szCs w:val="16"/>
              </w:rPr>
            </w:pPr>
            <w:r w:rsidRPr="00673C1F">
              <w:rPr>
                <w:rFonts w:ascii="Arial" w:hAnsi="Arial" w:cs="Arial"/>
                <w:i/>
                <w:iCs/>
                <w:sz w:val="16"/>
                <w:szCs w:val="16"/>
              </w:rPr>
              <w:t xml:space="preserve">Total excise </w:t>
            </w:r>
          </w:p>
        </w:tc>
        <w:tc>
          <w:tcPr>
            <w:tcW w:w="500" w:type="pct"/>
            <w:tcBorders>
              <w:top w:val="nil"/>
              <w:left w:val="nil"/>
              <w:bottom w:val="nil"/>
              <w:right w:val="nil"/>
            </w:tcBorders>
            <w:shd w:val="clear" w:color="000000" w:fill="FFFFFF"/>
            <w:noWrap/>
            <w:vAlign w:val="center"/>
            <w:hideMark/>
          </w:tcPr>
          <w:p w14:paraId="69E92F43" w14:textId="77777777" w:rsidR="001B7830" w:rsidRPr="00673C1F" w:rsidRDefault="001B7830" w:rsidP="001B7830">
            <w:pPr>
              <w:spacing w:before="0" w:after="0" w:line="240" w:lineRule="auto"/>
              <w:jc w:val="right"/>
              <w:rPr>
                <w:rFonts w:ascii="Arial" w:hAnsi="Arial" w:cs="Arial"/>
                <w:i/>
                <w:iCs/>
                <w:sz w:val="16"/>
                <w:szCs w:val="16"/>
              </w:rPr>
            </w:pPr>
            <w:r w:rsidRPr="00673C1F">
              <w:rPr>
                <w:rFonts w:ascii="Arial" w:hAnsi="Arial" w:cs="Arial"/>
                <w:i/>
                <w:iCs/>
                <w:sz w:val="16"/>
                <w:szCs w:val="16"/>
              </w:rPr>
              <w:t>26,022</w:t>
            </w:r>
          </w:p>
        </w:tc>
        <w:tc>
          <w:tcPr>
            <w:tcW w:w="54" w:type="pct"/>
            <w:tcBorders>
              <w:top w:val="nil"/>
              <w:left w:val="nil"/>
              <w:bottom w:val="nil"/>
              <w:right w:val="nil"/>
            </w:tcBorders>
            <w:shd w:val="clear" w:color="000000" w:fill="FFFFFF"/>
            <w:noWrap/>
            <w:vAlign w:val="center"/>
            <w:hideMark/>
          </w:tcPr>
          <w:p w14:paraId="31C70A70" w14:textId="77777777" w:rsidR="001B7830" w:rsidRPr="00673C1F" w:rsidRDefault="001B7830" w:rsidP="001B7830">
            <w:pPr>
              <w:spacing w:before="0" w:after="0" w:line="240" w:lineRule="auto"/>
              <w:jc w:val="right"/>
              <w:rPr>
                <w:rFonts w:ascii="Arial" w:hAnsi="Arial" w:cs="Arial"/>
                <w:i/>
                <w:iCs/>
                <w:sz w:val="16"/>
                <w:szCs w:val="16"/>
              </w:rPr>
            </w:pPr>
            <w:r w:rsidRPr="00673C1F">
              <w:rPr>
                <w:rFonts w:ascii="Arial" w:hAnsi="Arial" w:cs="Arial"/>
                <w:i/>
                <w:iCs/>
                <w:sz w:val="16"/>
                <w:szCs w:val="16"/>
              </w:rPr>
              <w:t> </w:t>
            </w:r>
          </w:p>
        </w:tc>
        <w:tc>
          <w:tcPr>
            <w:tcW w:w="460" w:type="pct"/>
            <w:tcBorders>
              <w:top w:val="nil"/>
              <w:left w:val="nil"/>
              <w:bottom w:val="nil"/>
              <w:right w:val="nil"/>
            </w:tcBorders>
            <w:shd w:val="clear" w:color="000000" w:fill="FFFFFF"/>
            <w:noWrap/>
            <w:vAlign w:val="center"/>
            <w:hideMark/>
          </w:tcPr>
          <w:p w14:paraId="3BE83026" w14:textId="77777777" w:rsidR="001B7830" w:rsidRPr="00673C1F" w:rsidRDefault="001B7830" w:rsidP="001B7830">
            <w:pPr>
              <w:spacing w:before="0" w:after="0" w:line="240" w:lineRule="auto"/>
              <w:jc w:val="right"/>
              <w:rPr>
                <w:rFonts w:ascii="Arial" w:hAnsi="Arial" w:cs="Arial"/>
                <w:i/>
                <w:iCs/>
                <w:sz w:val="16"/>
                <w:szCs w:val="16"/>
              </w:rPr>
            </w:pPr>
            <w:r w:rsidRPr="00673C1F">
              <w:rPr>
                <w:rFonts w:ascii="Arial" w:hAnsi="Arial" w:cs="Arial"/>
                <w:i/>
                <w:iCs/>
                <w:sz w:val="16"/>
                <w:szCs w:val="16"/>
              </w:rPr>
              <w:t>29,940</w:t>
            </w:r>
          </w:p>
        </w:tc>
        <w:tc>
          <w:tcPr>
            <w:tcW w:w="460" w:type="pct"/>
            <w:tcBorders>
              <w:top w:val="nil"/>
              <w:left w:val="nil"/>
              <w:bottom w:val="nil"/>
              <w:right w:val="nil"/>
            </w:tcBorders>
            <w:shd w:val="clear" w:color="000000" w:fill="E6F2FF"/>
            <w:noWrap/>
            <w:vAlign w:val="center"/>
            <w:hideMark/>
          </w:tcPr>
          <w:p w14:paraId="558BE3E4" w14:textId="77777777" w:rsidR="001B7830" w:rsidRPr="00673C1F" w:rsidRDefault="001B7830" w:rsidP="001B7830">
            <w:pPr>
              <w:spacing w:before="0" w:after="0" w:line="240" w:lineRule="auto"/>
              <w:jc w:val="right"/>
              <w:rPr>
                <w:rFonts w:ascii="Arial" w:hAnsi="Arial" w:cs="Arial"/>
                <w:i/>
                <w:iCs/>
                <w:sz w:val="16"/>
                <w:szCs w:val="16"/>
              </w:rPr>
            </w:pPr>
            <w:r w:rsidRPr="00673C1F">
              <w:rPr>
                <w:rFonts w:ascii="Arial" w:hAnsi="Arial" w:cs="Arial"/>
                <w:i/>
                <w:iCs/>
                <w:sz w:val="16"/>
                <w:szCs w:val="16"/>
              </w:rPr>
              <w:t>31,870</w:t>
            </w:r>
          </w:p>
        </w:tc>
        <w:tc>
          <w:tcPr>
            <w:tcW w:w="526" w:type="pct"/>
            <w:tcBorders>
              <w:top w:val="nil"/>
              <w:left w:val="nil"/>
              <w:bottom w:val="nil"/>
              <w:right w:val="nil"/>
            </w:tcBorders>
            <w:shd w:val="clear" w:color="000000" w:fill="FFFFFF"/>
            <w:noWrap/>
            <w:vAlign w:val="center"/>
            <w:hideMark/>
          </w:tcPr>
          <w:p w14:paraId="72B2839B" w14:textId="77777777" w:rsidR="001B7830" w:rsidRPr="00673C1F" w:rsidRDefault="001B7830" w:rsidP="001B7830">
            <w:pPr>
              <w:spacing w:before="0" w:after="0" w:line="240" w:lineRule="auto"/>
              <w:jc w:val="right"/>
              <w:rPr>
                <w:rFonts w:ascii="Arial" w:hAnsi="Arial" w:cs="Arial"/>
                <w:i/>
                <w:iCs/>
                <w:sz w:val="16"/>
                <w:szCs w:val="16"/>
              </w:rPr>
            </w:pPr>
            <w:r w:rsidRPr="00673C1F">
              <w:rPr>
                <w:rFonts w:ascii="Arial" w:hAnsi="Arial" w:cs="Arial"/>
                <w:i/>
                <w:iCs/>
                <w:sz w:val="16"/>
                <w:szCs w:val="16"/>
              </w:rPr>
              <w:t>32,670</w:t>
            </w:r>
          </w:p>
        </w:tc>
        <w:tc>
          <w:tcPr>
            <w:tcW w:w="526" w:type="pct"/>
            <w:tcBorders>
              <w:top w:val="nil"/>
              <w:left w:val="nil"/>
              <w:bottom w:val="nil"/>
              <w:right w:val="nil"/>
            </w:tcBorders>
            <w:shd w:val="clear" w:color="000000" w:fill="FFFFFF"/>
            <w:noWrap/>
            <w:vAlign w:val="center"/>
            <w:hideMark/>
          </w:tcPr>
          <w:p w14:paraId="456FD316" w14:textId="77777777" w:rsidR="001B7830" w:rsidRPr="00673C1F" w:rsidRDefault="001B7830" w:rsidP="001B7830">
            <w:pPr>
              <w:spacing w:before="0" w:after="0" w:line="240" w:lineRule="auto"/>
              <w:jc w:val="right"/>
              <w:rPr>
                <w:rFonts w:ascii="Arial" w:hAnsi="Arial" w:cs="Arial"/>
                <w:i/>
                <w:iCs/>
                <w:sz w:val="16"/>
                <w:szCs w:val="16"/>
              </w:rPr>
            </w:pPr>
            <w:r w:rsidRPr="00673C1F">
              <w:rPr>
                <w:rFonts w:ascii="Arial" w:hAnsi="Arial" w:cs="Arial"/>
                <w:i/>
                <w:iCs/>
                <w:sz w:val="16"/>
                <w:szCs w:val="16"/>
              </w:rPr>
              <w:t>34,120</w:t>
            </w:r>
          </w:p>
        </w:tc>
        <w:tc>
          <w:tcPr>
            <w:tcW w:w="527" w:type="pct"/>
            <w:tcBorders>
              <w:top w:val="nil"/>
              <w:left w:val="nil"/>
              <w:bottom w:val="nil"/>
              <w:right w:val="nil"/>
            </w:tcBorders>
            <w:shd w:val="clear" w:color="000000" w:fill="FFFFFF"/>
            <w:noWrap/>
            <w:vAlign w:val="center"/>
            <w:hideMark/>
          </w:tcPr>
          <w:p w14:paraId="6E01BD8B" w14:textId="77777777" w:rsidR="001B7830" w:rsidRPr="00673C1F" w:rsidRDefault="001B7830" w:rsidP="001B7830">
            <w:pPr>
              <w:spacing w:before="0" w:after="0" w:line="240" w:lineRule="auto"/>
              <w:jc w:val="right"/>
              <w:rPr>
                <w:rFonts w:ascii="Arial" w:hAnsi="Arial" w:cs="Arial"/>
                <w:i/>
                <w:iCs/>
                <w:sz w:val="16"/>
                <w:szCs w:val="16"/>
              </w:rPr>
            </w:pPr>
            <w:r w:rsidRPr="00673C1F">
              <w:rPr>
                <w:rFonts w:ascii="Arial" w:hAnsi="Arial" w:cs="Arial"/>
                <w:i/>
                <w:iCs/>
                <w:sz w:val="16"/>
                <w:szCs w:val="16"/>
              </w:rPr>
              <w:t>35,350</w:t>
            </w:r>
          </w:p>
        </w:tc>
      </w:tr>
      <w:tr w:rsidR="001B7830" w:rsidRPr="00673C1F" w14:paraId="62A22F52" w14:textId="77777777" w:rsidTr="00CE2887">
        <w:trPr>
          <w:trHeight w:hRule="exact" w:val="225"/>
        </w:trPr>
        <w:tc>
          <w:tcPr>
            <w:tcW w:w="1947" w:type="pct"/>
            <w:tcBorders>
              <w:top w:val="nil"/>
              <w:left w:val="nil"/>
              <w:bottom w:val="nil"/>
              <w:right w:val="nil"/>
            </w:tcBorders>
            <w:shd w:val="clear" w:color="000000" w:fill="FFFFFF"/>
            <w:noWrap/>
            <w:vAlign w:val="center"/>
            <w:hideMark/>
          </w:tcPr>
          <w:p w14:paraId="25463F92" w14:textId="77777777" w:rsidR="001B7830" w:rsidRPr="00673C1F" w:rsidRDefault="001B7830" w:rsidP="00CE2887">
            <w:pPr>
              <w:spacing w:before="0" w:after="0" w:line="240" w:lineRule="auto"/>
              <w:ind w:left="170"/>
              <w:rPr>
                <w:rFonts w:ascii="Arial" w:hAnsi="Arial" w:cs="Arial"/>
                <w:i/>
                <w:iCs/>
                <w:sz w:val="16"/>
                <w:szCs w:val="16"/>
              </w:rPr>
            </w:pPr>
            <w:r w:rsidRPr="00673C1F">
              <w:rPr>
                <w:rFonts w:ascii="Arial" w:hAnsi="Arial" w:cs="Arial"/>
                <w:i/>
                <w:iCs/>
                <w:sz w:val="16"/>
                <w:szCs w:val="16"/>
              </w:rPr>
              <w:t xml:space="preserve">Total customs duty </w:t>
            </w:r>
          </w:p>
        </w:tc>
        <w:tc>
          <w:tcPr>
            <w:tcW w:w="500" w:type="pct"/>
            <w:tcBorders>
              <w:top w:val="nil"/>
              <w:left w:val="nil"/>
              <w:bottom w:val="nil"/>
              <w:right w:val="nil"/>
            </w:tcBorders>
            <w:shd w:val="clear" w:color="000000" w:fill="FFFFFF"/>
            <w:noWrap/>
            <w:vAlign w:val="center"/>
            <w:hideMark/>
          </w:tcPr>
          <w:p w14:paraId="13017A24" w14:textId="77777777" w:rsidR="001B7830" w:rsidRPr="00673C1F" w:rsidRDefault="001B7830" w:rsidP="001B7830">
            <w:pPr>
              <w:spacing w:before="0" w:after="0" w:line="240" w:lineRule="auto"/>
              <w:jc w:val="right"/>
              <w:rPr>
                <w:rFonts w:ascii="Arial" w:hAnsi="Arial" w:cs="Arial"/>
                <w:i/>
                <w:iCs/>
                <w:sz w:val="16"/>
                <w:szCs w:val="16"/>
              </w:rPr>
            </w:pPr>
            <w:r w:rsidRPr="00673C1F">
              <w:rPr>
                <w:rFonts w:ascii="Arial" w:hAnsi="Arial" w:cs="Arial"/>
                <w:i/>
                <w:iCs/>
                <w:sz w:val="16"/>
                <w:szCs w:val="16"/>
              </w:rPr>
              <w:t>17,006</w:t>
            </w:r>
          </w:p>
        </w:tc>
        <w:tc>
          <w:tcPr>
            <w:tcW w:w="54" w:type="pct"/>
            <w:tcBorders>
              <w:top w:val="nil"/>
              <w:left w:val="nil"/>
              <w:bottom w:val="nil"/>
              <w:right w:val="nil"/>
            </w:tcBorders>
            <w:shd w:val="clear" w:color="000000" w:fill="FFFFFF"/>
            <w:noWrap/>
            <w:vAlign w:val="center"/>
            <w:hideMark/>
          </w:tcPr>
          <w:p w14:paraId="3AB77019" w14:textId="77777777" w:rsidR="001B7830" w:rsidRPr="00673C1F" w:rsidRDefault="001B7830" w:rsidP="001B7830">
            <w:pPr>
              <w:spacing w:before="0" w:after="0" w:line="240" w:lineRule="auto"/>
              <w:jc w:val="right"/>
              <w:rPr>
                <w:rFonts w:ascii="Arial" w:hAnsi="Arial" w:cs="Arial"/>
                <w:i/>
                <w:iCs/>
                <w:sz w:val="16"/>
                <w:szCs w:val="16"/>
              </w:rPr>
            </w:pPr>
            <w:r w:rsidRPr="00673C1F">
              <w:rPr>
                <w:rFonts w:ascii="Arial" w:hAnsi="Arial" w:cs="Arial"/>
                <w:i/>
                <w:iCs/>
                <w:sz w:val="16"/>
                <w:szCs w:val="16"/>
              </w:rPr>
              <w:t> </w:t>
            </w:r>
          </w:p>
        </w:tc>
        <w:tc>
          <w:tcPr>
            <w:tcW w:w="460" w:type="pct"/>
            <w:tcBorders>
              <w:top w:val="nil"/>
              <w:left w:val="nil"/>
              <w:bottom w:val="nil"/>
              <w:right w:val="nil"/>
            </w:tcBorders>
            <w:shd w:val="clear" w:color="000000" w:fill="FFFFFF"/>
            <w:noWrap/>
            <w:vAlign w:val="center"/>
            <w:hideMark/>
          </w:tcPr>
          <w:p w14:paraId="2A5451B0" w14:textId="77777777" w:rsidR="001B7830" w:rsidRPr="00673C1F" w:rsidRDefault="001B7830" w:rsidP="001B7830">
            <w:pPr>
              <w:spacing w:before="0" w:after="0" w:line="240" w:lineRule="auto"/>
              <w:jc w:val="right"/>
              <w:rPr>
                <w:rFonts w:ascii="Arial" w:hAnsi="Arial" w:cs="Arial"/>
                <w:i/>
                <w:iCs/>
                <w:sz w:val="16"/>
                <w:szCs w:val="16"/>
              </w:rPr>
            </w:pPr>
            <w:r w:rsidRPr="00673C1F">
              <w:rPr>
                <w:rFonts w:ascii="Arial" w:hAnsi="Arial" w:cs="Arial"/>
                <w:i/>
                <w:iCs/>
                <w:sz w:val="16"/>
                <w:szCs w:val="16"/>
              </w:rPr>
              <w:t>14,590</w:t>
            </w:r>
          </w:p>
        </w:tc>
        <w:tc>
          <w:tcPr>
            <w:tcW w:w="460" w:type="pct"/>
            <w:tcBorders>
              <w:top w:val="nil"/>
              <w:left w:val="nil"/>
              <w:bottom w:val="nil"/>
              <w:right w:val="nil"/>
            </w:tcBorders>
            <w:shd w:val="clear" w:color="000000" w:fill="E6F2FF"/>
            <w:noWrap/>
            <w:vAlign w:val="center"/>
            <w:hideMark/>
          </w:tcPr>
          <w:p w14:paraId="7FCEA846" w14:textId="77777777" w:rsidR="001B7830" w:rsidRPr="00673C1F" w:rsidRDefault="001B7830" w:rsidP="001B7830">
            <w:pPr>
              <w:spacing w:before="0" w:after="0" w:line="240" w:lineRule="auto"/>
              <w:jc w:val="right"/>
              <w:rPr>
                <w:rFonts w:ascii="Arial" w:hAnsi="Arial" w:cs="Arial"/>
                <w:i/>
                <w:iCs/>
                <w:sz w:val="16"/>
                <w:szCs w:val="16"/>
              </w:rPr>
            </w:pPr>
            <w:r w:rsidRPr="00673C1F">
              <w:rPr>
                <w:rFonts w:ascii="Arial" w:hAnsi="Arial" w:cs="Arial"/>
                <w:i/>
                <w:iCs/>
                <w:sz w:val="16"/>
                <w:szCs w:val="16"/>
              </w:rPr>
              <w:t>16,030</w:t>
            </w:r>
          </w:p>
        </w:tc>
        <w:tc>
          <w:tcPr>
            <w:tcW w:w="526" w:type="pct"/>
            <w:tcBorders>
              <w:top w:val="nil"/>
              <w:left w:val="nil"/>
              <w:bottom w:val="nil"/>
              <w:right w:val="nil"/>
            </w:tcBorders>
            <w:shd w:val="clear" w:color="000000" w:fill="FFFFFF"/>
            <w:noWrap/>
            <w:vAlign w:val="center"/>
            <w:hideMark/>
          </w:tcPr>
          <w:p w14:paraId="361A6F61" w14:textId="77777777" w:rsidR="001B7830" w:rsidRPr="00673C1F" w:rsidRDefault="001B7830" w:rsidP="001B7830">
            <w:pPr>
              <w:spacing w:before="0" w:after="0" w:line="240" w:lineRule="auto"/>
              <w:jc w:val="right"/>
              <w:rPr>
                <w:rFonts w:ascii="Arial" w:hAnsi="Arial" w:cs="Arial"/>
                <w:i/>
                <w:iCs/>
                <w:sz w:val="16"/>
                <w:szCs w:val="16"/>
              </w:rPr>
            </w:pPr>
            <w:r w:rsidRPr="00673C1F">
              <w:rPr>
                <w:rFonts w:ascii="Arial" w:hAnsi="Arial" w:cs="Arial"/>
                <w:i/>
                <w:iCs/>
                <w:sz w:val="16"/>
                <w:szCs w:val="16"/>
              </w:rPr>
              <w:t>16,210</w:t>
            </w:r>
          </w:p>
        </w:tc>
        <w:tc>
          <w:tcPr>
            <w:tcW w:w="526" w:type="pct"/>
            <w:tcBorders>
              <w:top w:val="nil"/>
              <w:left w:val="nil"/>
              <w:bottom w:val="nil"/>
              <w:right w:val="nil"/>
            </w:tcBorders>
            <w:shd w:val="clear" w:color="000000" w:fill="FFFFFF"/>
            <w:noWrap/>
            <w:vAlign w:val="center"/>
            <w:hideMark/>
          </w:tcPr>
          <w:p w14:paraId="2F2FB016" w14:textId="77777777" w:rsidR="001B7830" w:rsidRPr="00673C1F" w:rsidRDefault="001B7830" w:rsidP="001B7830">
            <w:pPr>
              <w:spacing w:before="0" w:after="0" w:line="240" w:lineRule="auto"/>
              <w:jc w:val="right"/>
              <w:rPr>
                <w:rFonts w:ascii="Arial" w:hAnsi="Arial" w:cs="Arial"/>
                <w:i/>
                <w:iCs/>
                <w:sz w:val="16"/>
                <w:szCs w:val="16"/>
              </w:rPr>
            </w:pPr>
            <w:r w:rsidRPr="00673C1F">
              <w:rPr>
                <w:rFonts w:ascii="Arial" w:hAnsi="Arial" w:cs="Arial"/>
                <w:i/>
                <w:iCs/>
                <w:sz w:val="16"/>
                <w:szCs w:val="16"/>
              </w:rPr>
              <w:t>16,030</w:t>
            </w:r>
          </w:p>
        </w:tc>
        <w:tc>
          <w:tcPr>
            <w:tcW w:w="527" w:type="pct"/>
            <w:tcBorders>
              <w:top w:val="nil"/>
              <w:left w:val="nil"/>
              <w:bottom w:val="nil"/>
              <w:right w:val="nil"/>
            </w:tcBorders>
            <w:shd w:val="clear" w:color="000000" w:fill="FFFFFF"/>
            <w:noWrap/>
            <w:vAlign w:val="center"/>
            <w:hideMark/>
          </w:tcPr>
          <w:p w14:paraId="5382F948" w14:textId="77777777" w:rsidR="001B7830" w:rsidRPr="00673C1F" w:rsidRDefault="001B7830" w:rsidP="001B7830">
            <w:pPr>
              <w:spacing w:before="0" w:after="0" w:line="240" w:lineRule="auto"/>
              <w:jc w:val="right"/>
              <w:rPr>
                <w:rFonts w:ascii="Arial" w:hAnsi="Arial" w:cs="Arial"/>
                <w:i/>
                <w:iCs/>
                <w:sz w:val="16"/>
                <w:szCs w:val="16"/>
              </w:rPr>
            </w:pPr>
            <w:r w:rsidRPr="00673C1F">
              <w:rPr>
                <w:rFonts w:ascii="Arial" w:hAnsi="Arial" w:cs="Arial"/>
                <w:i/>
                <w:iCs/>
                <w:sz w:val="16"/>
                <w:szCs w:val="16"/>
              </w:rPr>
              <w:t>14,790</w:t>
            </w:r>
          </w:p>
        </w:tc>
      </w:tr>
      <w:tr w:rsidR="001B7830" w:rsidRPr="00673C1F" w14:paraId="0835760C" w14:textId="77777777" w:rsidTr="00CE2887">
        <w:trPr>
          <w:trHeight w:val="225"/>
        </w:trPr>
        <w:tc>
          <w:tcPr>
            <w:tcW w:w="1947" w:type="pct"/>
            <w:tcBorders>
              <w:top w:val="nil"/>
              <w:left w:val="nil"/>
              <w:bottom w:val="single" w:sz="4" w:space="0" w:color="000000"/>
              <w:right w:val="nil"/>
            </w:tcBorders>
            <w:shd w:val="clear" w:color="000000" w:fill="FFFFFF"/>
            <w:noWrap/>
            <w:vAlign w:val="center"/>
            <w:hideMark/>
          </w:tcPr>
          <w:p w14:paraId="02FE59C6" w14:textId="77777777" w:rsidR="001B7830" w:rsidRPr="00673C1F" w:rsidRDefault="001B7830" w:rsidP="001B7830">
            <w:pPr>
              <w:spacing w:before="0" w:after="0" w:line="240" w:lineRule="auto"/>
              <w:ind w:firstLineChars="100" w:firstLine="160"/>
              <w:rPr>
                <w:rFonts w:ascii="Arial" w:hAnsi="Arial" w:cs="Arial"/>
                <w:i/>
                <w:iCs/>
                <w:sz w:val="16"/>
                <w:szCs w:val="16"/>
              </w:rPr>
            </w:pPr>
            <w:r w:rsidRPr="00673C1F">
              <w:rPr>
                <w:rFonts w:ascii="Arial" w:hAnsi="Arial" w:cs="Arial"/>
                <w:i/>
                <w:iCs/>
                <w:sz w:val="16"/>
                <w:szCs w:val="16"/>
              </w:rPr>
              <w:t>Capital gains tax(b)</w:t>
            </w:r>
          </w:p>
        </w:tc>
        <w:tc>
          <w:tcPr>
            <w:tcW w:w="500" w:type="pct"/>
            <w:tcBorders>
              <w:top w:val="nil"/>
              <w:left w:val="nil"/>
              <w:bottom w:val="single" w:sz="4" w:space="0" w:color="000000"/>
              <w:right w:val="nil"/>
            </w:tcBorders>
            <w:shd w:val="clear" w:color="000000" w:fill="FFFFFF"/>
            <w:noWrap/>
            <w:vAlign w:val="center"/>
            <w:hideMark/>
          </w:tcPr>
          <w:p w14:paraId="72C6B381" w14:textId="77777777" w:rsidR="001B7830" w:rsidRPr="00673C1F" w:rsidRDefault="001B7830" w:rsidP="001B7830">
            <w:pPr>
              <w:spacing w:before="0" w:after="0" w:line="240" w:lineRule="auto"/>
              <w:jc w:val="right"/>
              <w:rPr>
                <w:rFonts w:ascii="Arial" w:hAnsi="Arial" w:cs="Arial"/>
                <w:i/>
                <w:iCs/>
                <w:sz w:val="16"/>
                <w:szCs w:val="16"/>
              </w:rPr>
            </w:pPr>
            <w:r w:rsidRPr="00673C1F">
              <w:rPr>
                <w:rFonts w:ascii="Arial" w:hAnsi="Arial" w:cs="Arial"/>
                <w:i/>
                <w:iCs/>
                <w:sz w:val="16"/>
                <w:szCs w:val="16"/>
              </w:rPr>
              <w:t>31,700</w:t>
            </w:r>
          </w:p>
        </w:tc>
        <w:tc>
          <w:tcPr>
            <w:tcW w:w="54" w:type="pct"/>
            <w:tcBorders>
              <w:top w:val="nil"/>
              <w:left w:val="nil"/>
              <w:bottom w:val="single" w:sz="4" w:space="0" w:color="000000"/>
              <w:right w:val="nil"/>
            </w:tcBorders>
            <w:shd w:val="clear" w:color="000000" w:fill="FFFFFF"/>
            <w:noWrap/>
            <w:vAlign w:val="center"/>
            <w:hideMark/>
          </w:tcPr>
          <w:p w14:paraId="4BE14D02" w14:textId="77777777" w:rsidR="001B7830" w:rsidRPr="00673C1F" w:rsidRDefault="001B7830" w:rsidP="001B7830">
            <w:pPr>
              <w:spacing w:before="0" w:after="0" w:line="240" w:lineRule="auto"/>
              <w:jc w:val="right"/>
              <w:rPr>
                <w:rFonts w:ascii="Arial" w:hAnsi="Arial" w:cs="Arial"/>
                <w:i/>
                <w:iCs/>
                <w:sz w:val="16"/>
                <w:szCs w:val="16"/>
              </w:rPr>
            </w:pPr>
            <w:r w:rsidRPr="00673C1F">
              <w:rPr>
                <w:rFonts w:ascii="Arial" w:hAnsi="Arial" w:cs="Arial"/>
                <w:i/>
                <w:iCs/>
                <w:sz w:val="16"/>
                <w:szCs w:val="16"/>
              </w:rPr>
              <w:t> </w:t>
            </w:r>
          </w:p>
        </w:tc>
        <w:tc>
          <w:tcPr>
            <w:tcW w:w="460" w:type="pct"/>
            <w:tcBorders>
              <w:top w:val="nil"/>
              <w:left w:val="nil"/>
              <w:bottom w:val="single" w:sz="4" w:space="0" w:color="000000"/>
              <w:right w:val="nil"/>
            </w:tcBorders>
            <w:shd w:val="clear" w:color="000000" w:fill="FFFFFF"/>
            <w:noWrap/>
            <w:vAlign w:val="center"/>
            <w:hideMark/>
          </w:tcPr>
          <w:p w14:paraId="1D541AEC" w14:textId="77777777" w:rsidR="001B7830" w:rsidRPr="00673C1F" w:rsidRDefault="001B7830" w:rsidP="001B7830">
            <w:pPr>
              <w:spacing w:before="0" w:after="0" w:line="240" w:lineRule="auto"/>
              <w:jc w:val="right"/>
              <w:rPr>
                <w:rFonts w:ascii="Arial" w:hAnsi="Arial" w:cs="Arial"/>
                <w:i/>
                <w:iCs/>
                <w:sz w:val="16"/>
                <w:szCs w:val="16"/>
              </w:rPr>
            </w:pPr>
            <w:r w:rsidRPr="00673C1F">
              <w:rPr>
                <w:rFonts w:ascii="Arial" w:hAnsi="Arial" w:cs="Arial"/>
                <w:i/>
                <w:iCs/>
                <w:sz w:val="16"/>
                <w:szCs w:val="16"/>
              </w:rPr>
              <w:t>26,400</w:t>
            </w:r>
          </w:p>
        </w:tc>
        <w:tc>
          <w:tcPr>
            <w:tcW w:w="460" w:type="pct"/>
            <w:tcBorders>
              <w:top w:val="nil"/>
              <w:left w:val="nil"/>
              <w:bottom w:val="single" w:sz="4" w:space="0" w:color="000000"/>
              <w:right w:val="nil"/>
            </w:tcBorders>
            <w:shd w:val="clear" w:color="000000" w:fill="E6F2FF"/>
            <w:noWrap/>
            <w:vAlign w:val="center"/>
            <w:hideMark/>
          </w:tcPr>
          <w:p w14:paraId="3E99975E" w14:textId="77777777" w:rsidR="001B7830" w:rsidRPr="00673C1F" w:rsidRDefault="001B7830" w:rsidP="001B7830">
            <w:pPr>
              <w:spacing w:before="0" w:after="0" w:line="240" w:lineRule="auto"/>
              <w:jc w:val="right"/>
              <w:rPr>
                <w:rFonts w:ascii="Arial" w:hAnsi="Arial" w:cs="Arial"/>
                <w:i/>
                <w:iCs/>
                <w:sz w:val="16"/>
                <w:szCs w:val="16"/>
              </w:rPr>
            </w:pPr>
            <w:r w:rsidRPr="00673C1F">
              <w:rPr>
                <w:rFonts w:ascii="Arial" w:hAnsi="Arial" w:cs="Arial"/>
                <w:i/>
                <w:iCs/>
                <w:sz w:val="16"/>
                <w:szCs w:val="16"/>
              </w:rPr>
              <w:t>23,600</w:t>
            </w:r>
          </w:p>
        </w:tc>
        <w:tc>
          <w:tcPr>
            <w:tcW w:w="526" w:type="pct"/>
            <w:tcBorders>
              <w:top w:val="nil"/>
              <w:left w:val="nil"/>
              <w:bottom w:val="single" w:sz="4" w:space="0" w:color="000000"/>
              <w:right w:val="nil"/>
            </w:tcBorders>
            <w:shd w:val="clear" w:color="000000" w:fill="FFFFFF"/>
            <w:noWrap/>
            <w:vAlign w:val="center"/>
            <w:hideMark/>
          </w:tcPr>
          <w:p w14:paraId="2550BD81" w14:textId="77777777" w:rsidR="001B7830" w:rsidRPr="00673C1F" w:rsidRDefault="001B7830" w:rsidP="001B7830">
            <w:pPr>
              <w:spacing w:before="0" w:after="0" w:line="240" w:lineRule="auto"/>
              <w:jc w:val="right"/>
              <w:rPr>
                <w:rFonts w:ascii="Arial" w:hAnsi="Arial" w:cs="Arial"/>
                <w:i/>
                <w:iCs/>
                <w:sz w:val="16"/>
                <w:szCs w:val="16"/>
              </w:rPr>
            </w:pPr>
            <w:r w:rsidRPr="00673C1F">
              <w:rPr>
                <w:rFonts w:ascii="Arial" w:hAnsi="Arial" w:cs="Arial"/>
                <w:i/>
                <w:iCs/>
                <w:sz w:val="16"/>
                <w:szCs w:val="16"/>
              </w:rPr>
              <w:t>23,800</w:t>
            </w:r>
          </w:p>
        </w:tc>
        <w:tc>
          <w:tcPr>
            <w:tcW w:w="526" w:type="pct"/>
            <w:tcBorders>
              <w:top w:val="nil"/>
              <w:left w:val="nil"/>
              <w:bottom w:val="single" w:sz="4" w:space="0" w:color="000000"/>
              <w:right w:val="nil"/>
            </w:tcBorders>
            <w:shd w:val="clear" w:color="000000" w:fill="FFFFFF"/>
            <w:noWrap/>
            <w:vAlign w:val="center"/>
            <w:hideMark/>
          </w:tcPr>
          <w:p w14:paraId="2582B4DD" w14:textId="77777777" w:rsidR="001B7830" w:rsidRPr="00673C1F" w:rsidRDefault="001B7830" w:rsidP="001B7830">
            <w:pPr>
              <w:spacing w:before="0" w:after="0" w:line="240" w:lineRule="auto"/>
              <w:jc w:val="right"/>
              <w:rPr>
                <w:rFonts w:ascii="Arial" w:hAnsi="Arial" w:cs="Arial"/>
                <w:i/>
                <w:iCs/>
                <w:sz w:val="16"/>
                <w:szCs w:val="16"/>
              </w:rPr>
            </w:pPr>
            <w:r w:rsidRPr="00673C1F">
              <w:rPr>
                <w:rFonts w:ascii="Arial" w:hAnsi="Arial" w:cs="Arial"/>
                <w:i/>
                <w:iCs/>
                <w:sz w:val="16"/>
                <w:szCs w:val="16"/>
              </w:rPr>
              <w:t>24,800</w:t>
            </w:r>
          </w:p>
        </w:tc>
        <w:tc>
          <w:tcPr>
            <w:tcW w:w="527" w:type="pct"/>
            <w:tcBorders>
              <w:top w:val="nil"/>
              <w:left w:val="nil"/>
              <w:bottom w:val="single" w:sz="4" w:space="0" w:color="000000"/>
              <w:right w:val="nil"/>
            </w:tcBorders>
            <w:shd w:val="clear" w:color="000000" w:fill="FFFFFF"/>
            <w:noWrap/>
            <w:vAlign w:val="center"/>
            <w:hideMark/>
          </w:tcPr>
          <w:p w14:paraId="22614233" w14:textId="77777777" w:rsidR="001B7830" w:rsidRPr="00673C1F" w:rsidRDefault="001B7830" w:rsidP="001B7830">
            <w:pPr>
              <w:spacing w:before="0" w:after="0" w:line="240" w:lineRule="auto"/>
              <w:jc w:val="right"/>
              <w:rPr>
                <w:rFonts w:ascii="Arial" w:hAnsi="Arial" w:cs="Arial"/>
                <w:i/>
                <w:iCs/>
                <w:sz w:val="16"/>
                <w:szCs w:val="16"/>
              </w:rPr>
            </w:pPr>
            <w:r w:rsidRPr="00673C1F">
              <w:rPr>
                <w:rFonts w:ascii="Arial" w:hAnsi="Arial" w:cs="Arial"/>
                <w:i/>
                <w:iCs/>
                <w:sz w:val="16"/>
                <w:szCs w:val="16"/>
              </w:rPr>
              <w:t>26,100</w:t>
            </w:r>
          </w:p>
        </w:tc>
      </w:tr>
    </w:tbl>
    <w:p w14:paraId="1966BB2D" w14:textId="7550B2A6" w:rsidR="00356E70" w:rsidRPr="00673C1F" w:rsidRDefault="006D727E" w:rsidP="00FC4A4B">
      <w:pPr>
        <w:pStyle w:val="ChartandTableFootnoteAlpha"/>
        <w:numPr>
          <w:ilvl w:val="0"/>
          <w:numId w:val="38"/>
        </w:numPr>
        <w:rPr>
          <w:color w:val="auto"/>
        </w:rPr>
      </w:pPr>
      <w:r w:rsidRPr="00673C1F">
        <w:rPr>
          <w:color w:val="auto"/>
        </w:rPr>
        <w:t>‘</w:t>
      </w:r>
      <w:r w:rsidR="00356E70" w:rsidRPr="00673C1F">
        <w:rPr>
          <w:color w:val="auto"/>
        </w:rPr>
        <w:t>Other alcoholic beverages</w:t>
      </w:r>
      <w:r w:rsidRPr="00673C1F">
        <w:rPr>
          <w:color w:val="auto"/>
        </w:rPr>
        <w:t>’</w:t>
      </w:r>
      <w:r w:rsidR="00356E70" w:rsidRPr="00673C1F">
        <w:rPr>
          <w:color w:val="auto"/>
        </w:rPr>
        <w:t xml:space="preserve"> are those not exceeding 10</w:t>
      </w:r>
      <w:r w:rsidR="007B112E" w:rsidRPr="00673C1F">
        <w:rPr>
          <w:color w:val="auto"/>
        </w:rPr>
        <w:t> </w:t>
      </w:r>
      <w:r w:rsidR="00356E70" w:rsidRPr="00673C1F">
        <w:rPr>
          <w:color w:val="auto"/>
        </w:rPr>
        <w:t>per</w:t>
      </w:r>
      <w:r w:rsidR="007B112E" w:rsidRPr="00673C1F">
        <w:rPr>
          <w:color w:val="auto"/>
        </w:rPr>
        <w:t> </w:t>
      </w:r>
      <w:r w:rsidR="00356E70" w:rsidRPr="00673C1F">
        <w:rPr>
          <w:color w:val="auto"/>
        </w:rPr>
        <w:t xml:space="preserve">cent by volume of alcohol (excluding beer, brandy and wine). </w:t>
      </w:r>
    </w:p>
    <w:p w14:paraId="222D76AA" w14:textId="68B05EDC" w:rsidR="00356E70" w:rsidRPr="00673C1F" w:rsidRDefault="006D727E" w:rsidP="00360BF4">
      <w:pPr>
        <w:pStyle w:val="ChartandTableFootnoteAlpha"/>
        <w:rPr>
          <w:color w:val="auto"/>
        </w:rPr>
      </w:pPr>
      <w:r w:rsidRPr="00673C1F">
        <w:rPr>
          <w:color w:val="auto"/>
        </w:rPr>
        <w:t>‘</w:t>
      </w:r>
      <w:r w:rsidR="00356E70" w:rsidRPr="00673C1F">
        <w:rPr>
          <w:color w:val="auto"/>
        </w:rPr>
        <w:t>Capital gains tax</w:t>
      </w:r>
      <w:r w:rsidRPr="00673C1F">
        <w:rPr>
          <w:color w:val="auto"/>
        </w:rPr>
        <w:t>’</w:t>
      </w:r>
      <w:r w:rsidR="00356E70" w:rsidRPr="00673C1F">
        <w:rPr>
          <w:color w:val="auto"/>
        </w:rPr>
        <w:t xml:space="preserve"> is part of gross other individuals, company tax and superannuation fund taxes.</w:t>
      </w:r>
    </w:p>
    <w:p w14:paraId="68929E3D" w14:textId="77777777" w:rsidR="00360BF4" w:rsidRPr="00673C1F" w:rsidRDefault="00360BF4" w:rsidP="00E977B3">
      <w:pPr>
        <w:pStyle w:val="TableLine"/>
      </w:pPr>
    </w:p>
    <w:p w14:paraId="452E14E6" w14:textId="77777777" w:rsidR="00356E70" w:rsidRPr="00673C1F" w:rsidRDefault="00356E70" w:rsidP="00356E70">
      <w:pPr>
        <w:pStyle w:val="Heading2"/>
      </w:pPr>
      <w:bookmarkStart w:id="48" w:name="_Toc134182350"/>
      <w:r w:rsidRPr="00673C1F">
        <w:lastRenderedPageBreak/>
        <w:t>Variations in revenue estimates</w:t>
      </w:r>
      <w:bookmarkEnd w:id="48"/>
    </w:p>
    <w:p w14:paraId="13E49DCA" w14:textId="4E7E48BC" w:rsidR="00356E70" w:rsidRPr="00673C1F" w:rsidRDefault="00356E70" w:rsidP="00356E70">
      <w:r w:rsidRPr="00673C1F">
        <w:t>The revenue estimates are the accrual accounting equivalent of the cash</w:t>
      </w:r>
      <w:r w:rsidR="006D727E" w:rsidRPr="00673C1F">
        <w:noBreakHyphen/>
      </w:r>
      <w:r w:rsidRPr="00673C1F">
        <w:t xml:space="preserve">based receipts estimates. Changes in revenue are generally driven by the same factors as receipts. </w:t>
      </w:r>
    </w:p>
    <w:p w14:paraId="448606E1" w14:textId="01305B73" w:rsidR="00356E70" w:rsidRPr="00673C1F" w:rsidRDefault="00356E70" w:rsidP="00356E70">
      <w:r w:rsidRPr="00673C1F">
        <w:t xml:space="preserve">Revenues are usually higher than the cash equivalents because the amounts are generally recognised when they are owed rather than when they are paid. The differences between the accrual and cash amounts therefore generally reflect payment timing differences. Table 5.8 provides a reconciliation of </w:t>
      </w:r>
      <w:r w:rsidR="004F602D" w:rsidRPr="00673C1F">
        <w:t>the 2024–25</w:t>
      </w:r>
      <w:r w:rsidRPr="00673C1F">
        <w:t xml:space="preserve"> Budget revenue estimates with those at</w:t>
      </w:r>
      <w:r w:rsidR="00091FB7" w:rsidRPr="00673C1F">
        <w:t xml:space="preserve"> the 2023–24 Budget and</w:t>
      </w:r>
      <w:r w:rsidRPr="00673C1F">
        <w:t xml:space="preserve"> </w:t>
      </w:r>
      <w:r w:rsidR="00384EBD" w:rsidRPr="00673C1F">
        <w:t>MYEFO</w:t>
      </w:r>
      <w:r w:rsidRPr="00673C1F">
        <w:t xml:space="preserve">. </w:t>
      </w:r>
    </w:p>
    <w:p w14:paraId="1940CDFA" w14:textId="1BDAA088" w:rsidR="00B73037" w:rsidRPr="00673C1F" w:rsidRDefault="00356E70" w:rsidP="00BD4D31">
      <w:pPr>
        <w:pStyle w:val="TableHeading"/>
        <w:rPr>
          <w:rFonts w:asciiTheme="minorHAnsi" w:eastAsiaTheme="minorHAnsi" w:hAnsiTheme="minorHAnsi" w:cstheme="minorBidi"/>
          <w:sz w:val="22"/>
          <w:szCs w:val="22"/>
          <w:lang w:eastAsia="en-US"/>
        </w:rPr>
      </w:pPr>
      <w:r w:rsidRPr="00673C1F">
        <w:t xml:space="preserve">Table 5.8: Reconciliation of Australian Government general government revenue estimates from the </w:t>
      </w:r>
      <w:r w:rsidR="00384EBD" w:rsidRPr="00673C1F">
        <w:t>2023</w:t>
      </w:r>
      <w:r w:rsidR="006346BF" w:rsidRPr="00673C1F">
        <w:t>–</w:t>
      </w:r>
      <w:r w:rsidR="00384EBD" w:rsidRPr="00673C1F">
        <w:t>24 MYE</w:t>
      </w:r>
      <w:r w:rsidR="00FF4720" w:rsidRPr="00673C1F">
        <w:t>FO</w:t>
      </w:r>
      <w:r w:rsidR="00094BCB" w:rsidRPr="00673C1F">
        <w:t xml:space="preserve"> and the 2023–24 Budge</w:t>
      </w:r>
      <w:r w:rsidR="003E6538" w:rsidRPr="00673C1F">
        <w:t>t</w:t>
      </w:r>
    </w:p>
    <w:tbl>
      <w:tblPr>
        <w:tblW w:w="5000" w:type="pct"/>
        <w:tblCellMar>
          <w:left w:w="0" w:type="dxa"/>
          <w:right w:w="28" w:type="dxa"/>
        </w:tblCellMar>
        <w:tblLook w:val="04A0" w:firstRow="1" w:lastRow="0" w:firstColumn="1" w:lastColumn="0" w:noHBand="0" w:noVBand="1"/>
      </w:tblPr>
      <w:tblGrid>
        <w:gridCol w:w="2998"/>
        <w:gridCol w:w="772"/>
        <w:gridCol w:w="773"/>
        <w:gridCol w:w="773"/>
        <w:gridCol w:w="773"/>
        <w:gridCol w:w="773"/>
        <w:gridCol w:w="77"/>
        <w:gridCol w:w="771"/>
      </w:tblGrid>
      <w:tr w:rsidR="00B73037" w:rsidRPr="00673C1F" w14:paraId="279BCF41" w14:textId="77777777" w:rsidTr="007A51FB">
        <w:trPr>
          <w:trHeight w:hRule="exact" w:val="225"/>
        </w:trPr>
        <w:tc>
          <w:tcPr>
            <w:tcW w:w="1945" w:type="pct"/>
            <w:tcBorders>
              <w:top w:val="single" w:sz="4" w:space="0" w:color="293F5B"/>
              <w:left w:val="nil"/>
              <w:bottom w:val="nil"/>
              <w:right w:val="nil"/>
            </w:tcBorders>
            <w:shd w:val="clear" w:color="000000" w:fill="FFFFFF"/>
            <w:noWrap/>
            <w:vAlign w:val="center"/>
            <w:hideMark/>
          </w:tcPr>
          <w:p w14:paraId="5D5E6288" w14:textId="64EDFE47" w:rsidR="00B73037" w:rsidRPr="00673C1F" w:rsidRDefault="00B73037">
            <w:pPr>
              <w:rPr>
                <w:rFonts w:ascii="Arial" w:hAnsi="Arial" w:cs="Arial"/>
                <w:sz w:val="16"/>
                <w:szCs w:val="16"/>
              </w:rPr>
            </w:pPr>
            <w:r w:rsidRPr="00673C1F">
              <w:rPr>
                <w:rFonts w:ascii="Arial" w:hAnsi="Arial" w:cs="Arial"/>
                <w:sz w:val="16"/>
                <w:szCs w:val="16"/>
              </w:rPr>
              <w:t> </w:t>
            </w:r>
          </w:p>
        </w:tc>
        <w:tc>
          <w:tcPr>
            <w:tcW w:w="2505" w:type="pct"/>
            <w:gridSpan w:val="5"/>
            <w:tcBorders>
              <w:top w:val="single" w:sz="4" w:space="0" w:color="293F5B"/>
              <w:left w:val="nil"/>
              <w:bottom w:val="nil"/>
              <w:right w:val="nil"/>
            </w:tcBorders>
            <w:shd w:val="clear" w:color="000000" w:fill="FFFFFF"/>
            <w:noWrap/>
            <w:vAlign w:val="center"/>
            <w:hideMark/>
          </w:tcPr>
          <w:p w14:paraId="08F6D5C6" w14:textId="77777777" w:rsidR="00B73037" w:rsidRPr="00673C1F" w:rsidRDefault="00B73037" w:rsidP="00B73037">
            <w:pPr>
              <w:spacing w:before="0" w:after="0" w:line="240" w:lineRule="auto"/>
              <w:jc w:val="center"/>
              <w:rPr>
                <w:rFonts w:ascii="Arial" w:hAnsi="Arial" w:cs="Arial"/>
                <w:sz w:val="16"/>
                <w:szCs w:val="16"/>
              </w:rPr>
            </w:pPr>
            <w:r w:rsidRPr="00673C1F">
              <w:rPr>
                <w:rFonts w:ascii="Arial" w:hAnsi="Arial" w:cs="Arial"/>
                <w:sz w:val="16"/>
                <w:szCs w:val="16"/>
              </w:rPr>
              <w:t>Estimates</w:t>
            </w:r>
          </w:p>
        </w:tc>
        <w:tc>
          <w:tcPr>
            <w:tcW w:w="50" w:type="pct"/>
            <w:tcBorders>
              <w:top w:val="single" w:sz="4" w:space="0" w:color="293F5B"/>
              <w:left w:val="nil"/>
              <w:bottom w:val="nil"/>
              <w:right w:val="nil"/>
            </w:tcBorders>
            <w:shd w:val="clear" w:color="000000" w:fill="FFFFFF"/>
            <w:noWrap/>
            <w:vAlign w:val="center"/>
            <w:hideMark/>
          </w:tcPr>
          <w:p w14:paraId="0073C2A8"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c>
          <w:tcPr>
            <w:tcW w:w="501" w:type="pct"/>
            <w:tcBorders>
              <w:top w:val="single" w:sz="4" w:space="0" w:color="293F5B"/>
              <w:left w:val="nil"/>
              <w:bottom w:val="single" w:sz="4" w:space="0" w:color="293F5B"/>
              <w:right w:val="nil"/>
            </w:tcBorders>
            <w:shd w:val="clear" w:color="000000" w:fill="FFFFFF"/>
            <w:noWrap/>
            <w:vAlign w:val="center"/>
            <w:hideMark/>
          </w:tcPr>
          <w:p w14:paraId="73FF6392"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r>
      <w:tr w:rsidR="00B73037" w:rsidRPr="00673C1F" w14:paraId="45FD0490" w14:textId="77777777" w:rsidTr="007A51FB">
        <w:trPr>
          <w:trHeight w:hRule="exact" w:val="225"/>
        </w:trPr>
        <w:tc>
          <w:tcPr>
            <w:tcW w:w="1945" w:type="pct"/>
            <w:tcBorders>
              <w:top w:val="nil"/>
              <w:left w:val="nil"/>
              <w:bottom w:val="nil"/>
              <w:right w:val="nil"/>
            </w:tcBorders>
            <w:shd w:val="clear" w:color="000000" w:fill="FFFFFF"/>
            <w:noWrap/>
            <w:vAlign w:val="bottom"/>
            <w:hideMark/>
          </w:tcPr>
          <w:p w14:paraId="1F6AAF55"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c>
          <w:tcPr>
            <w:tcW w:w="501" w:type="pct"/>
            <w:tcBorders>
              <w:top w:val="single" w:sz="4" w:space="0" w:color="293F5B"/>
              <w:left w:val="nil"/>
              <w:bottom w:val="nil"/>
              <w:right w:val="nil"/>
            </w:tcBorders>
            <w:shd w:val="clear" w:color="000000" w:fill="FFFFFF"/>
            <w:noWrap/>
            <w:vAlign w:val="center"/>
            <w:hideMark/>
          </w:tcPr>
          <w:p w14:paraId="5AD504A1" w14:textId="275661EB"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2023</w:t>
            </w:r>
            <w:r w:rsidR="006D727E" w:rsidRPr="00673C1F">
              <w:rPr>
                <w:rFonts w:ascii="Arial" w:hAnsi="Arial" w:cs="Arial"/>
                <w:sz w:val="16"/>
                <w:szCs w:val="16"/>
              </w:rPr>
              <w:noBreakHyphen/>
            </w:r>
            <w:r w:rsidRPr="00673C1F">
              <w:rPr>
                <w:rFonts w:ascii="Arial" w:hAnsi="Arial" w:cs="Arial"/>
                <w:sz w:val="16"/>
                <w:szCs w:val="16"/>
              </w:rPr>
              <w:t>24</w:t>
            </w:r>
          </w:p>
        </w:tc>
        <w:tc>
          <w:tcPr>
            <w:tcW w:w="501" w:type="pct"/>
            <w:tcBorders>
              <w:top w:val="single" w:sz="4" w:space="0" w:color="293F5B"/>
              <w:left w:val="nil"/>
              <w:bottom w:val="nil"/>
              <w:right w:val="nil"/>
            </w:tcBorders>
            <w:shd w:val="clear" w:color="000000" w:fill="E6F2FF"/>
            <w:noWrap/>
            <w:vAlign w:val="center"/>
            <w:hideMark/>
          </w:tcPr>
          <w:p w14:paraId="391F6988" w14:textId="23BFD3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2024</w:t>
            </w:r>
            <w:r w:rsidR="006D727E" w:rsidRPr="00673C1F">
              <w:rPr>
                <w:rFonts w:ascii="Arial" w:hAnsi="Arial" w:cs="Arial"/>
                <w:sz w:val="16"/>
                <w:szCs w:val="16"/>
              </w:rPr>
              <w:noBreakHyphen/>
            </w:r>
            <w:r w:rsidRPr="00673C1F">
              <w:rPr>
                <w:rFonts w:ascii="Arial" w:hAnsi="Arial" w:cs="Arial"/>
                <w:sz w:val="16"/>
                <w:szCs w:val="16"/>
              </w:rPr>
              <w:t>25</w:t>
            </w:r>
          </w:p>
        </w:tc>
        <w:tc>
          <w:tcPr>
            <w:tcW w:w="501" w:type="pct"/>
            <w:tcBorders>
              <w:top w:val="single" w:sz="4" w:space="0" w:color="293F5B"/>
              <w:left w:val="nil"/>
              <w:bottom w:val="nil"/>
              <w:right w:val="nil"/>
            </w:tcBorders>
            <w:shd w:val="clear" w:color="000000" w:fill="FFFFFF"/>
            <w:noWrap/>
            <w:vAlign w:val="center"/>
            <w:hideMark/>
          </w:tcPr>
          <w:p w14:paraId="05206678" w14:textId="1F1D130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2025</w:t>
            </w:r>
            <w:r w:rsidR="006D727E" w:rsidRPr="00673C1F">
              <w:rPr>
                <w:rFonts w:ascii="Arial" w:hAnsi="Arial" w:cs="Arial"/>
                <w:sz w:val="16"/>
                <w:szCs w:val="16"/>
              </w:rPr>
              <w:noBreakHyphen/>
            </w:r>
            <w:r w:rsidRPr="00673C1F">
              <w:rPr>
                <w:rFonts w:ascii="Arial" w:hAnsi="Arial" w:cs="Arial"/>
                <w:sz w:val="16"/>
                <w:szCs w:val="16"/>
              </w:rPr>
              <w:t>26</w:t>
            </w:r>
          </w:p>
        </w:tc>
        <w:tc>
          <w:tcPr>
            <w:tcW w:w="501" w:type="pct"/>
            <w:tcBorders>
              <w:top w:val="single" w:sz="4" w:space="0" w:color="293F5B"/>
              <w:left w:val="nil"/>
              <w:bottom w:val="nil"/>
              <w:right w:val="nil"/>
            </w:tcBorders>
            <w:shd w:val="clear" w:color="000000" w:fill="FFFFFF"/>
            <w:noWrap/>
            <w:vAlign w:val="center"/>
            <w:hideMark/>
          </w:tcPr>
          <w:p w14:paraId="4707B7D3" w14:textId="0B223F98"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2026</w:t>
            </w:r>
            <w:r w:rsidR="006D727E" w:rsidRPr="00673C1F">
              <w:rPr>
                <w:rFonts w:ascii="Arial" w:hAnsi="Arial" w:cs="Arial"/>
                <w:sz w:val="16"/>
                <w:szCs w:val="16"/>
              </w:rPr>
              <w:noBreakHyphen/>
            </w:r>
            <w:r w:rsidRPr="00673C1F">
              <w:rPr>
                <w:rFonts w:ascii="Arial" w:hAnsi="Arial" w:cs="Arial"/>
                <w:sz w:val="16"/>
                <w:szCs w:val="16"/>
              </w:rPr>
              <w:t>27</w:t>
            </w:r>
          </w:p>
        </w:tc>
        <w:tc>
          <w:tcPr>
            <w:tcW w:w="501" w:type="pct"/>
            <w:tcBorders>
              <w:top w:val="single" w:sz="4" w:space="0" w:color="293F5B"/>
              <w:left w:val="nil"/>
              <w:bottom w:val="nil"/>
              <w:right w:val="nil"/>
            </w:tcBorders>
            <w:shd w:val="clear" w:color="000000" w:fill="FFFFFF"/>
            <w:noWrap/>
            <w:vAlign w:val="center"/>
            <w:hideMark/>
          </w:tcPr>
          <w:p w14:paraId="0E23F644" w14:textId="45CEE1D5"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2027</w:t>
            </w:r>
            <w:r w:rsidR="006D727E" w:rsidRPr="00673C1F">
              <w:rPr>
                <w:rFonts w:ascii="Arial" w:hAnsi="Arial" w:cs="Arial"/>
                <w:sz w:val="16"/>
                <w:szCs w:val="16"/>
              </w:rPr>
              <w:noBreakHyphen/>
            </w:r>
            <w:r w:rsidRPr="00673C1F">
              <w:rPr>
                <w:rFonts w:ascii="Arial" w:hAnsi="Arial" w:cs="Arial"/>
                <w:sz w:val="16"/>
                <w:szCs w:val="16"/>
              </w:rPr>
              <w:t>28</w:t>
            </w:r>
          </w:p>
        </w:tc>
        <w:tc>
          <w:tcPr>
            <w:tcW w:w="50" w:type="pct"/>
            <w:tcBorders>
              <w:top w:val="nil"/>
              <w:left w:val="nil"/>
              <w:bottom w:val="nil"/>
              <w:right w:val="nil"/>
            </w:tcBorders>
            <w:shd w:val="clear" w:color="000000" w:fill="FFFFFF"/>
            <w:noWrap/>
            <w:vAlign w:val="center"/>
            <w:hideMark/>
          </w:tcPr>
          <w:p w14:paraId="14AB55AA"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 </w:t>
            </w:r>
          </w:p>
        </w:tc>
        <w:tc>
          <w:tcPr>
            <w:tcW w:w="501" w:type="pct"/>
            <w:tcBorders>
              <w:top w:val="nil"/>
              <w:left w:val="nil"/>
              <w:bottom w:val="nil"/>
              <w:right w:val="nil"/>
            </w:tcBorders>
            <w:shd w:val="clear" w:color="000000" w:fill="FFFFFF"/>
            <w:noWrap/>
            <w:vAlign w:val="center"/>
            <w:hideMark/>
          </w:tcPr>
          <w:p w14:paraId="0C020EC3"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Total</w:t>
            </w:r>
          </w:p>
        </w:tc>
      </w:tr>
      <w:tr w:rsidR="00B73037" w:rsidRPr="00673C1F" w14:paraId="2DA65BDC" w14:textId="77777777" w:rsidTr="007A51FB">
        <w:trPr>
          <w:trHeight w:hRule="exact" w:val="225"/>
        </w:trPr>
        <w:tc>
          <w:tcPr>
            <w:tcW w:w="1945" w:type="pct"/>
            <w:tcBorders>
              <w:top w:val="nil"/>
              <w:left w:val="nil"/>
              <w:bottom w:val="nil"/>
              <w:right w:val="nil"/>
            </w:tcBorders>
            <w:shd w:val="clear" w:color="000000" w:fill="FFFFFF"/>
            <w:noWrap/>
            <w:vAlign w:val="center"/>
            <w:hideMark/>
          </w:tcPr>
          <w:p w14:paraId="16A4EB38"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c>
          <w:tcPr>
            <w:tcW w:w="501" w:type="pct"/>
            <w:tcBorders>
              <w:top w:val="nil"/>
              <w:left w:val="nil"/>
              <w:bottom w:val="single" w:sz="4" w:space="0" w:color="293F5B"/>
              <w:right w:val="nil"/>
            </w:tcBorders>
            <w:shd w:val="clear" w:color="000000" w:fill="FFFFFF"/>
            <w:noWrap/>
            <w:vAlign w:val="center"/>
            <w:hideMark/>
          </w:tcPr>
          <w:p w14:paraId="4FE09431"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$m</w:t>
            </w:r>
          </w:p>
        </w:tc>
        <w:tc>
          <w:tcPr>
            <w:tcW w:w="501" w:type="pct"/>
            <w:tcBorders>
              <w:top w:val="nil"/>
              <w:left w:val="nil"/>
              <w:bottom w:val="single" w:sz="4" w:space="0" w:color="293F5B"/>
              <w:right w:val="nil"/>
            </w:tcBorders>
            <w:shd w:val="clear" w:color="000000" w:fill="E6F2FF"/>
            <w:noWrap/>
            <w:vAlign w:val="center"/>
            <w:hideMark/>
          </w:tcPr>
          <w:p w14:paraId="75A1F543"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$m</w:t>
            </w:r>
          </w:p>
        </w:tc>
        <w:tc>
          <w:tcPr>
            <w:tcW w:w="501" w:type="pct"/>
            <w:tcBorders>
              <w:top w:val="nil"/>
              <w:left w:val="nil"/>
              <w:bottom w:val="single" w:sz="4" w:space="0" w:color="293F5B"/>
              <w:right w:val="nil"/>
            </w:tcBorders>
            <w:shd w:val="clear" w:color="000000" w:fill="FFFFFF"/>
            <w:noWrap/>
            <w:vAlign w:val="center"/>
            <w:hideMark/>
          </w:tcPr>
          <w:p w14:paraId="614B06E5"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$m</w:t>
            </w:r>
          </w:p>
        </w:tc>
        <w:tc>
          <w:tcPr>
            <w:tcW w:w="501" w:type="pct"/>
            <w:tcBorders>
              <w:top w:val="nil"/>
              <w:left w:val="nil"/>
              <w:bottom w:val="single" w:sz="4" w:space="0" w:color="293F5B"/>
              <w:right w:val="nil"/>
            </w:tcBorders>
            <w:shd w:val="clear" w:color="000000" w:fill="FFFFFF"/>
            <w:noWrap/>
            <w:vAlign w:val="center"/>
            <w:hideMark/>
          </w:tcPr>
          <w:p w14:paraId="16546D44"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$m</w:t>
            </w:r>
          </w:p>
        </w:tc>
        <w:tc>
          <w:tcPr>
            <w:tcW w:w="501" w:type="pct"/>
            <w:tcBorders>
              <w:top w:val="nil"/>
              <w:left w:val="nil"/>
              <w:bottom w:val="single" w:sz="4" w:space="0" w:color="293F5B"/>
              <w:right w:val="nil"/>
            </w:tcBorders>
            <w:shd w:val="clear" w:color="000000" w:fill="FFFFFF"/>
            <w:noWrap/>
            <w:vAlign w:val="center"/>
            <w:hideMark/>
          </w:tcPr>
          <w:p w14:paraId="3FF076A9"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$m</w:t>
            </w:r>
          </w:p>
        </w:tc>
        <w:tc>
          <w:tcPr>
            <w:tcW w:w="50" w:type="pct"/>
            <w:tcBorders>
              <w:top w:val="nil"/>
              <w:left w:val="nil"/>
              <w:bottom w:val="nil"/>
              <w:right w:val="nil"/>
            </w:tcBorders>
            <w:shd w:val="clear" w:color="000000" w:fill="FFFFFF"/>
            <w:noWrap/>
            <w:vAlign w:val="center"/>
            <w:hideMark/>
          </w:tcPr>
          <w:p w14:paraId="07050AA3"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 </w:t>
            </w:r>
          </w:p>
        </w:tc>
        <w:tc>
          <w:tcPr>
            <w:tcW w:w="501" w:type="pct"/>
            <w:tcBorders>
              <w:top w:val="nil"/>
              <w:left w:val="nil"/>
              <w:bottom w:val="single" w:sz="4" w:space="0" w:color="293F5B"/>
              <w:right w:val="nil"/>
            </w:tcBorders>
            <w:shd w:val="clear" w:color="000000" w:fill="FFFFFF"/>
            <w:noWrap/>
            <w:vAlign w:val="center"/>
            <w:hideMark/>
          </w:tcPr>
          <w:p w14:paraId="6775CF80"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$m</w:t>
            </w:r>
          </w:p>
        </w:tc>
      </w:tr>
      <w:tr w:rsidR="00B73037" w:rsidRPr="00673C1F" w14:paraId="6322B37C" w14:textId="77777777" w:rsidTr="007A51FB">
        <w:trPr>
          <w:trHeight w:hRule="exact" w:val="225"/>
        </w:trPr>
        <w:tc>
          <w:tcPr>
            <w:tcW w:w="1945" w:type="pct"/>
            <w:tcBorders>
              <w:top w:val="nil"/>
              <w:left w:val="nil"/>
              <w:bottom w:val="nil"/>
              <w:right w:val="nil"/>
            </w:tcBorders>
            <w:shd w:val="clear" w:color="000000" w:fill="FFFFFF"/>
            <w:noWrap/>
            <w:vAlign w:val="center"/>
            <w:hideMark/>
          </w:tcPr>
          <w:p w14:paraId="621ED226" w14:textId="0930FAE2" w:rsidR="00B73037" w:rsidRPr="00673C1F" w:rsidRDefault="00B73037" w:rsidP="00B73037">
            <w:pPr>
              <w:spacing w:before="0" w:after="0" w:line="240" w:lineRule="auto"/>
              <w:rPr>
                <w:rFonts w:ascii="Arial" w:hAnsi="Arial" w:cs="Arial"/>
                <w:b/>
                <w:bCs/>
                <w:sz w:val="16"/>
                <w:szCs w:val="16"/>
              </w:rPr>
            </w:pPr>
            <w:r w:rsidRPr="00673C1F">
              <w:rPr>
                <w:rFonts w:ascii="Arial" w:hAnsi="Arial" w:cs="Arial"/>
                <w:b/>
                <w:bCs/>
                <w:sz w:val="16"/>
                <w:szCs w:val="16"/>
              </w:rPr>
              <w:t>Revenue at 2023</w:t>
            </w:r>
            <w:r w:rsidR="006D727E" w:rsidRPr="00673C1F">
              <w:rPr>
                <w:rFonts w:ascii="Arial" w:hAnsi="Arial" w:cs="Arial"/>
                <w:b/>
                <w:bCs/>
                <w:sz w:val="16"/>
                <w:szCs w:val="16"/>
              </w:rPr>
              <w:noBreakHyphen/>
            </w:r>
            <w:r w:rsidRPr="00673C1F">
              <w:rPr>
                <w:rFonts w:ascii="Arial" w:hAnsi="Arial" w:cs="Arial"/>
                <w:b/>
                <w:bCs/>
                <w:sz w:val="16"/>
                <w:szCs w:val="16"/>
              </w:rPr>
              <w:t>24 Budget</w:t>
            </w:r>
          </w:p>
        </w:tc>
        <w:tc>
          <w:tcPr>
            <w:tcW w:w="501" w:type="pct"/>
            <w:tcBorders>
              <w:top w:val="nil"/>
              <w:left w:val="nil"/>
              <w:bottom w:val="nil"/>
              <w:right w:val="nil"/>
            </w:tcBorders>
            <w:shd w:val="clear" w:color="000000" w:fill="FFFFFF"/>
            <w:noWrap/>
            <w:vAlign w:val="center"/>
            <w:hideMark/>
          </w:tcPr>
          <w:p w14:paraId="5370E3BB" w14:textId="77777777" w:rsidR="00B73037" w:rsidRPr="00673C1F" w:rsidRDefault="00B73037" w:rsidP="00B73037">
            <w:pPr>
              <w:spacing w:before="0" w:after="0" w:line="240" w:lineRule="auto"/>
              <w:jc w:val="right"/>
              <w:rPr>
                <w:rFonts w:ascii="Arial" w:hAnsi="Arial" w:cs="Arial"/>
                <w:b/>
                <w:bCs/>
                <w:sz w:val="16"/>
                <w:szCs w:val="16"/>
              </w:rPr>
            </w:pPr>
            <w:r w:rsidRPr="00673C1F">
              <w:rPr>
                <w:rFonts w:ascii="Arial" w:hAnsi="Arial" w:cs="Arial"/>
                <w:b/>
                <w:bCs/>
                <w:sz w:val="16"/>
                <w:szCs w:val="16"/>
              </w:rPr>
              <w:t>680,372</w:t>
            </w:r>
          </w:p>
        </w:tc>
        <w:tc>
          <w:tcPr>
            <w:tcW w:w="501" w:type="pct"/>
            <w:tcBorders>
              <w:top w:val="nil"/>
              <w:left w:val="nil"/>
              <w:bottom w:val="nil"/>
              <w:right w:val="nil"/>
            </w:tcBorders>
            <w:shd w:val="clear" w:color="000000" w:fill="E6F2FF"/>
            <w:noWrap/>
            <w:vAlign w:val="center"/>
            <w:hideMark/>
          </w:tcPr>
          <w:p w14:paraId="2CDD544D" w14:textId="77777777" w:rsidR="00B73037" w:rsidRPr="00673C1F" w:rsidRDefault="00B73037" w:rsidP="00B73037">
            <w:pPr>
              <w:spacing w:before="0" w:after="0" w:line="240" w:lineRule="auto"/>
              <w:jc w:val="right"/>
              <w:rPr>
                <w:rFonts w:ascii="Arial" w:hAnsi="Arial" w:cs="Arial"/>
                <w:b/>
                <w:bCs/>
                <w:sz w:val="16"/>
                <w:szCs w:val="16"/>
              </w:rPr>
            </w:pPr>
            <w:r w:rsidRPr="00673C1F">
              <w:rPr>
                <w:rFonts w:ascii="Arial" w:hAnsi="Arial" w:cs="Arial"/>
                <w:b/>
                <w:bCs/>
                <w:sz w:val="16"/>
                <w:szCs w:val="16"/>
              </w:rPr>
              <w:t>677,333</w:t>
            </w:r>
          </w:p>
        </w:tc>
        <w:tc>
          <w:tcPr>
            <w:tcW w:w="501" w:type="pct"/>
            <w:tcBorders>
              <w:top w:val="nil"/>
              <w:left w:val="nil"/>
              <w:bottom w:val="nil"/>
              <w:right w:val="nil"/>
            </w:tcBorders>
            <w:shd w:val="clear" w:color="000000" w:fill="FFFFFF"/>
            <w:noWrap/>
            <w:vAlign w:val="center"/>
            <w:hideMark/>
          </w:tcPr>
          <w:p w14:paraId="41F7DFDF" w14:textId="77777777" w:rsidR="00B73037" w:rsidRPr="00673C1F" w:rsidRDefault="00B73037" w:rsidP="00B73037">
            <w:pPr>
              <w:spacing w:before="0" w:after="0" w:line="240" w:lineRule="auto"/>
              <w:jc w:val="right"/>
              <w:rPr>
                <w:rFonts w:ascii="Arial" w:hAnsi="Arial" w:cs="Arial"/>
                <w:b/>
                <w:bCs/>
                <w:sz w:val="16"/>
                <w:szCs w:val="16"/>
              </w:rPr>
            </w:pPr>
            <w:r w:rsidRPr="00673C1F">
              <w:rPr>
                <w:rFonts w:ascii="Arial" w:hAnsi="Arial" w:cs="Arial"/>
                <w:b/>
                <w:bCs/>
                <w:sz w:val="16"/>
                <w:szCs w:val="16"/>
              </w:rPr>
              <w:t>713,738</w:t>
            </w:r>
          </w:p>
        </w:tc>
        <w:tc>
          <w:tcPr>
            <w:tcW w:w="501" w:type="pct"/>
            <w:tcBorders>
              <w:top w:val="nil"/>
              <w:left w:val="nil"/>
              <w:bottom w:val="nil"/>
              <w:right w:val="nil"/>
            </w:tcBorders>
            <w:shd w:val="clear" w:color="000000" w:fill="FFFFFF"/>
            <w:noWrap/>
            <w:vAlign w:val="center"/>
            <w:hideMark/>
          </w:tcPr>
          <w:p w14:paraId="5D5435F1" w14:textId="77777777" w:rsidR="00B73037" w:rsidRPr="00673C1F" w:rsidRDefault="00B73037" w:rsidP="00B73037">
            <w:pPr>
              <w:spacing w:before="0" w:after="0" w:line="240" w:lineRule="auto"/>
              <w:jc w:val="right"/>
              <w:rPr>
                <w:rFonts w:ascii="Arial" w:hAnsi="Arial" w:cs="Arial"/>
                <w:b/>
                <w:bCs/>
                <w:sz w:val="16"/>
                <w:szCs w:val="16"/>
              </w:rPr>
            </w:pPr>
            <w:r w:rsidRPr="00673C1F">
              <w:rPr>
                <w:rFonts w:ascii="Arial" w:hAnsi="Arial" w:cs="Arial"/>
                <w:b/>
                <w:bCs/>
                <w:sz w:val="16"/>
                <w:szCs w:val="16"/>
              </w:rPr>
              <w:t>748,237</w:t>
            </w:r>
          </w:p>
        </w:tc>
        <w:tc>
          <w:tcPr>
            <w:tcW w:w="501" w:type="pct"/>
            <w:tcBorders>
              <w:top w:val="nil"/>
              <w:left w:val="nil"/>
              <w:bottom w:val="nil"/>
              <w:right w:val="nil"/>
            </w:tcBorders>
            <w:shd w:val="clear" w:color="000000" w:fill="FFFFFF"/>
            <w:noWrap/>
            <w:vAlign w:val="center"/>
            <w:hideMark/>
          </w:tcPr>
          <w:p w14:paraId="02A646C8" w14:textId="77777777" w:rsidR="00B73037" w:rsidRPr="00673C1F" w:rsidRDefault="00B73037" w:rsidP="00B73037">
            <w:pPr>
              <w:spacing w:before="0" w:after="0" w:line="240" w:lineRule="auto"/>
              <w:jc w:val="right"/>
              <w:rPr>
                <w:rFonts w:ascii="Arial" w:hAnsi="Arial" w:cs="Arial"/>
                <w:b/>
                <w:bCs/>
                <w:sz w:val="16"/>
                <w:szCs w:val="16"/>
              </w:rPr>
            </w:pPr>
            <w:r w:rsidRPr="00673C1F">
              <w:rPr>
                <w:rFonts w:ascii="Arial" w:hAnsi="Arial" w:cs="Arial"/>
                <w:b/>
                <w:bCs/>
                <w:sz w:val="16"/>
                <w:szCs w:val="16"/>
              </w:rPr>
              <w:t>*</w:t>
            </w:r>
          </w:p>
        </w:tc>
        <w:tc>
          <w:tcPr>
            <w:tcW w:w="50" w:type="pct"/>
            <w:tcBorders>
              <w:top w:val="nil"/>
              <w:left w:val="nil"/>
              <w:bottom w:val="nil"/>
              <w:right w:val="nil"/>
            </w:tcBorders>
            <w:shd w:val="clear" w:color="000000" w:fill="FFFFFF"/>
            <w:noWrap/>
            <w:vAlign w:val="center"/>
            <w:hideMark/>
          </w:tcPr>
          <w:p w14:paraId="3FF60D2B" w14:textId="77777777" w:rsidR="00B73037" w:rsidRPr="00673C1F" w:rsidRDefault="00B73037" w:rsidP="00B73037">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501" w:type="pct"/>
            <w:tcBorders>
              <w:top w:val="nil"/>
              <w:left w:val="nil"/>
              <w:bottom w:val="nil"/>
              <w:right w:val="nil"/>
            </w:tcBorders>
            <w:shd w:val="clear" w:color="000000" w:fill="FFFFFF"/>
            <w:noWrap/>
            <w:vAlign w:val="center"/>
            <w:hideMark/>
          </w:tcPr>
          <w:p w14:paraId="5D641266" w14:textId="77777777" w:rsidR="00B73037" w:rsidRPr="00673C1F" w:rsidRDefault="00B73037" w:rsidP="00B73037">
            <w:pPr>
              <w:spacing w:before="0" w:after="0" w:line="240" w:lineRule="auto"/>
              <w:jc w:val="right"/>
              <w:rPr>
                <w:rFonts w:ascii="Arial" w:hAnsi="Arial" w:cs="Arial"/>
                <w:b/>
                <w:bCs/>
                <w:sz w:val="16"/>
                <w:szCs w:val="16"/>
              </w:rPr>
            </w:pPr>
            <w:r w:rsidRPr="00673C1F">
              <w:rPr>
                <w:rFonts w:ascii="Arial" w:hAnsi="Arial" w:cs="Arial"/>
                <w:b/>
                <w:bCs/>
                <w:sz w:val="16"/>
                <w:szCs w:val="16"/>
              </w:rPr>
              <w:t>*</w:t>
            </w:r>
          </w:p>
        </w:tc>
      </w:tr>
      <w:tr w:rsidR="00B73037" w:rsidRPr="00673C1F" w14:paraId="16DA0255" w14:textId="77777777" w:rsidTr="007A51FB">
        <w:trPr>
          <w:trHeight w:hRule="exact" w:val="60"/>
        </w:trPr>
        <w:tc>
          <w:tcPr>
            <w:tcW w:w="1945" w:type="pct"/>
            <w:tcBorders>
              <w:top w:val="nil"/>
              <w:left w:val="nil"/>
              <w:bottom w:val="nil"/>
              <w:right w:val="nil"/>
            </w:tcBorders>
            <w:shd w:val="clear" w:color="000000" w:fill="FFFFFF"/>
            <w:noWrap/>
            <w:vAlign w:val="center"/>
            <w:hideMark/>
          </w:tcPr>
          <w:p w14:paraId="454C937C" w14:textId="77777777" w:rsidR="00B73037" w:rsidRPr="00673C1F" w:rsidRDefault="00B73037" w:rsidP="00B73037">
            <w:pPr>
              <w:spacing w:before="0" w:after="0" w:line="240" w:lineRule="auto"/>
              <w:rPr>
                <w:rFonts w:ascii="Arial" w:hAnsi="Arial" w:cs="Arial"/>
                <w:b/>
                <w:bCs/>
                <w:sz w:val="16"/>
                <w:szCs w:val="16"/>
              </w:rPr>
            </w:pPr>
            <w:r w:rsidRPr="00673C1F">
              <w:rPr>
                <w:rFonts w:ascii="Arial" w:hAnsi="Arial" w:cs="Arial"/>
                <w:b/>
                <w:bCs/>
                <w:sz w:val="16"/>
                <w:szCs w:val="16"/>
              </w:rPr>
              <w:t> </w:t>
            </w:r>
          </w:p>
        </w:tc>
        <w:tc>
          <w:tcPr>
            <w:tcW w:w="501" w:type="pct"/>
            <w:tcBorders>
              <w:top w:val="nil"/>
              <w:left w:val="nil"/>
              <w:bottom w:val="nil"/>
              <w:right w:val="nil"/>
            </w:tcBorders>
            <w:shd w:val="clear" w:color="000000" w:fill="FFFFFF"/>
            <w:noWrap/>
            <w:vAlign w:val="center"/>
            <w:hideMark/>
          </w:tcPr>
          <w:p w14:paraId="25C2C40E"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c>
          <w:tcPr>
            <w:tcW w:w="501" w:type="pct"/>
            <w:tcBorders>
              <w:top w:val="nil"/>
              <w:left w:val="nil"/>
              <w:bottom w:val="nil"/>
              <w:right w:val="nil"/>
            </w:tcBorders>
            <w:shd w:val="clear" w:color="000000" w:fill="E6F2FF"/>
            <w:noWrap/>
            <w:vAlign w:val="center"/>
            <w:hideMark/>
          </w:tcPr>
          <w:p w14:paraId="3BE815EB"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c>
          <w:tcPr>
            <w:tcW w:w="501" w:type="pct"/>
            <w:tcBorders>
              <w:top w:val="nil"/>
              <w:left w:val="nil"/>
              <w:bottom w:val="nil"/>
              <w:right w:val="nil"/>
            </w:tcBorders>
            <w:shd w:val="clear" w:color="000000" w:fill="FFFFFF"/>
            <w:noWrap/>
            <w:vAlign w:val="center"/>
            <w:hideMark/>
          </w:tcPr>
          <w:p w14:paraId="519DA120"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c>
          <w:tcPr>
            <w:tcW w:w="501" w:type="pct"/>
            <w:tcBorders>
              <w:top w:val="nil"/>
              <w:left w:val="nil"/>
              <w:bottom w:val="nil"/>
              <w:right w:val="nil"/>
            </w:tcBorders>
            <w:shd w:val="clear" w:color="000000" w:fill="FFFFFF"/>
            <w:noWrap/>
            <w:vAlign w:val="center"/>
            <w:hideMark/>
          </w:tcPr>
          <w:p w14:paraId="273B30C7"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c>
          <w:tcPr>
            <w:tcW w:w="501" w:type="pct"/>
            <w:tcBorders>
              <w:top w:val="nil"/>
              <w:left w:val="nil"/>
              <w:bottom w:val="nil"/>
              <w:right w:val="nil"/>
            </w:tcBorders>
            <w:shd w:val="clear" w:color="000000" w:fill="FFFFFF"/>
            <w:noWrap/>
            <w:vAlign w:val="center"/>
            <w:hideMark/>
          </w:tcPr>
          <w:p w14:paraId="24CB0834"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c>
          <w:tcPr>
            <w:tcW w:w="50" w:type="pct"/>
            <w:tcBorders>
              <w:top w:val="nil"/>
              <w:left w:val="nil"/>
              <w:bottom w:val="nil"/>
              <w:right w:val="nil"/>
            </w:tcBorders>
            <w:shd w:val="clear" w:color="000000" w:fill="FFFFFF"/>
            <w:noWrap/>
            <w:vAlign w:val="center"/>
            <w:hideMark/>
          </w:tcPr>
          <w:p w14:paraId="1C06786D"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c>
          <w:tcPr>
            <w:tcW w:w="501" w:type="pct"/>
            <w:tcBorders>
              <w:top w:val="nil"/>
              <w:left w:val="nil"/>
              <w:bottom w:val="nil"/>
              <w:right w:val="nil"/>
            </w:tcBorders>
            <w:shd w:val="clear" w:color="000000" w:fill="FFFFFF"/>
            <w:noWrap/>
            <w:vAlign w:val="center"/>
            <w:hideMark/>
          </w:tcPr>
          <w:p w14:paraId="3F46B6A7"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r>
      <w:tr w:rsidR="00B73037" w:rsidRPr="00673C1F" w14:paraId="2D8C8666" w14:textId="77777777" w:rsidTr="007A51FB">
        <w:trPr>
          <w:trHeight w:hRule="exact" w:val="225"/>
        </w:trPr>
        <w:tc>
          <w:tcPr>
            <w:tcW w:w="1945" w:type="pct"/>
            <w:tcBorders>
              <w:top w:val="nil"/>
              <w:left w:val="nil"/>
              <w:bottom w:val="nil"/>
              <w:right w:val="nil"/>
            </w:tcBorders>
            <w:shd w:val="clear" w:color="000000" w:fill="FFFFFF"/>
            <w:noWrap/>
            <w:vAlign w:val="center"/>
            <w:hideMark/>
          </w:tcPr>
          <w:p w14:paraId="44982C4E" w14:textId="4AAB35A9" w:rsidR="00B73037" w:rsidRPr="00673C1F" w:rsidRDefault="00B73037" w:rsidP="00B73037">
            <w:pPr>
              <w:spacing w:before="0" w:after="0" w:line="240" w:lineRule="auto"/>
              <w:rPr>
                <w:rFonts w:ascii="Arial" w:hAnsi="Arial" w:cs="Arial"/>
                <w:b/>
                <w:bCs/>
                <w:sz w:val="16"/>
                <w:szCs w:val="16"/>
              </w:rPr>
            </w:pPr>
            <w:r w:rsidRPr="00673C1F">
              <w:rPr>
                <w:rFonts w:ascii="Arial" w:hAnsi="Arial" w:cs="Arial"/>
                <w:b/>
                <w:bCs/>
                <w:sz w:val="16"/>
                <w:szCs w:val="16"/>
              </w:rPr>
              <w:t>Changes from 2023</w:t>
            </w:r>
            <w:r w:rsidR="006D727E" w:rsidRPr="00673C1F">
              <w:rPr>
                <w:rFonts w:ascii="Arial" w:hAnsi="Arial" w:cs="Arial"/>
                <w:b/>
                <w:bCs/>
                <w:sz w:val="16"/>
                <w:szCs w:val="16"/>
              </w:rPr>
              <w:noBreakHyphen/>
            </w:r>
            <w:r w:rsidRPr="00673C1F">
              <w:rPr>
                <w:rFonts w:ascii="Arial" w:hAnsi="Arial" w:cs="Arial"/>
                <w:b/>
                <w:bCs/>
                <w:sz w:val="16"/>
                <w:szCs w:val="16"/>
              </w:rPr>
              <w:t xml:space="preserve">24 Budget to </w:t>
            </w:r>
          </w:p>
        </w:tc>
        <w:tc>
          <w:tcPr>
            <w:tcW w:w="501" w:type="pct"/>
            <w:tcBorders>
              <w:top w:val="nil"/>
              <w:left w:val="nil"/>
              <w:bottom w:val="nil"/>
              <w:right w:val="nil"/>
            </w:tcBorders>
            <w:shd w:val="clear" w:color="000000" w:fill="FFFFFF"/>
            <w:noWrap/>
            <w:vAlign w:val="center"/>
            <w:hideMark/>
          </w:tcPr>
          <w:p w14:paraId="1CE8735F"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c>
          <w:tcPr>
            <w:tcW w:w="501" w:type="pct"/>
            <w:tcBorders>
              <w:top w:val="nil"/>
              <w:left w:val="nil"/>
              <w:bottom w:val="nil"/>
              <w:right w:val="nil"/>
            </w:tcBorders>
            <w:shd w:val="clear" w:color="000000" w:fill="E6F2FF"/>
            <w:noWrap/>
            <w:vAlign w:val="center"/>
            <w:hideMark/>
          </w:tcPr>
          <w:p w14:paraId="1C9EBE7C"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c>
          <w:tcPr>
            <w:tcW w:w="501" w:type="pct"/>
            <w:tcBorders>
              <w:top w:val="nil"/>
              <w:left w:val="nil"/>
              <w:bottom w:val="nil"/>
              <w:right w:val="nil"/>
            </w:tcBorders>
            <w:shd w:val="clear" w:color="000000" w:fill="FFFFFF"/>
            <w:noWrap/>
            <w:vAlign w:val="center"/>
            <w:hideMark/>
          </w:tcPr>
          <w:p w14:paraId="10FE4CA7"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c>
          <w:tcPr>
            <w:tcW w:w="501" w:type="pct"/>
            <w:tcBorders>
              <w:top w:val="nil"/>
              <w:left w:val="nil"/>
              <w:bottom w:val="nil"/>
              <w:right w:val="nil"/>
            </w:tcBorders>
            <w:shd w:val="clear" w:color="000000" w:fill="FFFFFF"/>
            <w:noWrap/>
            <w:vAlign w:val="center"/>
            <w:hideMark/>
          </w:tcPr>
          <w:p w14:paraId="06CF5F97"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c>
          <w:tcPr>
            <w:tcW w:w="501" w:type="pct"/>
            <w:tcBorders>
              <w:top w:val="nil"/>
              <w:left w:val="nil"/>
              <w:bottom w:val="nil"/>
              <w:right w:val="nil"/>
            </w:tcBorders>
            <w:shd w:val="clear" w:color="000000" w:fill="FFFFFF"/>
            <w:noWrap/>
            <w:vAlign w:val="center"/>
            <w:hideMark/>
          </w:tcPr>
          <w:p w14:paraId="5C92CAD1"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c>
          <w:tcPr>
            <w:tcW w:w="50" w:type="pct"/>
            <w:tcBorders>
              <w:top w:val="nil"/>
              <w:left w:val="nil"/>
              <w:bottom w:val="nil"/>
              <w:right w:val="nil"/>
            </w:tcBorders>
            <w:shd w:val="clear" w:color="000000" w:fill="FFFFFF"/>
            <w:noWrap/>
            <w:vAlign w:val="center"/>
            <w:hideMark/>
          </w:tcPr>
          <w:p w14:paraId="067B9F27"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c>
          <w:tcPr>
            <w:tcW w:w="501" w:type="pct"/>
            <w:tcBorders>
              <w:top w:val="nil"/>
              <w:left w:val="nil"/>
              <w:bottom w:val="nil"/>
              <w:right w:val="nil"/>
            </w:tcBorders>
            <w:shd w:val="clear" w:color="000000" w:fill="FFFFFF"/>
            <w:noWrap/>
            <w:vAlign w:val="center"/>
            <w:hideMark/>
          </w:tcPr>
          <w:p w14:paraId="4F954BDF"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r>
      <w:tr w:rsidR="00B73037" w:rsidRPr="00673C1F" w14:paraId="07B58A91" w14:textId="77777777" w:rsidTr="007A51FB">
        <w:trPr>
          <w:trHeight w:hRule="exact" w:val="225"/>
        </w:trPr>
        <w:tc>
          <w:tcPr>
            <w:tcW w:w="1945" w:type="pct"/>
            <w:tcBorders>
              <w:top w:val="nil"/>
              <w:left w:val="nil"/>
              <w:bottom w:val="nil"/>
              <w:right w:val="nil"/>
            </w:tcBorders>
            <w:shd w:val="clear" w:color="000000" w:fill="FFFFFF"/>
            <w:noWrap/>
            <w:vAlign w:val="center"/>
            <w:hideMark/>
          </w:tcPr>
          <w:p w14:paraId="030CCF79" w14:textId="3629AEB5" w:rsidR="00B73037" w:rsidRPr="00673C1F" w:rsidRDefault="00B73037" w:rsidP="007A51FB">
            <w:pPr>
              <w:spacing w:before="0" w:after="0" w:line="240" w:lineRule="auto"/>
              <w:ind w:left="170"/>
              <w:rPr>
                <w:rFonts w:ascii="Arial" w:hAnsi="Arial" w:cs="Arial"/>
                <w:b/>
                <w:bCs/>
                <w:sz w:val="16"/>
                <w:szCs w:val="16"/>
              </w:rPr>
            </w:pPr>
            <w:r w:rsidRPr="00673C1F">
              <w:rPr>
                <w:rFonts w:ascii="Arial" w:hAnsi="Arial" w:cs="Arial"/>
                <w:b/>
                <w:bCs/>
                <w:sz w:val="16"/>
                <w:szCs w:val="16"/>
              </w:rPr>
              <w:t>2023</w:t>
            </w:r>
            <w:r w:rsidR="006D727E" w:rsidRPr="00673C1F">
              <w:rPr>
                <w:rFonts w:ascii="Arial" w:hAnsi="Arial" w:cs="Arial"/>
                <w:b/>
                <w:bCs/>
                <w:sz w:val="16"/>
                <w:szCs w:val="16"/>
              </w:rPr>
              <w:noBreakHyphen/>
            </w:r>
            <w:r w:rsidRPr="00673C1F">
              <w:rPr>
                <w:rFonts w:ascii="Arial" w:hAnsi="Arial" w:cs="Arial"/>
                <w:b/>
                <w:bCs/>
                <w:sz w:val="16"/>
                <w:szCs w:val="16"/>
              </w:rPr>
              <w:t>24 MYEFO</w:t>
            </w:r>
          </w:p>
        </w:tc>
        <w:tc>
          <w:tcPr>
            <w:tcW w:w="501" w:type="pct"/>
            <w:tcBorders>
              <w:top w:val="nil"/>
              <w:left w:val="nil"/>
              <w:bottom w:val="nil"/>
              <w:right w:val="nil"/>
            </w:tcBorders>
            <w:shd w:val="clear" w:color="000000" w:fill="FFFFFF"/>
            <w:noWrap/>
            <w:vAlign w:val="center"/>
            <w:hideMark/>
          </w:tcPr>
          <w:p w14:paraId="1D801553" w14:textId="77777777" w:rsidR="00B73037" w:rsidRPr="00673C1F" w:rsidRDefault="00B73037" w:rsidP="00B73037">
            <w:pPr>
              <w:spacing w:before="0" w:after="0" w:line="240" w:lineRule="auto"/>
              <w:rPr>
                <w:rFonts w:ascii="Arial" w:hAnsi="Arial" w:cs="Arial"/>
                <w:i/>
                <w:iCs/>
                <w:sz w:val="16"/>
                <w:szCs w:val="16"/>
              </w:rPr>
            </w:pPr>
            <w:r w:rsidRPr="00673C1F">
              <w:rPr>
                <w:rFonts w:ascii="Arial" w:hAnsi="Arial" w:cs="Arial"/>
                <w:i/>
                <w:iCs/>
                <w:sz w:val="16"/>
                <w:szCs w:val="16"/>
              </w:rPr>
              <w:t> </w:t>
            </w:r>
          </w:p>
        </w:tc>
        <w:tc>
          <w:tcPr>
            <w:tcW w:w="501" w:type="pct"/>
            <w:tcBorders>
              <w:top w:val="nil"/>
              <w:left w:val="nil"/>
              <w:bottom w:val="nil"/>
              <w:right w:val="nil"/>
            </w:tcBorders>
            <w:shd w:val="clear" w:color="000000" w:fill="E6F2FF"/>
            <w:noWrap/>
            <w:vAlign w:val="center"/>
            <w:hideMark/>
          </w:tcPr>
          <w:p w14:paraId="55BEC5C1" w14:textId="77777777" w:rsidR="00B73037" w:rsidRPr="00673C1F" w:rsidRDefault="00B73037" w:rsidP="00B73037">
            <w:pPr>
              <w:spacing w:before="0" w:after="0" w:line="240" w:lineRule="auto"/>
              <w:rPr>
                <w:rFonts w:ascii="Arial" w:hAnsi="Arial" w:cs="Arial"/>
                <w:i/>
                <w:iCs/>
                <w:sz w:val="16"/>
                <w:szCs w:val="16"/>
              </w:rPr>
            </w:pPr>
            <w:r w:rsidRPr="00673C1F">
              <w:rPr>
                <w:rFonts w:ascii="Arial" w:hAnsi="Arial" w:cs="Arial"/>
                <w:i/>
                <w:iCs/>
                <w:sz w:val="16"/>
                <w:szCs w:val="16"/>
              </w:rPr>
              <w:t> </w:t>
            </w:r>
          </w:p>
        </w:tc>
        <w:tc>
          <w:tcPr>
            <w:tcW w:w="501" w:type="pct"/>
            <w:tcBorders>
              <w:top w:val="nil"/>
              <w:left w:val="nil"/>
              <w:bottom w:val="nil"/>
              <w:right w:val="nil"/>
            </w:tcBorders>
            <w:shd w:val="clear" w:color="000000" w:fill="FFFFFF"/>
            <w:noWrap/>
            <w:vAlign w:val="center"/>
            <w:hideMark/>
          </w:tcPr>
          <w:p w14:paraId="12B55B3A" w14:textId="77777777" w:rsidR="00B73037" w:rsidRPr="00673C1F" w:rsidRDefault="00B73037" w:rsidP="00B73037">
            <w:pPr>
              <w:spacing w:before="0" w:after="0" w:line="240" w:lineRule="auto"/>
              <w:rPr>
                <w:rFonts w:ascii="Arial" w:hAnsi="Arial" w:cs="Arial"/>
                <w:i/>
                <w:iCs/>
                <w:sz w:val="16"/>
                <w:szCs w:val="16"/>
              </w:rPr>
            </w:pPr>
            <w:r w:rsidRPr="00673C1F">
              <w:rPr>
                <w:rFonts w:ascii="Arial" w:hAnsi="Arial" w:cs="Arial"/>
                <w:i/>
                <w:iCs/>
                <w:sz w:val="16"/>
                <w:szCs w:val="16"/>
              </w:rPr>
              <w:t> </w:t>
            </w:r>
          </w:p>
        </w:tc>
        <w:tc>
          <w:tcPr>
            <w:tcW w:w="501" w:type="pct"/>
            <w:tcBorders>
              <w:top w:val="nil"/>
              <w:left w:val="nil"/>
              <w:bottom w:val="nil"/>
              <w:right w:val="nil"/>
            </w:tcBorders>
            <w:shd w:val="clear" w:color="000000" w:fill="FFFFFF"/>
            <w:noWrap/>
            <w:vAlign w:val="center"/>
            <w:hideMark/>
          </w:tcPr>
          <w:p w14:paraId="527978F1" w14:textId="77777777" w:rsidR="00B73037" w:rsidRPr="00673C1F" w:rsidRDefault="00B73037" w:rsidP="00B73037">
            <w:pPr>
              <w:spacing w:before="0" w:after="0" w:line="240" w:lineRule="auto"/>
              <w:rPr>
                <w:rFonts w:ascii="Arial" w:hAnsi="Arial" w:cs="Arial"/>
                <w:i/>
                <w:iCs/>
                <w:sz w:val="16"/>
                <w:szCs w:val="16"/>
              </w:rPr>
            </w:pPr>
            <w:r w:rsidRPr="00673C1F">
              <w:rPr>
                <w:rFonts w:ascii="Arial" w:hAnsi="Arial" w:cs="Arial"/>
                <w:i/>
                <w:iCs/>
                <w:sz w:val="16"/>
                <w:szCs w:val="16"/>
              </w:rPr>
              <w:t> </w:t>
            </w:r>
          </w:p>
        </w:tc>
        <w:tc>
          <w:tcPr>
            <w:tcW w:w="501" w:type="pct"/>
            <w:tcBorders>
              <w:top w:val="nil"/>
              <w:left w:val="nil"/>
              <w:bottom w:val="nil"/>
              <w:right w:val="nil"/>
            </w:tcBorders>
            <w:shd w:val="clear" w:color="000000" w:fill="FFFFFF"/>
            <w:noWrap/>
            <w:vAlign w:val="center"/>
            <w:hideMark/>
          </w:tcPr>
          <w:p w14:paraId="19218A39" w14:textId="77777777" w:rsidR="00B73037" w:rsidRPr="00673C1F" w:rsidRDefault="00B73037" w:rsidP="00B73037">
            <w:pPr>
              <w:spacing w:before="0" w:after="0" w:line="240" w:lineRule="auto"/>
              <w:rPr>
                <w:rFonts w:ascii="Arial" w:hAnsi="Arial" w:cs="Arial"/>
                <w:i/>
                <w:iCs/>
                <w:sz w:val="16"/>
                <w:szCs w:val="16"/>
              </w:rPr>
            </w:pPr>
            <w:r w:rsidRPr="00673C1F">
              <w:rPr>
                <w:rFonts w:ascii="Arial" w:hAnsi="Arial" w:cs="Arial"/>
                <w:i/>
                <w:iCs/>
                <w:sz w:val="16"/>
                <w:szCs w:val="16"/>
              </w:rPr>
              <w:t> </w:t>
            </w:r>
          </w:p>
        </w:tc>
        <w:tc>
          <w:tcPr>
            <w:tcW w:w="50" w:type="pct"/>
            <w:tcBorders>
              <w:top w:val="nil"/>
              <w:left w:val="nil"/>
              <w:bottom w:val="nil"/>
              <w:right w:val="nil"/>
            </w:tcBorders>
            <w:shd w:val="clear" w:color="000000" w:fill="FFFFFF"/>
            <w:noWrap/>
            <w:vAlign w:val="center"/>
            <w:hideMark/>
          </w:tcPr>
          <w:p w14:paraId="36C069ED" w14:textId="77777777" w:rsidR="00B73037" w:rsidRPr="00673C1F" w:rsidRDefault="00B73037" w:rsidP="00B73037">
            <w:pPr>
              <w:spacing w:before="0" w:after="0" w:line="240" w:lineRule="auto"/>
              <w:rPr>
                <w:rFonts w:ascii="Arial" w:hAnsi="Arial" w:cs="Arial"/>
                <w:i/>
                <w:iCs/>
                <w:sz w:val="16"/>
                <w:szCs w:val="16"/>
              </w:rPr>
            </w:pPr>
            <w:r w:rsidRPr="00673C1F">
              <w:rPr>
                <w:rFonts w:ascii="Arial" w:hAnsi="Arial" w:cs="Arial"/>
                <w:i/>
                <w:iCs/>
                <w:sz w:val="16"/>
                <w:szCs w:val="16"/>
              </w:rPr>
              <w:t> </w:t>
            </w:r>
          </w:p>
        </w:tc>
        <w:tc>
          <w:tcPr>
            <w:tcW w:w="501" w:type="pct"/>
            <w:tcBorders>
              <w:top w:val="nil"/>
              <w:left w:val="nil"/>
              <w:bottom w:val="nil"/>
              <w:right w:val="nil"/>
            </w:tcBorders>
            <w:shd w:val="clear" w:color="000000" w:fill="FFFFFF"/>
            <w:noWrap/>
            <w:vAlign w:val="center"/>
            <w:hideMark/>
          </w:tcPr>
          <w:p w14:paraId="0EAC6BF0"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r>
      <w:tr w:rsidR="00B73037" w:rsidRPr="00673C1F" w14:paraId="5BE17C47" w14:textId="77777777" w:rsidTr="007A51FB">
        <w:trPr>
          <w:trHeight w:hRule="exact" w:val="225"/>
        </w:trPr>
        <w:tc>
          <w:tcPr>
            <w:tcW w:w="1945" w:type="pct"/>
            <w:tcBorders>
              <w:top w:val="nil"/>
              <w:left w:val="nil"/>
              <w:bottom w:val="nil"/>
              <w:right w:val="nil"/>
            </w:tcBorders>
            <w:shd w:val="clear" w:color="000000" w:fill="FFFFFF"/>
            <w:noWrap/>
            <w:vAlign w:val="center"/>
            <w:hideMark/>
          </w:tcPr>
          <w:p w14:paraId="5A918EE0"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Effect of policy decisions(a)</w:t>
            </w:r>
          </w:p>
        </w:tc>
        <w:tc>
          <w:tcPr>
            <w:tcW w:w="501" w:type="pct"/>
            <w:tcBorders>
              <w:top w:val="nil"/>
              <w:left w:val="nil"/>
              <w:bottom w:val="nil"/>
              <w:right w:val="nil"/>
            </w:tcBorders>
            <w:shd w:val="clear" w:color="000000" w:fill="FFFFFF"/>
            <w:noWrap/>
            <w:vAlign w:val="center"/>
            <w:hideMark/>
          </w:tcPr>
          <w:p w14:paraId="1D231C0A"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475</w:t>
            </w:r>
          </w:p>
        </w:tc>
        <w:tc>
          <w:tcPr>
            <w:tcW w:w="501" w:type="pct"/>
            <w:tcBorders>
              <w:top w:val="nil"/>
              <w:left w:val="nil"/>
              <w:bottom w:val="nil"/>
              <w:right w:val="nil"/>
            </w:tcBorders>
            <w:shd w:val="clear" w:color="000000" w:fill="E6F2FF"/>
            <w:noWrap/>
            <w:vAlign w:val="center"/>
            <w:hideMark/>
          </w:tcPr>
          <w:p w14:paraId="66F77E5A"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303</w:t>
            </w:r>
          </w:p>
        </w:tc>
        <w:tc>
          <w:tcPr>
            <w:tcW w:w="501" w:type="pct"/>
            <w:tcBorders>
              <w:top w:val="nil"/>
              <w:left w:val="nil"/>
              <w:bottom w:val="nil"/>
              <w:right w:val="nil"/>
            </w:tcBorders>
            <w:shd w:val="clear" w:color="000000" w:fill="FFFFFF"/>
            <w:noWrap/>
            <w:vAlign w:val="center"/>
            <w:hideMark/>
          </w:tcPr>
          <w:p w14:paraId="3FB730EA"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137</w:t>
            </w:r>
          </w:p>
        </w:tc>
        <w:tc>
          <w:tcPr>
            <w:tcW w:w="501" w:type="pct"/>
            <w:tcBorders>
              <w:top w:val="nil"/>
              <w:left w:val="nil"/>
              <w:bottom w:val="nil"/>
              <w:right w:val="nil"/>
            </w:tcBorders>
            <w:shd w:val="clear" w:color="000000" w:fill="FFFFFF"/>
            <w:noWrap/>
            <w:vAlign w:val="center"/>
            <w:hideMark/>
          </w:tcPr>
          <w:p w14:paraId="71DC6243"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456</w:t>
            </w:r>
          </w:p>
        </w:tc>
        <w:tc>
          <w:tcPr>
            <w:tcW w:w="501" w:type="pct"/>
            <w:tcBorders>
              <w:top w:val="nil"/>
              <w:left w:val="nil"/>
              <w:bottom w:val="nil"/>
              <w:right w:val="nil"/>
            </w:tcBorders>
            <w:shd w:val="clear" w:color="000000" w:fill="FFFFFF"/>
            <w:noWrap/>
            <w:vAlign w:val="center"/>
            <w:hideMark/>
          </w:tcPr>
          <w:p w14:paraId="2EB29BB4"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w:t>
            </w:r>
          </w:p>
        </w:tc>
        <w:tc>
          <w:tcPr>
            <w:tcW w:w="50" w:type="pct"/>
            <w:tcBorders>
              <w:top w:val="nil"/>
              <w:left w:val="nil"/>
              <w:bottom w:val="nil"/>
              <w:right w:val="nil"/>
            </w:tcBorders>
            <w:shd w:val="clear" w:color="000000" w:fill="FFFFFF"/>
            <w:noWrap/>
            <w:vAlign w:val="center"/>
            <w:hideMark/>
          </w:tcPr>
          <w:p w14:paraId="150C0982"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 </w:t>
            </w:r>
          </w:p>
        </w:tc>
        <w:tc>
          <w:tcPr>
            <w:tcW w:w="501" w:type="pct"/>
            <w:tcBorders>
              <w:top w:val="nil"/>
              <w:left w:val="nil"/>
              <w:bottom w:val="nil"/>
              <w:right w:val="nil"/>
            </w:tcBorders>
            <w:shd w:val="clear" w:color="000000" w:fill="FFFFFF"/>
            <w:noWrap/>
            <w:vAlign w:val="center"/>
            <w:hideMark/>
          </w:tcPr>
          <w:p w14:paraId="09D56DC9"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w:t>
            </w:r>
          </w:p>
        </w:tc>
      </w:tr>
      <w:tr w:rsidR="00B73037" w:rsidRPr="00673C1F" w14:paraId="431FE456" w14:textId="77777777" w:rsidTr="007A51FB">
        <w:trPr>
          <w:trHeight w:hRule="exact" w:val="225"/>
        </w:trPr>
        <w:tc>
          <w:tcPr>
            <w:tcW w:w="1945" w:type="pct"/>
            <w:tcBorders>
              <w:top w:val="nil"/>
              <w:left w:val="nil"/>
              <w:bottom w:val="nil"/>
              <w:right w:val="nil"/>
            </w:tcBorders>
            <w:shd w:val="clear" w:color="000000" w:fill="FFFFFF"/>
            <w:noWrap/>
            <w:vAlign w:val="center"/>
            <w:hideMark/>
          </w:tcPr>
          <w:p w14:paraId="74699BD6"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Effect of parameter and other variations</w:t>
            </w:r>
          </w:p>
        </w:tc>
        <w:tc>
          <w:tcPr>
            <w:tcW w:w="501" w:type="pct"/>
            <w:tcBorders>
              <w:top w:val="nil"/>
              <w:left w:val="nil"/>
              <w:bottom w:val="single" w:sz="4" w:space="0" w:color="293F5B"/>
              <w:right w:val="nil"/>
            </w:tcBorders>
            <w:shd w:val="clear" w:color="000000" w:fill="FFFFFF"/>
            <w:noWrap/>
            <w:vAlign w:val="center"/>
            <w:hideMark/>
          </w:tcPr>
          <w:p w14:paraId="128C5E1A"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19,775</w:t>
            </w:r>
          </w:p>
        </w:tc>
        <w:tc>
          <w:tcPr>
            <w:tcW w:w="501" w:type="pct"/>
            <w:tcBorders>
              <w:top w:val="nil"/>
              <w:left w:val="nil"/>
              <w:bottom w:val="single" w:sz="4" w:space="0" w:color="293F5B"/>
              <w:right w:val="nil"/>
            </w:tcBorders>
            <w:shd w:val="clear" w:color="000000" w:fill="E6F2FF"/>
            <w:noWrap/>
            <w:vAlign w:val="center"/>
            <w:hideMark/>
          </w:tcPr>
          <w:p w14:paraId="2E02BA94"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22,657</w:t>
            </w:r>
          </w:p>
        </w:tc>
        <w:tc>
          <w:tcPr>
            <w:tcW w:w="501" w:type="pct"/>
            <w:tcBorders>
              <w:top w:val="nil"/>
              <w:left w:val="nil"/>
              <w:bottom w:val="single" w:sz="4" w:space="0" w:color="293F5B"/>
              <w:right w:val="nil"/>
            </w:tcBorders>
            <w:shd w:val="clear" w:color="000000" w:fill="FFFFFF"/>
            <w:noWrap/>
            <w:vAlign w:val="center"/>
            <w:hideMark/>
          </w:tcPr>
          <w:p w14:paraId="39BC7CE8"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12,169</w:t>
            </w:r>
          </w:p>
        </w:tc>
        <w:tc>
          <w:tcPr>
            <w:tcW w:w="501" w:type="pct"/>
            <w:tcBorders>
              <w:top w:val="nil"/>
              <w:left w:val="nil"/>
              <w:bottom w:val="single" w:sz="4" w:space="0" w:color="293F5B"/>
              <w:right w:val="nil"/>
            </w:tcBorders>
            <w:shd w:val="clear" w:color="000000" w:fill="FFFFFF"/>
            <w:noWrap/>
            <w:vAlign w:val="center"/>
            <w:hideMark/>
          </w:tcPr>
          <w:p w14:paraId="0F10B284"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21,660</w:t>
            </w:r>
          </w:p>
        </w:tc>
        <w:tc>
          <w:tcPr>
            <w:tcW w:w="501" w:type="pct"/>
            <w:tcBorders>
              <w:top w:val="nil"/>
              <w:left w:val="nil"/>
              <w:bottom w:val="single" w:sz="4" w:space="0" w:color="293F5B"/>
              <w:right w:val="nil"/>
            </w:tcBorders>
            <w:shd w:val="clear" w:color="000000" w:fill="FFFFFF"/>
            <w:noWrap/>
            <w:vAlign w:val="center"/>
            <w:hideMark/>
          </w:tcPr>
          <w:p w14:paraId="0E9D2A74"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w:t>
            </w:r>
          </w:p>
        </w:tc>
        <w:tc>
          <w:tcPr>
            <w:tcW w:w="50" w:type="pct"/>
            <w:tcBorders>
              <w:top w:val="nil"/>
              <w:left w:val="nil"/>
              <w:bottom w:val="nil"/>
              <w:right w:val="nil"/>
            </w:tcBorders>
            <w:shd w:val="clear" w:color="000000" w:fill="FFFFFF"/>
            <w:noWrap/>
            <w:vAlign w:val="center"/>
            <w:hideMark/>
          </w:tcPr>
          <w:p w14:paraId="3E7255F8"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 </w:t>
            </w:r>
          </w:p>
        </w:tc>
        <w:tc>
          <w:tcPr>
            <w:tcW w:w="501" w:type="pct"/>
            <w:tcBorders>
              <w:top w:val="nil"/>
              <w:left w:val="nil"/>
              <w:bottom w:val="nil"/>
              <w:right w:val="nil"/>
            </w:tcBorders>
            <w:shd w:val="clear" w:color="000000" w:fill="FFFFFF"/>
            <w:noWrap/>
            <w:vAlign w:val="center"/>
            <w:hideMark/>
          </w:tcPr>
          <w:p w14:paraId="4358DCEA"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w:t>
            </w:r>
          </w:p>
        </w:tc>
      </w:tr>
      <w:tr w:rsidR="00B73037" w:rsidRPr="00673C1F" w14:paraId="30204419" w14:textId="77777777" w:rsidTr="007A51FB">
        <w:trPr>
          <w:trHeight w:hRule="exact" w:val="225"/>
        </w:trPr>
        <w:tc>
          <w:tcPr>
            <w:tcW w:w="1945" w:type="pct"/>
            <w:tcBorders>
              <w:top w:val="nil"/>
              <w:left w:val="nil"/>
              <w:bottom w:val="nil"/>
              <w:right w:val="nil"/>
            </w:tcBorders>
            <w:shd w:val="clear" w:color="000000" w:fill="FFFFFF"/>
            <w:noWrap/>
            <w:vAlign w:val="center"/>
            <w:hideMark/>
          </w:tcPr>
          <w:p w14:paraId="39877D3A" w14:textId="77777777" w:rsidR="00B73037" w:rsidRPr="00673C1F" w:rsidRDefault="00B73037" w:rsidP="00B73037">
            <w:pPr>
              <w:spacing w:before="0" w:after="0" w:line="240" w:lineRule="auto"/>
              <w:rPr>
                <w:rFonts w:ascii="Arial" w:hAnsi="Arial" w:cs="Arial"/>
                <w:b/>
                <w:bCs/>
                <w:sz w:val="16"/>
                <w:szCs w:val="16"/>
              </w:rPr>
            </w:pPr>
            <w:r w:rsidRPr="00673C1F">
              <w:rPr>
                <w:rFonts w:ascii="Arial" w:hAnsi="Arial" w:cs="Arial"/>
                <w:b/>
                <w:bCs/>
                <w:sz w:val="16"/>
                <w:szCs w:val="16"/>
              </w:rPr>
              <w:t>Total variations</w:t>
            </w:r>
          </w:p>
        </w:tc>
        <w:tc>
          <w:tcPr>
            <w:tcW w:w="501" w:type="pct"/>
            <w:tcBorders>
              <w:top w:val="nil"/>
              <w:left w:val="nil"/>
              <w:bottom w:val="single" w:sz="4" w:space="0" w:color="000000"/>
              <w:right w:val="nil"/>
            </w:tcBorders>
            <w:shd w:val="clear" w:color="000000" w:fill="FFFFFF"/>
            <w:noWrap/>
            <w:vAlign w:val="center"/>
            <w:hideMark/>
          </w:tcPr>
          <w:p w14:paraId="1DDBE693" w14:textId="77777777" w:rsidR="00B73037" w:rsidRPr="00673C1F" w:rsidRDefault="00B73037" w:rsidP="00B73037">
            <w:pPr>
              <w:spacing w:before="0" w:after="0" w:line="240" w:lineRule="auto"/>
              <w:jc w:val="right"/>
              <w:rPr>
                <w:rFonts w:ascii="Arial" w:hAnsi="Arial" w:cs="Arial"/>
                <w:b/>
                <w:bCs/>
                <w:sz w:val="16"/>
                <w:szCs w:val="16"/>
              </w:rPr>
            </w:pPr>
            <w:r w:rsidRPr="00673C1F">
              <w:rPr>
                <w:rFonts w:ascii="Arial" w:hAnsi="Arial" w:cs="Arial"/>
                <w:b/>
                <w:bCs/>
                <w:sz w:val="16"/>
                <w:szCs w:val="16"/>
              </w:rPr>
              <w:t>20,250</w:t>
            </w:r>
          </w:p>
        </w:tc>
        <w:tc>
          <w:tcPr>
            <w:tcW w:w="501" w:type="pct"/>
            <w:tcBorders>
              <w:top w:val="nil"/>
              <w:left w:val="nil"/>
              <w:bottom w:val="single" w:sz="4" w:space="0" w:color="000000"/>
              <w:right w:val="nil"/>
            </w:tcBorders>
            <w:shd w:val="clear" w:color="000000" w:fill="E6F2FF"/>
            <w:noWrap/>
            <w:vAlign w:val="center"/>
            <w:hideMark/>
          </w:tcPr>
          <w:p w14:paraId="18295A57" w14:textId="77777777" w:rsidR="00B73037" w:rsidRPr="00673C1F" w:rsidRDefault="00B73037" w:rsidP="00B73037">
            <w:pPr>
              <w:spacing w:before="0" w:after="0" w:line="240" w:lineRule="auto"/>
              <w:jc w:val="right"/>
              <w:rPr>
                <w:rFonts w:ascii="Arial" w:hAnsi="Arial" w:cs="Arial"/>
                <w:b/>
                <w:bCs/>
                <w:sz w:val="16"/>
                <w:szCs w:val="16"/>
              </w:rPr>
            </w:pPr>
            <w:r w:rsidRPr="00673C1F">
              <w:rPr>
                <w:rFonts w:ascii="Arial" w:hAnsi="Arial" w:cs="Arial"/>
                <w:b/>
                <w:bCs/>
                <w:sz w:val="16"/>
                <w:szCs w:val="16"/>
              </w:rPr>
              <w:t>22,960</w:t>
            </w:r>
          </w:p>
        </w:tc>
        <w:tc>
          <w:tcPr>
            <w:tcW w:w="501" w:type="pct"/>
            <w:tcBorders>
              <w:top w:val="nil"/>
              <w:left w:val="nil"/>
              <w:bottom w:val="single" w:sz="4" w:space="0" w:color="000000"/>
              <w:right w:val="nil"/>
            </w:tcBorders>
            <w:shd w:val="clear" w:color="000000" w:fill="FFFFFF"/>
            <w:noWrap/>
            <w:vAlign w:val="center"/>
            <w:hideMark/>
          </w:tcPr>
          <w:p w14:paraId="057B7348" w14:textId="77777777" w:rsidR="00B73037" w:rsidRPr="00673C1F" w:rsidRDefault="00B73037" w:rsidP="00B73037">
            <w:pPr>
              <w:spacing w:before="0" w:after="0" w:line="240" w:lineRule="auto"/>
              <w:jc w:val="right"/>
              <w:rPr>
                <w:rFonts w:ascii="Arial" w:hAnsi="Arial" w:cs="Arial"/>
                <w:b/>
                <w:bCs/>
                <w:sz w:val="16"/>
                <w:szCs w:val="16"/>
              </w:rPr>
            </w:pPr>
            <w:r w:rsidRPr="00673C1F">
              <w:rPr>
                <w:rFonts w:ascii="Arial" w:hAnsi="Arial" w:cs="Arial"/>
                <w:b/>
                <w:bCs/>
                <w:sz w:val="16"/>
                <w:szCs w:val="16"/>
              </w:rPr>
              <w:t>12,306</w:t>
            </w:r>
          </w:p>
        </w:tc>
        <w:tc>
          <w:tcPr>
            <w:tcW w:w="501" w:type="pct"/>
            <w:tcBorders>
              <w:top w:val="nil"/>
              <w:left w:val="nil"/>
              <w:bottom w:val="single" w:sz="4" w:space="0" w:color="000000"/>
              <w:right w:val="nil"/>
            </w:tcBorders>
            <w:shd w:val="clear" w:color="000000" w:fill="FFFFFF"/>
            <w:noWrap/>
            <w:vAlign w:val="center"/>
            <w:hideMark/>
          </w:tcPr>
          <w:p w14:paraId="6C02430E" w14:textId="77777777" w:rsidR="00B73037" w:rsidRPr="00673C1F" w:rsidRDefault="00B73037" w:rsidP="00B73037">
            <w:pPr>
              <w:spacing w:before="0" w:after="0" w:line="240" w:lineRule="auto"/>
              <w:jc w:val="right"/>
              <w:rPr>
                <w:rFonts w:ascii="Arial" w:hAnsi="Arial" w:cs="Arial"/>
                <w:b/>
                <w:bCs/>
                <w:sz w:val="16"/>
                <w:szCs w:val="16"/>
              </w:rPr>
            </w:pPr>
            <w:r w:rsidRPr="00673C1F">
              <w:rPr>
                <w:rFonts w:ascii="Arial" w:hAnsi="Arial" w:cs="Arial"/>
                <w:b/>
                <w:bCs/>
                <w:sz w:val="16"/>
                <w:szCs w:val="16"/>
              </w:rPr>
              <w:t>22,116</w:t>
            </w:r>
          </w:p>
        </w:tc>
        <w:tc>
          <w:tcPr>
            <w:tcW w:w="501" w:type="pct"/>
            <w:tcBorders>
              <w:top w:val="nil"/>
              <w:left w:val="nil"/>
              <w:bottom w:val="single" w:sz="4" w:space="0" w:color="000000"/>
              <w:right w:val="nil"/>
            </w:tcBorders>
            <w:shd w:val="clear" w:color="000000" w:fill="FFFFFF"/>
            <w:noWrap/>
            <w:vAlign w:val="center"/>
            <w:hideMark/>
          </w:tcPr>
          <w:p w14:paraId="2DD36F3E" w14:textId="77777777" w:rsidR="00B73037" w:rsidRPr="00673C1F" w:rsidRDefault="00B73037" w:rsidP="00B73037">
            <w:pPr>
              <w:spacing w:before="0" w:after="0" w:line="240" w:lineRule="auto"/>
              <w:jc w:val="right"/>
              <w:rPr>
                <w:rFonts w:ascii="Arial" w:hAnsi="Arial" w:cs="Arial"/>
                <w:b/>
                <w:bCs/>
                <w:sz w:val="16"/>
                <w:szCs w:val="16"/>
              </w:rPr>
            </w:pPr>
            <w:r w:rsidRPr="00673C1F">
              <w:rPr>
                <w:rFonts w:ascii="Arial" w:hAnsi="Arial" w:cs="Arial"/>
                <w:b/>
                <w:bCs/>
                <w:sz w:val="16"/>
                <w:szCs w:val="16"/>
              </w:rPr>
              <w:t>*</w:t>
            </w:r>
          </w:p>
        </w:tc>
        <w:tc>
          <w:tcPr>
            <w:tcW w:w="50" w:type="pct"/>
            <w:tcBorders>
              <w:top w:val="nil"/>
              <w:left w:val="nil"/>
              <w:bottom w:val="nil"/>
              <w:right w:val="nil"/>
            </w:tcBorders>
            <w:shd w:val="clear" w:color="000000" w:fill="FFFFFF"/>
            <w:noWrap/>
            <w:vAlign w:val="center"/>
            <w:hideMark/>
          </w:tcPr>
          <w:p w14:paraId="235F5A71" w14:textId="77777777" w:rsidR="00B73037" w:rsidRPr="00673C1F" w:rsidRDefault="00B73037" w:rsidP="00B73037">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501" w:type="pct"/>
            <w:tcBorders>
              <w:top w:val="single" w:sz="4" w:space="0" w:color="293F5B"/>
              <w:left w:val="nil"/>
              <w:bottom w:val="single" w:sz="4" w:space="0" w:color="auto"/>
              <w:right w:val="nil"/>
            </w:tcBorders>
            <w:shd w:val="clear" w:color="000000" w:fill="FFFFFF"/>
            <w:noWrap/>
            <w:vAlign w:val="center"/>
            <w:hideMark/>
          </w:tcPr>
          <w:p w14:paraId="1C1D6E61" w14:textId="77777777" w:rsidR="00B73037" w:rsidRPr="00673C1F" w:rsidRDefault="00B73037" w:rsidP="00B73037">
            <w:pPr>
              <w:spacing w:before="0" w:after="0" w:line="240" w:lineRule="auto"/>
              <w:jc w:val="right"/>
              <w:rPr>
                <w:rFonts w:ascii="Arial" w:hAnsi="Arial" w:cs="Arial"/>
                <w:b/>
                <w:bCs/>
                <w:sz w:val="16"/>
                <w:szCs w:val="16"/>
              </w:rPr>
            </w:pPr>
            <w:r w:rsidRPr="00673C1F">
              <w:rPr>
                <w:rFonts w:ascii="Arial" w:hAnsi="Arial" w:cs="Arial"/>
                <w:b/>
                <w:bCs/>
                <w:sz w:val="16"/>
                <w:szCs w:val="16"/>
              </w:rPr>
              <w:t>*</w:t>
            </w:r>
          </w:p>
        </w:tc>
      </w:tr>
      <w:tr w:rsidR="00B73037" w:rsidRPr="00673C1F" w14:paraId="41420E67" w14:textId="77777777" w:rsidTr="007A51FB">
        <w:trPr>
          <w:trHeight w:hRule="exact" w:val="225"/>
        </w:trPr>
        <w:tc>
          <w:tcPr>
            <w:tcW w:w="1945" w:type="pct"/>
            <w:tcBorders>
              <w:top w:val="nil"/>
              <w:left w:val="nil"/>
              <w:bottom w:val="nil"/>
              <w:right w:val="nil"/>
            </w:tcBorders>
            <w:shd w:val="clear" w:color="000000" w:fill="FFFFFF"/>
            <w:noWrap/>
            <w:vAlign w:val="center"/>
            <w:hideMark/>
          </w:tcPr>
          <w:p w14:paraId="60E14A26" w14:textId="06476676" w:rsidR="00B73037" w:rsidRPr="00673C1F" w:rsidRDefault="00B73037" w:rsidP="00B73037">
            <w:pPr>
              <w:spacing w:before="0" w:after="0" w:line="240" w:lineRule="auto"/>
              <w:rPr>
                <w:rFonts w:ascii="Arial" w:hAnsi="Arial" w:cs="Arial"/>
                <w:b/>
                <w:bCs/>
                <w:sz w:val="16"/>
                <w:szCs w:val="16"/>
              </w:rPr>
            </w:pPr>
            <w:r w:rsidRPr="00673C1F">
              <w:rPr>
                <w:rFonts w:ascii="Arial" w:hAnsi="Arial" w:cs="Arial"/>
                <w:b/>
                <w:bCs/>
                <w:sz w:val="16"/>
                <w:szCs w:val="16"/>
              </w:rPr>
              <w:t>Revenue at 2023</w:t>
            </w:r>
            <w:r w:rsidR="006D727E" w:rsidRPr="00673C1F">
              <w:rPr>
                <w:rFonts w:ascii="Arial" w:hAnsi="Arial" w:cs="Arial"/>
                <w:b/>
                <w:bCs/>
                <w:sz w:val="16"/>
                <w:szCs w:val="16"/>
              </w:rPr>
              <w:noBreakHyphen/>
            </w:r>
            <w:r w:rsidRPr="00673C1F">
              <w:rPr>
                <w:rFonts w:ascii="Arial" w:hAnsi="Arial" w:cs="Arial"/>
                <w:b/>
                <w:bCs/>
                <w:sz w:val="16"/>
                <w:szCs w:val="16"/>
              </w:rPr>
              <w:t>24 MYEFO</w:t>
            </w:r>
          </w:p>
        </w:tc>
        <w:tc>
          <w:tcPr>
            <w:tcW w:w="501" w:type="pct"/>
            <w:tcBorders>
              <w:top w:val="single" w:sz="4" w:space="0" w:color="293F5B"/>
              <w:left w:val="nil"/>
              <w:bottom w:val="nil"/>
              <w:right w:val="nil"/>
            </w:tcBorders>
            <w:shd w:val="clear" w:color="000000" w:fill="FFFFFF"/>
            <w:noWrap/>
            <w:vAlign w:val="center"/>
            <w:hideMark/>
          </w:tcPr>
          <w:p w14:paraId="3DE67031" w14:textId="77777777" w:rsidR="00B73037" w:rsidRPr="00673C1F" w:rsidRDefault="00B73037" w:rsidP="00B73037">
            <w:pPr>
              <w:spacing w:before="0" w:after="0" w:line="240" w:lineRule="auto"/>
              <w:jc w:val="right"/>
              <w:rPr>
                <w:rFonts w:ascii="Arial" w:hAnsi="Arial" w:cs="Arial"/>
                <w:b/>
                <w:bCs/>
                <w:sz w:val="16"/>
                <w:szCs w:val="16"/>
              </w:rPr>
            </w:pPr>
            <w:r w:rsidRPr="00673C1F">
              <w:rPr>
                <w:rFonts w:ascii="Arial" w:hAnsi="Arial" w:cs="Arial"/>
                <w:b/>
                <w:bCs/>
                <w:sz w:val="16"/>
                <w:szCs w:val="16"/>
              </w:rPr>
              <w:t>700,622</w:t>
            </w:r>
          </w:p>
        </w:tc>
        <w:tc>
          <w:tcPr>
            <w:tcW w:w="501" w:type="pct"/>
            <w:tcBorders>
              <w:top w:val="single" w:sz="4" w:space="0" w:color="293F5B"/>
              <w:left w:val="nil"/>
              <w:bottom w:val="nil"/>
              <w:right w:val="nil"/>
            </w:tcBorders>
            <w:shd w:val="clear" w:color="000000" w:fill="E6F2FF"/>
            <w:noWrap/>
            <w:vAlign w:val="center"/>
            <w:hideMark/>
          </w:tcPr>
          <w:p w14:paraId="4C6AE037" w14:textId="77777777" w:rsidR="00B73037" w:rsidRPr="00673C1F" w:rsidRDefault="00B73037" w:rsidP="00B73037">
            <w:pPr>
              <w:spacing w:before="0" w:after="0" w:line="240" w:lineRule="auto"/>
              <w:jc w:val="right"/>
              <w:rPr>
                <w:rFonts w:ascii="Arial" w:hAnsi="Arial" w:cs="Arial"/>
                <w:b/>
                <w:bCs/>
                <w:sz w:val="16"/>
                <w:szCs w:val="16"/>
              </w:rPr>
            </w:pPr>
            <w:r w:rsidRPr="00673C1F">
              <w:rPr>
                <w:rFonts w:ascii="Arial" w:hAnsi="Arial" w:cs="Arial"/>
                <w:b/>
                <w:bCs/>
                <w:sz w:val="16"/>
                <w:szCs w:val="16"/>
              </w:rPr>
              <w:t>700,293</w:t>
            </w:r>
          </w:p>
        </w:tc>
        <w:tc>
          <w:tcPr>
            <w:tcW w:w="501" w:type="pct"/>
            <w:tcBorders>
              <w:top w:val="single" w:sz="4" w:space="0" w:color="293F5B"/>
              <w:left w:val="nil"/>
              <w:bottom w:val="nil"/>
              <w:right w:val="nil"/>
            </w:tcBorders>
            <w:shd w:val="clear" w:color="000000" w:fill="FFFFFF"/>
            <w:noWrap/>
            <w:vAlign w:val="center"/>
            <w:hideMark/>
          </w:tcPr>
          <w:p w14:paraId="3B2884B5" w14:textId="77777777" w:rsidR="00B73037" w:rsidRPr="00673C1F" w:rsidRDefault="00B73037" w:rsidP="00B73037">
            <w:pPr>
              <w:spacing w:before="0" w:after="0" w:line="240" w:lineRule="auto"/>
              <w:jc w:val="right"/>
              <w:rPr>
                <w:rFonts w:ascii="Arial" w:hAnsi="Arial" w:cs="Arial"/>
                <w:b/>
                <w:bCs/>
                <w:sz w:val="16"/>
                <w:szCs w:val="16"/>
              </w:rPr>
            </w:pPr>
            <w:r w:rsidRPr="00673C1F">
              <w:rPr>
                <w:rFonts w:ascii="Arial" w:hAnsi="Arial" w:cs="Arial"/>
                <w:b/>
                <w:bCs/>
                <w:sz w:val="16"/>
                <w:szCs w:val="16"/>
              </w:rPr>
              <w:t>726,044</w:t>
            </w:r>
          </w:p>
        </w:tc>
        <w:tc>
          <w:tcPr>
            <w:tcW w:w="501" w:type="pct"/>
            <w:tcBorders>
              <w:top w:val="single" w:sz="4" w:space="0" w:color="293F5B"/>
              <w:left w:val="nil"/>
              <w:bottom w:val="nil"/>
              <w:right w:val="nil"/>
            </w:tcBorders>
            <w:shd w:val="clear" w:color="000000" w:fill="FFFFFF"/>
            <w:noWrap/>
            <w:vAlign w:val="center"/>
            <w:hideMark/>
          </w:tcPr>
          <w:p w14:paraId="1C77EEB8" w14:textId="77777777" w:rsidR="00B73037" w:rsidRPr="00673C1F" w:rsidRDefault="00B73037" w:rsidP="00B73037">
            <w:pPr>
              <w:spacing w:before="0" w:after="0" w:line="240" w:lineRule="auto"/>
              <w:jc w:val="right"/>
              <w:rPr>
                <w:rFonts w:ascii="Arial" w:hAnsi="Arial" w:cs="Arial"/>
                <w:b/>
                <w:bCs/>
                <w:sz w:val="16"/>
                <w:szCs w:val="16"/>
              </w:rPr>
            </w:pPr>
            <w:r w:rsidRPr="00673C1F">
              <w:rPr>
                <w:rFonts w:ascii="Arial" w:hAnsi="Arial" w:cs="Arial"/>
                <w:b/>
                <w:bCs/>
                <w:sz w:val="16"/>
                <w:szCs w:val="16"/>
              </w:rPr>
              <w:t>770,352</w:t>
            </w:r>
          </w:p>
        </w:tc>
        <w:tc>
          <w:tcPr>
            <w:tcW w:w="501" w:type="pct"/>
            <w:tcBorders>
              <w:top w:val="single" w:sz="4" w:space="0" w:color="293F5B"/>
              <w:left w:val="nil"/>
              <w:bottom w:val="nil"/>
              <w:right w:val="nil"/>
            </w:tcBorders>
            <w:shd w:val="clear" w:color="000000" w:fill="FFFFFF"/>
            <w:noWrap/>
            <w:vAlign w:val="center"/>
            <w:hideMark/>
          </w:tcPr>
          <w:p w14:paraId="400DCFF3" w14:textId="77777777" w:rsidR="00B73037" w:rsidRPr="00673C1F" w:rsidRDefault="00B73037" w:rsidP="00B73037">
            <w:pPr>
              <w:spacing w:before="0" w:after="0" w:line="240" w:lineRule="auto"/>
              <w:jc w:val="right"/>
              <w:rPr>
                <w:rFonts w:ascii="Arial" w:hAnsi="Arial" w:cs="Arial"/>
                <w:b/>
                <w:bCs/>
                <w:sz w:val="16"/>
                <w:szCs w:val="16"/>
              </w:rPr>
            </w:pPr>
            <w:r w:rsidRPr="00673C1F">
              <w:rPr>
                <w:rFonts w:ascii="Arial" w:hAnsi="Arial" w:cs="Arial"/>
                <w:b/>
                <w:bCs/>
                <w:sz w:val="16"/>
                <w:szCs w:val="16"/>
              </w:rPr>
              <w:t>*</w:t>
            </w:r>
          </w:p>
        </w:tc>
        <w:tc>
          <w:tcPr>
            <w:tcW w:w="50" w:type="pct"/>
            <w:tcBorders>
              <w:top w:val="nil"/>
              <w:left w:val="nil"/>
              <w:bottom w:val="nil"/>
              <w:right w:val="nil"/>
            </w:tcBorders>
            <w:shd w:val="clear" w:color="000000" w:fill="FFFFFF"/>
            <w:noWrap/>
            <w:vAlign w:val="center"/>
            <w:hideMark/>
          </w:tcPr>
          <w:p w14:paraId="6CEF8593" w14:textId="77777777" w:rsidR="00B73037" w:rsidRPr="00673C1F" w:rsidRDefault="00B73037" w:rsidP="00B73037">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501" w:type="pct"/>
            <w:tcBorders>
              <w:top w:val="single" w:sz="4" w:space="0" w:color="293F5B"/>
              <w:left w:val="nil"/>
              <w:bottom w:val="nil"/>
              <w:right w:val="nil"/>
            </w:tcBorders>
            <w:shd w:val="clear" w:color="000000" w:fill="FFFFFF"/>
            <w:noWrap/>
            <w:vAlign w:val="center"/>
            <w:hideMark/>
          </w:tcPr>
          <w:p w14:paraId="3BE4529C" w14:textId="77777777" w:rsidR="00B73037" w:rsidRPr="00673C1F" w:rsidRDefault="00B73037" w:rsidP="00B73037">
            <w:pPr>
              <w:spacing w:before="0" w:after="0" w:line="240" w:lineRule="auto"/>
              <w:jc w:val="right"/>
              <w:rPr>
                <w:rFonts w:ascii="Arial" w:hAnsi="Arial" w:cs="Arial"/>
                <w:b/>
                <w:bCs/>
                <w:sz w:val="16"/>
                <w:szCs w:val="16"/>
              </w:rPr>
            </w:pPr>
            <w:r w:rsidRPr="00673C1F">
              <w:rPr>
                <w:rFonts w:ascii="Arial" w:hAnsi="Arial" w:cs="Arial"/>
                <w:b/>
                <w:bCs/>
                <w:sz w:val="16"/>
                <w:szCs w:val="16"/>
              </w:rPr>
              <w:t>*</w:t>
            </w:r>
          </w:p>
        </w:tc>
      </w:tr>
      <w:tr w:rsidR="00B73037" w:rsidRPr="00673C1F" w14:paraId="6F1DC9B0" w14:textId="77777777" w:rsidTr="007A51FB">
        <w:trPr>
          <w:trHeight w:hRule="exact" w:val="60"/>
        </w:trPr>
        <w:tc>
          <w:tcPr>
            <w:tcW w:w="1945" w:type="pct"/>
            <w:tcBorders>
              <w:top w:val="nil"/>
              <w:left w:val="nil"/>
              <w:bottom w:val="nil"/>
              <w:right w:val="nil"/>
            </w:tcBorders>
            <w:shd w:val="clear" w:color="000000" w:fill="FFFFFF"/>
            <w:noWrap/>
            <w:vAlign w:val="center"/>
            <w:hideMark/>
          </w:tcPr>
          <w:p w14:paraId="1E2F5631" w14:textId="77777777" w:rsidR="00B73037" w:rsidRPr="00673C1F" w:rsidRDefault="00B73037" w:rsidP="00B73037">
            <w:pPr>
              <w:spacing w:before="0" w:after="0" w:line="240" w:lineRule="auto"/>
              <w:rPr>
                <w:rFonts w:ascii="Arial" w:hAnsi="Arial" w:cs="Arial"/>
                <w:b/>
                <w:bCs/>
                <w:sz w:val="16"/>
                <w:szCs w:val="16"/>
              </w:rPr>
            </w:pPr>
            <w:r w:rsidRPr="00673C1F">
              <w:rPr>
                <w:rFonts w:ascii="Arial" w:hAnsi="Arial" w:cs="Arial"/>
                <w:b/>
                <w:bCs/>
                <w:sz w:val="16"/>
                <w:szCs w:val="16"/>
              </w:rPr>
              <w:t> </w:t>
            </w:r>
          </w:p>
        </w:tc>
        <w:tc>
          <w:tcPr>
            <w:tcW w:w="501" w:type="pct"/>
            <w:tcBorders>
              <w:top w:val="nil"/>
              <w:left w:val="nil"/>
              <w:bottom w:val="nil"/>
              <w:right w:val="nil"/>
            </w:tcBorders>
            <w:shd w:val="clear" w:color="000000" w:fill="FFFFFF"/>
            <w:noWrap/>
            <w:vAlign w:val="center"/>
            <w:hideMark/>
          </w:tcPr>
          <w:p w14:paraId="190A684D"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c>
          <w:tcPr>
            <w:tcW w:w="501" w:type="pct"/>
            <w:tcBorders>
              <w:top w:val="nil"/>
              <w:left w:val="nil"/>
              <w:bottom w:val="nil"/>
              <w:right w:val="nil"/>
            </w:tcBorders>
            <w:shd w:val="clear" w:color="000000" w:fill="E6F2FF"/>
            <w:noWrap/>
            <w:vAlign w:val="center"/>
            <w:hideMark/>
          </w:tcPr>
          <w:p w14:paraId="3F5004ED"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c>
          <w:tcPr>
            <w:tcW w:w="501" w:type="pct"/>
            <w:tcBorders>
              <w:top w:val="nil"/>
              <w:left w:val="nil"/>
              <w:bottom w:val="nil"/>
              <w:right w:val="nil"/>
            </w:tcBorders>
            <w:shd w:val="clear" w:color="000000" w:fill="FFFFFF"/>
            <w:noWrap/>
            <w:vAlign w:val="center"/>
            <w:hideMark/>
          </w:tcPr>
          <w:p w14:paraId="7BD9BF5A"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c>
          <w:tcPr>
            <w:tcW w:w="501" w:type="pct"/>
            <w:tcBorders>
              <w:top w:val="nil"/>
              <w:left w:val="nil"/>
              <w:bottom w:val="nil"/>
              <w:right w:val="nil"/>
            </w:tcBorders>
            <w:shd w:val="clear" w:color="000000" w:fill="FFFFFF"/>
            <w:noWrap/>
            <w:vAlign w:val="center"/>
            <w:hideMark/>
          </w:tcPr>
          <w:p w14:paraId="6B8ED5EE"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c>
          <w:tcPr>
            <w:tcW w:w="501" w:type="pct"/>
            <w:tcBorders>
              <w:top w:val="nil"/>
              <w:left w:val="nil"/>
              <w:bottom w:val="nil"/>
              <w:right w:val="nil"/>
            </w:tcBorders>
            <w:shd w:val="clear" w:color="000000" w:fill="FFFFFF"/>
            <w:noWrap/>
            <w:vAlign w:val="center"/>
            <w:hideMark/>
          </w:tcPr>
          <w:p w14:paraId="61B1FD93"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c>
          <w:tcPr>
            <w:tcW w:w="50" w:type="pct"/>
            <w:tcBorders>
              <w:top w:val="nil"/>
              <w:left w:val="nil"/>
              <w:bottom w:val="nil"/>
              <w:right w:val="nil"/>
            </w:tcBorders>
            <w:shd w:val="clear" w:color="000000" w:fill="FFFFFF"/>
            <w:noWrap/>
            <w:vAlign w:val="center"/>
            <w:hideMark/>
          </w:tcPr>
          <w:p w14:paraId="0459E2D2"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c>
          <w:tcPr>
            <w:tcW w:w="501" w:type="pct"/>
            <w:tcBorders>
              <w:top w:val="nil"/>
              <w:left w:val="nil"/>
              <w:bottom w:val="nil"/>
              <w:right w:val="nil"/>
            </w:tcBorders>
            <w:shd w:val="clear" w:color="000000" w:fill="FFFFFF"/>
            <w:noWrap/>
            <w:vAlign w:val="center"/>
            <w:hideMark/>
          </w:tcPr>
          <w:p w14:paraId="075F53C8"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r>
      <w:tr w:rsidR="00B73037" w:rsidRPr="00673C1F" w14:paraId="6FB71E9A" w14:textId="77777777" w:rsidTr="007A51FB">
        <w:trPr>
          <w:trHeight w:hRule="exact" w:val="225"/>
        </w:trPr>
        <w:tc>
          <w:tcPr>
            <w:tcW w:w="1945" w:type="pct"/>
            <w:tcBorders>
              <w:top w:val="nil"/>
              <w:left w:val="nil"/>
              <w:bottom w:val="nil"/>
              <w:right w:val="nil"/>
            </w:tcBorders>
            <w:shd w:val="clear" w:color="000000" w:fill="FFFFFF"/>
            <w:noWrap/>
            <w:vAlign w:val="center"/>
            <w:hideMark/>
          </w:tcPr>
          <w:p w14:paraId="64CF6151" w14:textId="38CA1216" w:rsidR="00B73037" w:rsidRPr="00673C1F" w:rsidRDefault="00B73037" w:rsidP="00B73037">
            <w:pPr>
              <w:spacing w:before="0" w:after="0" w:line="240" w:lineRule="auto"/>
              <w:rPr>
                <w:rFonts w:ascii="Arial" w:hAnsi="Arial" w:cs="Arial"/>
                <w:b/>
                <w:bCs/>
                <w:sz w:val="16"/>
                <w:szCs w:val="16"/>
              </w:rPr>
            </w:pPr>
            <w:r w:rsidRPr="00673C1F">
              <w:rPr>
                <w:rFonts w:ascii="Arial" w:hAnsi="Arial" w:cs="Arial"/>
                <w:b/>
                <w:bCs/>
                <w:sz w:val="16"/>
                <w:szCs w:val="16"/>
              </w:rPr>
              <w:t>Changes from 2023</w:t>
            </w:r>
            <w:r w:rsidR="006D727E" w:rsidRPr="00673C1F">
              <w:rPr>
                <w:rFonts w:ascii="Arial" w:hAnsi="Arial" w:cs="Arial"/>
                <w:b/>
                <w:bCs/>
                <w:sz w:val="16"/>
                <w:szCs w:val="16"/>
              </w:rPr>
              <w:noBreakHyphen/>
            </w:r>
            <w:r w:rsidRPr="00673C1F">
              <w:rPr>
                <w:rFonts w:ascii="Arial" w:hAnsi="Arial" w:cs="Arial"/>
                <w:b/>
                <w:bCs/>
                <w:sz w:val="16"/>
                <w:szCs w:val="16"/>
              </w:rPr>
              <w:t>24 MYEFO</w:t>
            </w:r>
          </w:p>
        </w:tc>
        <w:tc>
          <w:tcPr>
            <w:tcW w:w="501" w:type="pct"/>
            <w:tcBorders>
              <w:top w:val="nil"/>
              <w:left w:val="nil"/>
              <w:bottom w:val="nil"/>
              <w:right w:val="nil"/>
            </w:tcBorders>
            <w:shd w:val="clear" w:color="000000" w:fill="FFFFFF"/>
            <w:noWrap/>
            <w:vAlign w:val="center"/>
            <w:hideMark/>
          </w:tcPr>
          <w:p w14:paraId="02D54E5A"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c>
          <w:tcPr>
            <w:tcW w:w="501" w:type="pct"/>
            <w:tcBorders>
              <w:top w:val="nil"/>
              <w:left w:val="nil"/>
              <w:bottom w:val="nil"/>
              <w:right w:val="nil"/>
            </w:tcBorders>
            <w:shd w:val="clear" w:color="000000" w:fill="E6F2FF"/>
            <w:noWrap/>
            <w:vAlign w:val="center"/>
            <w:hideMark/>
          </w:tcPr>
          <w:p w14:paraId="4C2B71B7"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c>
          <w:tcPr>
            <w:tcW w:w="501" w:type="pct"/>
            <w:tcBorders>
              <w:top w:val="nil"/>
              <w:left w:val="nil"/>
              <w:bottom w:val="nil"/>
              <w:right w:val="nil"/>
            </w:tcBorders>
            <w:shd w:val="clear" w:color="000000" w:fill="FFFFFF"/>
            <w:noWrap/>
            <w:vAlign w:val="center"/>
            <w:hideMark/>
          </w:tcPr>
          <w:p w14:paraId="39B65AF7"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c>
          <w:tcPr>
            <w:tcW w:w="501" w:type="pct"/>
            <w:tcBorders>
              <w:top w:val="nil"/>
              <w:left w:val="nil"/>
              <w:bottom w:val="nil"/>
              <w:right w:val="nil"/>
            </w:tcBorders>
            <w:shd w:val="clear" w:color="000000" w:fill="FFFFFF"/>
            <w:noWrap/>
            <w:vAlign w:val="center"/>
            <w:hideMark/>
          </w:tcPr>
          <w:p w14:paraId="23CC8C46"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c>
          <w:tcPr>
            <w:tcW w:w="501" w:type="pct"/>
            <w:tcBorders>
              <w:top w:val="nil"/>
              <w:left w:val="nil"/>
              <w:bottom w:val="nil"/>
              <w:right w:val="nil"/>
            </w:tcBorders>
            <w:shd w:val="clear" w:color="000000" w:fill="FFFFFF"/>
            <w:noWrap/>
            <w:vAlign w:val="center"/>
            <w:hideMark/>
          </w:tcPr>
          <w:p w14:paraId="792E2B66"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c>
          <w:tcPr>
            <w:tcW w:w="50" w:type="pct"/>
            <w:tcBorders>
              <w:top w:val="nil"/>
              <w:left w:val="nil"/>
              <w:bottom w:val="nil"/>
              <w:right w:val="nil"/>
            </w:tcBorders>
            <w:shd w:val="clear" w:color="000000" w:fill="FFFFFF"/>
            <w:noWrap/>
            <w:vAlign w:val="center"/>
            <w:hideMark/>
          </w:tcPr>
          <w:p w14:paraId="7B43DD50"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c>
          <w:tcPr>
            <w:tcW w:w="501" w:type="pct"/>
            <w:tcBorders>
              <w:top w:val="nil"/>
              <w:left w:val="nil"/>
              <w:bottom w:val="nil"/>
              <w:right w:val="nil"/>
            </w:tcBorders>
            <w:shd w:val="clear" w:color="000000" w:fill="FFFFFF"/>
            <w:noWrap/>
            <w:vAlign w:val="center"/>
            <w:hideMark/>
          </w:tcPr>
          <w:p w14:paraId="758E509A"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r>
      <w:tr w:rsidR="00B73037" w:rsidRPr="00673C1F" w14:paraId="1E0702C6" w14:textId="77777777" w:rsidTr="007A51FB">
        <w:trPr>
          <w:trHeight w:hRule="exact" w:val="225"/>
        </w:trPr>
        <w:tc>
          <w:tcPr>
            <w:tcW w:w="1945" w:type="pct"/>
            <w:tcBorders>
              <w:top w:val="nil"/>
              <w:left w:val="nil"/>
              <w:bottom w:val="nil"/>
              <w:right w:val="nil"/>
            </w:tcBorders>
            <w:shd w:val="clear" w:color="000000" w:fill="FFFFFF"/>
            <w:noWrap/>
            <w:vAlign w:val="center"/>
            <w:hideMark/>
          </w:tcPr>
          <w:p w14:paraId="5F1DE11F" w14:textId="08385E8A" w:rsidR="00B73037" w:rsidRPr="00673C1F" w:rsidRDefault="00B73037" w:rsidP="007A51FB">
            <w:pPr>
              <w:spacing w:before="0" w:after="0" w:line="240" w:lineRule="auto"/>
              <w:ind w:left="170"/>
              <w:rPr>
                <w:rFonts w:ascii="Arial" w:hAnsi="Arial" w:cs="Arial"/>
                <w:b/>
                <w:bCs/>
                <w:sz w:val="16"/>
                <w:szCs w:val="16"/>
              </w:rPr>
            </w:pPr>
            <w:r w:rsidRPr="00673C1F">
              <w:rPr>
                <w:rFonts w:ascii="Arial" w:hAnsi="Arial" w:cs="Arial"/>
                <w:b/>
                <w:bCs/>
                <w:sz w:val="16"/>
                <w:szCs w:val="16"/>
              </w:rPr>
              <w:t>to 2024</w:t>
            </w:r>
            <w:r w:rsidR="006D727E" w:rsidRPr="00673C1F">
              <w:rPr>
                <w:rFonts w:ascii="Arial" w:hAnsi="Arial" w:cs="Arial"/>
                <w:b/>
                <w:bCs/>
                <w:sz w:val="16"/>
                <w:szCs w:val="16"/>
              </w:rPr>
              <w:noBreakHyphen/>
            </w:r>
            <w:r w:rsidRPr="00673C1F">
              <w:rPr>
                <w:rFonts w:ascii="Arial" w:hAnsi="Arial" w:cs="Arial"/>
                <w:b/>
                <w:bCs/>
                <w:sz w:val="16"/>
                <w:szCs w:val="16"/>
              </w:rPr>
              <w:t>25 Budget</w:t>
            </w:r>
          </w:p>
        </w:tc>
        <w:tc>
          <w:tcPr>
            <w:tcW w:w="501" w:type="pct"/>
            <w:tcBorders>
              <w:top w:val="nil"/>
              <w:left w:val="nil"/>
              <w:bottom w:val="nil"/>
              <w:right w:val="nil"/>
            </w:tcBorders>
            <w:shd w:val="clear" w:color="000000" w:fill="FFFFFF"/>
            <w:noWrap/>
            <w:vAlign w:val="center"/>
            <w:hideMark/>
          </w:tcPr>
          <w:p w14:paraId="185240C0" w14:textId="77777777" w:rsidR="00B73037" w:rsidRPr="00673C1F" w:rsidRDefault="00B73037" w:rsidP="00B73037">
            <w:pPr>
              <w:spacing w:before="0" w:after="0" w:line="240" w:lineRule="auto"/>
              <w:rPr>
                <w:rFonts w:ascii="Arial" w:hAnsi="Arial" w:cs="Arial"/>
                <w:i/>
                <w:iCs/>
                <w:sz w:val="16"/>
                <w:szCs w:val="16"/>
              </w:rPr>
            </w:pPr>
            <w:r w:rsidRPr="00673C1F">
              <w:rPr>
                <w:rFonts w:ascii="Arial" w:hAnsi="Arial" w:cs="Arial"/>
                <w:i/>
                <w:iCs/>
                <w:sz w:val="16"/>
                <w:szCs w:val="16"/>
              </w:rPr>
              <w:t> </w:t>
            </w:r>
          </w:p>
        </w:tc>
        <w:tc>
          <w:tcPr>
            <w:tcW w:w="501" w:type="pct"/>
            <w:tcBorders>
              <w:top w:val="nil"/>
              <w:left w:val="nil"/>
              <w:bottom w:val="nil"/>
              <w:right w:val="nil"/>
            </w:tcBorders>
            <w:shd w:val="clear" w:color="000000" w:fill="E6F2FF"/>
            <w:noWrap/>
            <w:vAlign w:val="center"/>
            <w:hideMark/>
          </w:tcPr>
          <w:p w14:paraId="268ABB1A" w14:textId="77777777" w:rsidR="00B73037" w:rsidRPr="00673C1F" w:rsidRDefault="00B73037" w:rsidP="00B73037">
            <w:pPr>
              <w:spacing w:before="0" w:after="0" w:line="240" w:lineRule="auto"/>
              <w:rPr>
                <w:rFonts w:ascii="Arial" w:hAnsi="Arial" w:cs="Arial"/>
                <w:i/>
                <w:iCs/>
                <w:sz w:val="16"/>
                <w:szCs w:val="16"/>
              </w:rPr>
            </w:pPr>
            <w:r w:rsidRPr="00673C1F">
              <w:rPr>
                <w:rFonts w:ascii="Arial" w:hAnsi="Arial" w:cs="Arial"/>
                <w:i/>
                <w:iCs/>
                <w:sz w:val="16"/>
                <w:szCs w:val="16"/>
              </w:rPr>
              <w:t> </w:t>
            </w:r>
          </w:p>
        </w:tc>
        <w:tc>
          <w:tcPr>
            <w:tcW w:w="501" w:type="pct"/>
            <w:tcBorders>
              <w:top w:val="nil"/>
              <w:left w:val="nil"/>
              <w:bottom w:val="nil"/>
              <w:right w:val="nil"/>
            </w:tcBorders>
            <w:shd w:val="clear" w:color="000000" w:fill="FFFFFF"/>
            <w:noWrap/>
            <w:vAlign w:val="center"/>
            <w:hideMark/>
          </w:tcPr>
          <w:p w14:paraId="33389483" w14:textId="77777777" w:rsidR="00B73037" w:rsidRPr="00673C1F" w:rsidRDefault="00B73037" w:rsidP="00B73037">
            <w:pPr>
              <w:spacing w:before="0" w:after="0" w:line="240" w:lineRule="auto"/>
              <w:rPr>
                <w:rFonts w:ascii="Arial" w:hAnsi="Arial" w:cs="Arial"/>
                <w:i/>
                <w:iCs/>
                <w:sz w:val="16"/>
                <w:szCs w:val="16"/>
              </w:rPr>
            </w:pPr>
            <w:r w:rsidRPr="00673C1F">
              <w:rPr>
                <w:rFonts w:ascii="Arial" w:hAnsi="Arial" w:cs="Arial"/>
                <w:i/>
                <w:iCs/>
                <w:sz w:val="16"/>
                <w:szCs w:val="16"/>
              </w:rPr>
              <w:t> </w:t>
            </w:r>
          </w:p>
        </w:tc>
        <w:tc>
          <w:tcPr>
            <w:tcW w:w="501" w:type="pct"/>
            <w:tcBorders>
              <w:top w:val="nil"/>
              <w:left w:val="nil"/>
              <w:bottom w:val="nil"/>
              <w:right w:val="nil"/>
            </w:tcBorders>
            <w:shd w:val="clear" w:color="000000" w:fill="FFFFFF"/>
            <w:noWrap/>
            <w:vAlign w:val="center"/>
            <w:hideMark/>
          </w:tcPr>
          <w:p w14:paraId="1CA624AF" w14:textId="77777777" w:rsidR="00B73037" w:rsidRPr="00673C1F" w:rsidRDefault="00B73037" w:rsidP="00B73037">
            <w:pPr>
              <w:spacing w:before="0" w:after="0" w:line="240" w:lineRule="auto"/>
              <w:rPr>
                <w:rFonts w:ascii="Arial" w:hAnsi="Arial" w:cs="Arial"/>
                <w:i/>
                <w:iCs/>
                <w:sz w:val="16"/>
                <w:szCs w:val="16"/>
              </w:rPr>
            </w:pPr>
            <w:r w:rsidRPr="00673C1F">
              <w:rPr>
                <w:rFonts w:ascii="Arial" w:hAnsi="Arial" w:cs="Arial"/>
                <w:i/>
                <w:iCs/>
                <w:sz w:val="16"/>
                <w:szCs w:val="16"/>
              </w:rPr>
              <w:t> </w:t>
            </w:r>
          </w:p>
        </w:tc>
        <w:tc>
          <w:tcPr>
            <w:tcW w:w="501" w:type="pct"/>
            <w:tcBorders>
              <w:top w:val="nil"/>
              <w:left w:val="nil"/>
              <w:bottom w:val="nil"/>
              <w:right w:val="nil"/>
            </w:tcBorders>
            <w:shd w:val="clear" w:color="000000" w:fill="FFFFFF"/>
            <w:noWrap/>
            <w:vAlign w:val="center"/>
            <w:hideMark/>
          </w:tcPr>
          <w:p w14:paraId="2CD9FECE" w14:textId="77777777" w:rsidR="00B73037" w:rsidRPr="00673C1F" w:rsidRDefault="00B73037" w:rsidP="00B73037">
            <w:pPr>
              <w:spacing w:before="0" w:after="0" w:line="240" w:lineRule="auto"/>
              <w:rPr>
                <w:rFonts w:ascii="Arial" w:hAnsi="Arial" w:cs="Arial"/>
                <w:i/>
                <w:iCs/>
                <w:sz w:val="16"/>
                <w:szCs w:val="16"/>
              </w:rPr>
            </w:pPr>
            <w:r w:rsidRPr="00673C1F">
              <w:rPr>
                <w:rFonts w:ascii="Arial" w:hAnsi="Arial" w:cs="Arial"/>
                <w:i/>
                <w:iCs/>
                <w:sz w:val="16"/>
                <w:szCs w:val="16"/>
              </w:rPr>
              <w:t> </w:t>
            </w:r>
          </w:p>
        </w:tc>
        <w:tc>
          <w:tcPr>
            <w:tcW w:w="50" w:type="pct"/>
            <w:tcBorders>
              <w:top w:val="nil"/>
              <w:left w:val="nil"/>
              <w:bottom w:val="nil"/>
              <w:right w:val="nil"/>
            </w:tcBorders>
            <w:shd w:val="clear" w:color="000000" w:fill="FFFFFF"/>
            <w:noWrap/>
            <w:vAlign w:val="center"/>
            <w:hideMark/>
          </w:tcPr>
          <w:p w14:paraId="4210E546" w14:textId="77777777" w:rsidR="00B73037" w:rsidRPr="00673C1F" w:rsidRDefault="00B73037" w:rsidP="00B73037">
            <w:pPr>
              <w:spacing w:before="0" w:after="0" w:line="240" w:lineRule="auto"/>
              <w:rPr>
                <w:rFonts w:ascii="Arial" w:hAnsi="Arial" w:cs="Arial"/>
                <w:i/>
                <w:iCs/>
                <w:sz w:val="16"/>
                <w:szCs w:val="16"/>
              </w:rPr>
            </w:pPr>
            <w:r w:rsidRPr="00673C1F">
              <w:rPr>
                <w:rFonts w:ascii="Arial" w:hAnsi="Arial" w:cs="Arial"/>
                <w:i/>
                <w:iCs/>
                <w:sz w:val="16"/>
                <w:szCs w:val="16"/>
              </w:rPr>
              <w:t> </w:t>
            </w:r>
          </w:p>
        </w:tc>
        <w:tc>
          <w:tcPr>
            <w:tcW w:w="501" w:type="pct"/>
            <w:tcBorders>
              <w:top w:val="nil"/>
              <w:left w:val="nil"/>
              <w:bottom w:val="nil"/>
              <w:right w:val="nil"/>
            </w:tcBorders>
            <w:shd w:val="clear" w:color="000000" w:fill="FFFFFF"/>
            <w:noWrap/>
            <w:vAlign w:val="center"/>
            <w:hideMark/>
          </w:tcPr>
          <w:p w14:paraId="1D38905D"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r>
      <w:tr w:rsidR="00B73037" w:rsidRPr="00673C1F" w14:paraId="47CE3ACD" w14:textId="77777777" w:rsidTr="007A51FB">
        <w:trPr>
          <w:trHeight w:hRule="exact" w:val="225"/>
        </w:trPr>
        <w:tc>
          <w:tcPr>
            <w:tcW w:w="1945" w:type="pct"/>
            <w:tcBorders>
              <w:top w:val="nil"/>
              <w:left w:val="nil"/>
              <w:bottom w:val="nil"/>
              <w:right w:val="nil"/>
            </w:tcBorders>
            <w:shd w:val="clear" w:color="000000" w:fill="FFFFFF"/>
            <w:noWrap/>
            <w:vAlign w:val="center"/>
            <w:hideMark/>
          </w:tcPr>
          <w:p w14:paraId="0E02283F"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Effect of policy decisions(a)</w:t>
            </w:r>
          </w:p>
        </w:tc>
        <w:tc>
          <w:tcPr>
            <w:tcW w:w="501" w:type="pct"/>
            <w:tcBorders>
              <w:top w:val="nil"/>
              <w:left w:val="nil"/>
              <w:bottom w:val="nil"/>
              <w:right w:val="nil"/>
            </w:tcBorders>
            <w:shd w:val="clear" w:color="000000" w:fill="FFFFFF"/>
            <w:noWrap/>
            <w:vAlign w:val="center"/>
            <w:hideMark/>
          </w:tcPr>
          <w:p w14:paraId="03CEA2DA"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54</w:t>
            </w:r>
          </w:p>
        </w:tc>
        <w:tc>
          <w:tcPr>
            <w:tcW w:w="501" w:type="pct"/>
            <w:tcBorders>
              <w:top w:val="nil"/>
              <w:left w:val="nil"/>
              <w:bottom w:val="nil"/>
              <w:right w:val="nil"/>
            </w:tcBorders>
            <w:shd w:val="clear" w:color="000000" w:fill="E6F2FF"/>
            <w:noWrap/>
            <w:vAlign w:val="center"/>
            <w:hideMark/>
          </w:tcPr>
          <w:p w14:paraId="294A2DE2"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2,267</w:t>
            </w:r>
          </w:p>
        </w:tc>
        <w:tc>
          <w:tcPr>
            <w:tcW w:w="501" w:type="pct"/>
            <w:tcBorders>
              <w:top w:val="nil"/>
              <w:left w:val="nil"/>
              <w:bottom w:val="nil"/>
              <w:right w:val="nil"/>
            </w:tcBorders>
            <w:shd w:val="clear" w:color="000000" w:fill="FFFFFF"/>
            <w:noWrap/>
            <w:vAlign w:val="center"/>
            <w:hideMark/>
          </w:tcPr>
          <w:p w14:paraId="1DCF02C8" w14:textId="1E6EFC0E" w:rsidR="00B73037" w:rsidRPr="00673C1F" w:rsidRDefault="006D727E" w:rsidP="00B73037">
            <w:pPr>
              <w:spacing w:before="0" w:after="0" w:line="240" w:lineRule="auto"/>
              <w:jc w:val="right"/>
              <w:rPr>
                <w:rFonts w:ascii="Arial" w:hAnsi="Arial" w:cs="Arial"/>
                <w:sz w:val="16"/>
                <w:szCs w:val="16"/>
              </w:rPr>
            </w:pPr>
            <w:r w:rsidRPr="00673C1F">
              <w:rPr>
                <w:rFonts w:ascii="Arial" w:hAnsi="Arial" w:cs="Arial"/>
                <w:sz w:val="16"/>
                <w:szCs w:val="16"/>
              </w:rPr>
              <w:noBreakHyphen/>
            </w:r>
            <w:r w:rsidR="00B73037" w:rsidRPr="00673C1F">
              <w:rPr>
                <w:rFonts w:ascii="Arial" w:hAnsi="Arial" w:cs="Arial"/>
                <w:sz w:val="16"/>
                <w:szCs w:val="16"/>
              </w:rPr>
              <w:t>956</w:t>
            </w:r>
          </w:p>
        </w:tc>
        <w:tc>
          <w:tcPr>
            <w:tcW w:w="501" w:type="pct"/>
            <w:tcBorders>
              <w:top w:val="nil"/>
              <w:left w:val="nil"/>
              <w:bottom w:val="nil"/>
              <w:right w:val="nil"/>
            </w:tcBorders>
            <w:shd w:val="clear" w:color="000000" w:fill="FFFFFF"/>
            <w:noWrap/>
            <w:vAlign w:val="center"/>
            <w:hideMark/>
          </w:tcPr>
          <w:p w14:paraId="29AA77AB"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3,366</w:t>
            </w:r>
          </w:p>
        </w:tc>
        <w:tc>
          <w:tcPr>
            <w:tcW w:w="501" w:type="pct"/>
            <w:tcBorders>
              <w:top w:val="nil"/>
              <w:left w:val="nil"/>
              <w:bottom w:val="nil"/>
              <w:right w:val="nil"/>
            </w:tcBorders>
            <w:shd w:val="clear" w:color="000000" w:fill="FFFFFF"/>
            <w:noWrap/>
            <w:vAlign w:val="center"/>
            <w:hideMark/>
          </w:tcPr>
          <w:p w14:paraId="0BBD99C4"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5,972</w:t>
            </w:r>
          </w:p>
        </w:tc>
        <w:tc>
          <w:tcPr>
            <w:tcW w:w="50" w:type="pct"/>
            <w:tcBorders>
              <w:top w:val="nil"/>
              <w:left w:val="nil"/>
              <w:bottom w:val="nil"/>
              <w:right w:val="nil"/>
            </w:tcBorders>
            <w:shd w:val="clear" w:color="000000" w:fill="FFFFFF"/>
            <w:noWrap/>
            <w:vAlign w:val="center"/>
            <w:hideMark/>
          </w:tcPr>
          <w:p w14:paraId="03C0A1FD"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 </w:t>
            </w:r>
          </w:p>
        </w:tc>
        <w:tc>
          <w:tcPr>
            <w:tcW w:w="501" w:type="pct"/>
            <w:tcBorders>
              <w:top w:val="nil"/>
              <w:left w:val="nil"/>
              <w:bottom w:val="nil"/>
              <w:right w:val="nil"/>
            </w:tcBorders>
            <w:shd w:val="clear" w:color="000000" w:fill="FFFFFF"/>
            <w:noWrap/>
            <w:vAlign w:val="center"/>
            <w:hideMark/>
          </w:tcPr>
          <w:p w14:paraId="101319B7"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10,702</w:t>
            </w:r>
          </w:p>
        </w:tc>
      </w:tr>
      <w:tr w:rsidR="00B73037" w:rsidRPr="00673C1F" w14:paraId="2C22ACA1" w14:textId="77777777" w:rsidTr="007A51FB">
        <w:trPr>
          <w:trHeight w:hRule="exact" w:val="225"/>
        </w:trPr>
        <w:tc>
          <w:tcPr>
            <w:tcW w:w="1945" w:type="pct"/>
            <w:tcBorders>
              <w:top w:val="nil"/>
              <w:left w:val="nil"/>
              <w:bottom w:val="nil"/>
              <w:right w:val="nil"/>
            </w:tcBorders>
            <w:shd w:val="clear" w:color="000000" w:fill="FFFFFF"/>
            <w:noWrap/>
            <w:vAlign w:val="center"/>
            <w:hideMark/>
          </w:tcPr>
          <w:p w14:paraId="4DB2A296"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Effect of parameter and other variations</w:t>
            </w:r>
          </w:p>
        </w:tc>
        <w:tc>
          <w:tcPr>
            <w:tcW w:w="501" w:type="pct"/>
            <w:tcBorders>
              <w:top w:val="nil"/>
              <w:left w:val="nil"/>
              <w:bottom w:val="single" w:sz="4" w:space="0" w:color="293F5B"/>
              <w:right w:val="nil"/>
            </w:tcBorders>
            <w:shd w:val="clear" w:color="000000" w:fill="FFFFFF"/>
            <w:noWrap/>
            <w:vAlign w:val="center"/>
            <w:hideMark/>
          </w:tcPr>
          <w:p w14:paraId="591445B5"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6,201</w:t>
            </w:r>
          </w:p>
        </w:tc>
        <w:tc>
          <w:tcPr>
            <w:tcW w:w="501" w:type="pct"/>
            <w:tcBorders>
              <w:top w:val="nil"/>
              <w:left w:val="nil"/>
              <w:bottom w:val="single" w:sz="4" w:space="0" w:color="293F5B"/>
              <w:right w:val="nil"/>
            </w:tcBorders>
            <w:shd w:val="clear" w:color="000000" w:fill="E6F2FF"/>
            <w:noWrap/>
            <w:vAlign w:val="center"/>
            <w:hideMark/>
          </w:tcPr>
          <w:p w14:paraId="79C31C33"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8,945</w:t>
            </w:r>
          </w:p>
        </w:tc>
        <w:tc>
          <w:tcPr>
            <w:tcW w:w="501" w:type="pct"/>
            <w:tcBorders>
              <w:top w:val="nil"/>
              <w:left w:val="nil"/>
              <w:bottom w:val="single" w:sz="4" w:space="0" w:color="293F5B"/>
              <w:right w:val="nil"/>
            </w:tcBorders>
            <w:shd w:val="clear" w:color="000000" w:fill="FFFFFF"/>
            <w:noWrap/>
            <w:vAlign w:val="center"/>
            <w:hideMark/>
          </w:tcPr>
          <w:p w14:paraId="4D1DBC80"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7,652</w:t>
            </w:r>
          </w:p>
        </w:tc>
        <w:tc>
          <w:tcPr>
            <w:tcW w:w="501" w:type="pct"/>
            <w:tcBorders>
              <w:top w:val="nil"/>
              <w:left w:val="nil"/>
              <w:bottom w:val="single" w:sz="4" w:space="0" w:color="293F5B"/>
              <w:right w:val="nil"/>
            </w:tcBorders>
            <w:shd w:val="clear" w:color="000000" w:fill="FFFFFF"/>
            <w:noWrap/>
            <w:vAlign w:val="center"/>
            <w:hideMark/>
          </w:tcPr>
          <w:p w14:paraId="08D54A9A"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2,521</w:t>
            </w:r>
          </w:p>
        </w:tc>
        <w:tc>
          <w:tcPr>
            <w:tcW w:w="501" w:type="pct"/>
            <w:tcBorders>
              <w:top w:val="nil"/>
              <w:left w:val="nil"/>
              <w:bottom w:val="single" w:sz="4" w:space="0" w:color="293F5B"/>
              <w:right w:val="nil"/>
            </w:tcBorders>
            <w:shd w:val="clear" w:color="000000" w:fill="FFFFFF"/>
            <w:noWrap/>
            <w:vAlign w:val="center"/>
            <w:hideMark/>
          </w:tcPr>
          <w:p w14:paraId="799BB016"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w:t>
            </w:r>
          </w:p>
        </w:tc>
        <w:tc>
          <w:tcPr>
            <w:tcW w:w="50" w:type="pct"/>
            <w:tcBorders>
              <w:top w:val="nil"/>
              <w:left w:val="nil"/>
              <w:bottom w:val="nil"/>
              <w:right w:val="nil"/>
            </w:tcBorders>
            <w:shd w:val="clear" w:color="000000" w:fill="FFFFFF"/>
            <w:noWrap/>
            <w:vAlign w:val="center"/>
            <w:hideMark/>
          </w:tcPr>
          <w:p w14:paraId="64BF3A65"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 </w:t>
            </w:r>
          </w:p>
        </w:tc>
        <w:tc>
          <w:tcPr>
            <w:tcW w:w="501" w:type="pct"/>
            <w:tcBorders>
              <w:top w:val="nil"/>
              <w:left w:val="nil"/>
              <w:bottom w:val="single" w:sz="4" w:space="0" w:color="293F5B"/>
              <w:right w:val="nil"/>
            </w:tcBorders>
            <w:shd w:val="clear" w:color="000000" w:fill="FFFFFF"/>
            <w:noWrap/>
            <w:vAlign w:val="center"/>
            <w:hideMark/>
          </w:tcPr>
          <w:p w14:paraId="17301F04" w14:textId="77777777" w:rsidR="00B73037" w:rsidRPr="00673C1F" w:rsidRDefault="00B73037" w:rsidP="00B73037">
            <w:pPr>
              <w:spacing w:before="0" w:after="0" w:line="240" w:lineRule="auto"/>
              <w:jc w:val="right"/>
              <w:rPr>
                <w:rFonts w:ascii="Arial" w:hAnsi="Arial" w:cs="Arial"/>
                <w:sz w:val="16"/>
                <w:szCs w:val="16"/>
              </w:rPr>
            </w:pPr>
            <w:r w:rsidRPr="00673C1F">
              <w:rPr>
                <w:rFonts w:ascii="Arial" w:hAnsi="Arial" w:cs="Arial"/>
                <w:sz w:val="16"/>
                <w:szCs w:val="16"/>
              </w:rPr>
              <w:t>*</w:t>
            </w:r>
          </w:p>
        </w:tc>
      </w:tr>
      <w:tr w:rsidR="00B73037" w:rsidRPr="00673C1F" w14:paraId="134684B6" w14:textId="77777777" w:rsidTr="007A51FB">
        <w:trPr>
          <w:trHeight w:hRule="exact" w:val="225"/>
        </w:trPr>
        <w:tc>
          <w:tcPr>
            <w:tcW w:w="1945" w:type="pct"/>
            <w:tcBorders>
              <w:top w:val="nil"/>
              <w:left w:val="nil"/>
              <w:bottom w:val="nil"/>
              <w:right w:val="nil"/>
            </w:tcBorders>
            <w:shd w:val="clear" w:color="000000" w:fill="FFFFFF"/>
            <w:noWrap/>
            <w:vAlign w:val="center"/>
            <w:hideMark/>
          </w:tcPr>
          <w:p w14:paraId="49455D9A" w14:textId="77777777" w:rsidR="00B73037" w:rsidRPr="00673C1F" w:rsidRDefault="00B73037" w:rsidP="00B73037">
            <w:pPr>
              <w:spacing w:before="0" w:after="0" w:line="240" w:lineRule="auto"/>
              <w:rPr>
                <w:rFonts w:ascii="Arial" w:hAnsi="Arial" w:cs="Arial"/>
                <w:b/>
                <w:bCs/>
                <w:sz w:val="16"/>
                <w:szCs w:val="16"/>
              </w:rPr>
            </w:pPr>
            <w:r w:rsidRPr="00673C1F">
              <w:rPr>
                <w:rFonts w:ascii="Arial" w:hAnsi="Arial" w:cs="Arial"/>
                <w:b/>
                <w:bCs/>
                <w:sz w:val="16"/>
                <w:szCs w:val="16"/>
              </w:rPr>
              <w:t>Total variations</w:t>
            </w:r>
          </w:p>
        </w:tc>
        <w:tc>
          <w:tcPr>
            <w:tcW w:w="501" w:type="pct"/>
            <w:tcBorders>
              <w:top w:val="nil"/>
              <w:left w:val="nil"/>
              <w:bottom w:val="single" w:sz="4" w:space="0" w:color="293F5B"/>
              <w:right w:val="nil"/>
            </w:tcBorders>
            <w:shd w:val="clear" w:color="000000" w:fill="FFFFFF"/>
            <w:noWrap/>
            <w:vAlign w:val="center"/>
            <w:hideMark/>
          </w:tcPr>
          <w:p w14:paraId="0524B0DE" w14:textId="77777777" w:rsidR="00B73037" w:rsidRPr="00673C1F" w:rsidRDefault="00B73037" w:rsidP="00B73037">
            <w:pPr>
              <w:spacing w:before="0" w:after="0" w:line="240" w:lineRule="auto"/>
              <w:jc w:val="right"/>
              <w:rPr>
                <w:rFonts w:ascii="Arial" w:hAnsi="Arial" w:cs="Arial"/>
                <w:b/>
                <w:bCs/>
                <w:sz w:val="16"/>
                <w:szCs w:val="16"/>
              </w:rPr>
            </w:pPr>
            <w:r w:rsidRPr="00673C1F">
              <w:rPr>
                <w:rFonts w:ascii="Arial" w:hAnsi="Arial" w:cs="Arial"/>
                <w:b/>
                <w:bCs/>
                <w:sz w:val="16"/>
                <w:szCs w:val="16"/>
              </w:rPr>
              <w:t>6,255</w:t>
            </w:r>
          </w:p>
        </w:tc>
        <w:tc>
          <w:tcPr>
            <w:tcW w:w="501" w:type="pct"/>
            <w:tcBorders>
              <w:top w:val="nil"/>
              <w:left w:val="nil"/>
              <w:bottom w:val="single" w:sz="4" w:space="0" w:color="293F5B"/>
              <w:right w:val="nil"/>
            </w:tcBorders>
            <w:shd w:val="clear" w:color="000000" w:fill="E6F2FF"/>
            <w:noWrap/>
            <w:vAlign w:val="center"/>
            <w:hideMark/>
          </w:tcPr>
          <w:p w14:paraId="6BA1F8E8" w14:textId="77777777" w:rsidR="00B73037" w:rsidRPr="00673C1F" w:rsidRDefault="00B73037" w:rsidP="00B73037">
            <w:pPr>
              <w:spacing w:before="0" w:after="0" w:line="240" w:lineRule="auto"/>
              <w:jc w:val="right"/>
              <w:rPr>
                <w:rFonts w:ascii="Arial" w:hAnsi="Arial" w:cs="Arial"/>
                <w:b/>
                <w:bCs/>
                <w:sz w:val="16"/>
                <w:szCs w:val="16"/>
              </w:rPr>
            </w:pPr>
            <w:r w:rsidRPr="00673C1F">
              <w:rPr>
                <w:rFonts w:ascii="Arial" w:hAnsi="Arial" w:cs="Arial"/>
                <w:b/>
                <w:bCs/>
                <w:sz w:val="16"/>
                <w:szCs w:val="16"/>
              </w:rPr>
              <w:t>11,212</w:t>
            </w:r>
          </w:p>
        </w:tc>
        <w:tc>
          <w:tcPr>
            <w:tcW w:w="501" w:type="pct"/>
            <w:tcBorders>
              <w:top w:val="nil"/>
              <w:left w:val="nil"/>
              <w:bottom w:val="single" w:sz="4" w:space="0" w:color="293F5B"/>
              <w:right w:val="nil"/>
            </w:tcBorders>
            <w:shd w:val="clear" w:color="000000" w:fill="FFFFFF"/>
            <w:noWrap/>
            <w:vAlign w:val="center"/>
            <w:hideMark/>
          </w:tcPr>
          <w:p w14:paraId="3FD6C854" w14:textId="77777777" w:rsidR="00B73037" w:rsidRPr="00673C1F" w:rsidRDefault="00B73037" w:rsidP="00B73037">
            <w:pPr>
              <w:spacing w:before="0" w:after="0" w:line="240" w:lineRule="auto"/>
              <w:jc w:val="right"/>
              <w:rPr>
                <w:rFonts w:ascii="Arial" w:hAnsi="Arial" w:cs="Arial"/>
                <w:b/>
                <w:bCs/>
                <w:sz w:val="16"/>
                <w:szCs w:val="16"/>
              </w:rPr>
            </w:pPr>
            <w:r w:rsidRPr="00673C1F">
              <w:rPr>
                <w:rFonts w:ascii="Arial" w:hAnsi="Arial" w:cs="Arial"/>
                <w:b/>
                <w:bCs/>
                <w:sz w:val="16"/>
                <w:szCs w:val="16"/>
              </w:rPr>
              <w:t>6,696</w:t>
            </w:r>
          </w:p>
        </w:tc>
        <w:tc>
          <w:tcPr>
            <w:tcW w:w="501" w:type="pct"/>
            <w:tcBorders>
              <w:top w:val="nil"/>
              <w:left w:val="nil"/>
              <w:bottom w:val="single" w:sz="4" w:space="0" w:color="293F5B"/>
              <w:right w:val="nil"/>
            </w:tcBorders>
            <w:shd w:val="clear" w:color="000000" w:fill="FFFFFF"/>
            <w:noWrap/>
            <w:vAlign w:val="center"/>
            <w:hideMark/>
          </w:tcPr>
          <w:p w14:paraId="2DD015A9" w14:textId="77777777" w:rsidR="00B73037" w:rsidRPr="00673C1F" w:rsidRDefault="00B73037" w:rsidP="00B73037">
            <w:pPr>
              <w:spacing w:before="0" w:after="0" w:line="240" w:lineRule="auto"/>
              <w:jc w:val="right"/>
              <w:rPr>
                <w:rFonts w:ascii="Arial" w:hAnsi="Arial" w:cs="Arial"/>
                <w:b/>
                <w:bCs/>
                <w:sz w:val="16"/>
                <w:szCs w:val="16"/>
              </w:rPr>
            </w:pPr>
            <w:r w:rsidRPr="00673C1F">
              <w:rPr>
                <w:rFonts w:ascii="Arial" w:hAnsi="Arial" w:cs="Arial"/>
                <w:b/>
                <w:bCs/>
                <w:sz w:val="16"/>
                <w:szCs w:val="16"/>
              </w:rPr>
              <w:t>5,887</w:t>
            </w:r>
          </w:p>
        </w:tc>
        <w:tc>
          <w:tcPr>
            <w:tcW w:w="501" w:type="pct"/>
            <w:tcBorders>
              <w:top w:val="nil"/>
              <w:left w:val="nil"/>
              <w:bottom w:val="single" w:sz="4" w:space="0" w:color="293F5B"/>
              <w:right w:val="nil"/>
            </w:tcBorders>
            <w:shd w:val="clear" w:color="000000" w:fill="FFFFFF"/>
            <w:noWrap/>
            <w:vAlign w:val="center"/>
            <w:hideMark/>
          </w:tcPr>
          <w:p w14:paraId="22DBB163" w14:textId="77777777" w:rsidR="00B73037" w:rsidRPr="00673C1F" w:rsidRDefault="00B73037" w:rsidP="00B73037">
            <w:pPr>
              <w:spacing w:before="0" w:after="0" w:line="240" w:lineRule="auto"/>
              <w:jc w:val="right"/>
              <w:rPr>
                <w:rFonts w:ascii="Arial" w:hAnsi="Arial" w:cs="Arial"/>
                <w:b/>
                <w:bCs/>
                <w:sz w:val="16"/>
                <w:szCs w:val="16"/>
              </w:rPr>
            </w:pPr>
            <w:r w:rsidRPr="00673C1F">
              <w:rPr>
                <w:rFonts w:ascii="Arial" w:hAnsi="Arial" w:cs="Arial"/>
                <w:b/>
                <w:bCs/>
                <w:sz w:val="16"/>
                <w:szCs w:val="16"/>
              </w:rPr>
              <w:t>*</w:t>
            </w:r>
          </w:p>
        </w:tc>
        <w:tc>
          <w:tcPr>
            <w:tcW w:w="50" w:type="pct"/>
            <w:tcBorders>
              <w:top w:val="nil"/>
              <w:left w:val="nil"/>
              <w:bottom w:val="nil"/>
              <w:right w:val="nil"/>
            </w:tcBorders>
            <w:shd w:val="clear" w:color="000000" w:fill="FFFFFF"/>
            <w:noWrap/>
            <w:vAlign w:val="center"/>
            <w:hideMark/>
          </w:tcPr>
          <w:p w14:paraId="6130F742" w14:textId="77777777" w:rsidR="00B73037" w:rsidRPr="00673C1F" w:rsidRDefault="00B73037" w:rsidP="00B73037">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501" w:type="pct"/>
            <w:tcBorders>
              <w:top w:val="nil"/>
              <w:left w:val="nil"/>
              <w:bottom w:val="single" w:sz="4" w:space="0" w:color="293F5B"/>
              <w:right w:val="nil"/>
            </w:tcBorders>
            <w:shd w:val="clear" w:color="000000" w:fill="FFFFFF"/>
            <w:noWrap/>
            <w:vAlign w:val="center"/>
            <w:hideMark/>
          </w:tcPr>
          <w:p w14:paraId="2E8A8614" w14:textId="77777777" w:rsidR="00B73037" w:rsidRPr="00673C1F" w:rsidRDefault="00B73037" w:rsidP="00B73037">
            <w:pPr>
              <w:spacing w:before="0" w:after="0" w:line="240" w:lineRule="auto"/>
              <w:jc w:val="right"/>
              <w:rPr>
                <w:rFonts w:ascii="Arial" w:hAnsi="Arial" w:cs="Arial"/>
                <w:b/>
                <w:bCs/>
                <w:sz w:val="16"/>
                <w:szCs w:val="16"/>
              </w:rPr>
            </w:pPr>
            <w:r w:rsidRPr="00673C1F">
              <w:rPr>
                <w:rFonts w:ascii="Arial" w:hAnsi="Arial" w:cs="Arial"/>
                <w:b/>
                <w:bCs/>
                <w:sz w:val="16"/>
                <w:szCs w:val="16"/>
              </w:rPr>
              <w:t>*</w:t>
            </w:r>
          </w:p>
        </w:tc>
      </w:tr>
      <w:tr w:rsidR="00B73037" w:rsidRPr="00673C1F" w14:paraId="21B5C5A6" w14:textId="77777777" w:rsidTr="007A51FB">
        <w:trPr>
          <w:trHeight w:hRule="exact" w:val="60"/>
        </w:trPr>
        <w:tc>
          <w:tcPr>
            <w:tcW w:w="1945" w:type="pct"/>
            <w:tcBorders>
              <w:top w:val="nil"/>
              <w:left w:val="nil"/>
              <w:bottom w:val="nil"/>
              <w:right w:val="nil"/>
            </w:tcBorders>
            <w:shd w:val="clear" w:color="000000" w:fill="FFFFFF"/>
            <w:noWrap/>
            <w:vAlign w:val="center"/>
            <w:hideMark/>
          </w:tcPr>
          <w:p w14:paraId="135DEC9F" w14:textId="77777777" w:rsidR="00B73037" w:rsidRPr="00673C1F" w:rsidRDefault="00B73037" w:rsidP="00B73037">
            <w:pPr>
              <w:spacing w:before="0" w:after="0" w:line="240" w:lineRule="auto"/>
              <w:rPr>
                <w:rFonts w:ascii="Arial" w:hAnsi="Arial" w:cs="Arial"/>
                <w:b/>
                <w:bCs/>
                <w:sz w:val="16"/>
                <w:szCs w:val="16"/>
              </w:rPr>
            </w:pPr>
            <w:r w:rsidRPr="00673C1F">
              <w:rPr>
                <w:rFonts w:ascii="Arial" w:hAnsi="Arial" w:cs="Arial"/>
                <w:b/>
                <w:bCs/>
                <w:sz w:val="16"/>
                <w:szCs w:val="16"/>
              </w:rPr>
              <w:t> </w:t>
            </w:r>
          </w:p>
        </w:tc>
        <w:tc>
          <w:tcPr>
            <w:tcW w:w="501" w:type="pct"/>
            <w:tcBorders>
              <w:top w:val="nil"/>
              <w:left w:val="nil"/>
              <w:bottom w:val="nil"/>
              <w:right w:val="nil"/>
            </w:tcBorders>
            <w:shd w:val="clear" w:color="000000" w:fill="FFFFFF"/>
            <w:noWrap/>
            <w:vAlign w:val="center"/>
            <w:hideMark/>
          </w:tcPr>
          <w:p w14:paraId="154B5393"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c>
          <w:tcPr>
            <w:tcW w:w="501" w:type="pct"/>
            <w:tcBorders>
              <w:top w:val="nil"/>
              <w:left w:val="nil"/>
              <w:bottom w:val="nil"/>
              <w:right w:val="nil"/>
            </w:tcBorders>
            <w:shd w:val="clear" w:color="000000" w:fill="E6F2FF"/>
            <w:noWrap/>
            <w:vAlign w:val="center"/>
            <w:hideMark/>
          </w:tcPr>
          <w:p w14:paraId="05D1F0A5"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c>
          <w:tcPr>
            <w:tcW w:w="501" w:type="pct"/>
            <w:tcBorders>
              <w:top w:val="nil"/>
              <w:left w:val="nil"/>
              <w:bottom w:val="nil"/>
              <w:right w:val="nil"/>
            </w:tcBorders>
            <w:shd w:val="clear" w:color="000000" w:fill="FFFFFF"/>
            <w:noWrap/>
            <w:vAlign w:val="center"/>
            <w:hideMark/>
          </w:tcPr>
          <w:p w14:paraId="62098CEE"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c>
          <w:tcPr>
            <w:tcW w:w="501" w:type="pct"/>
            <w:tcBorders>
              <w:top w:val="nil"/>
              <w:left w:val="nil"/>
              <w:bottom w:val="nil"/>
              <w:right w:val="nil"/>
            </w:tcBorders>
            <w:shd w:val="clear" w:color="000000" w:fill="FFFFFF"/>
            <w:noWrap/>
            <w:vAlign w:val="center"/>
            <w:hideMark/>
          </w:tcPr>
          <w:p w14:paraId="23707FFF"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c>
          <w:tcPr>
            <w:tcW w:w="501" w:type="pct"/>
            <w:tcBorders>
              <w:top w:val="nil"/>
              <w:left w:val="nil"/>
              <w:bottom w:val="nil"/>
              <w:right w:val="nil"/>
            </w:tcBorders>
            <w:shd w:val="clear" w:color="000000" w:fill="FFFFFF"/>
            <w:noWrap/>
            <w:vAlign w:val="center"/>
            <w:hideMark/>
          </w:tcPr>
          <w:p w14:paraId="2DEB24F1"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c>
          <w:tcPr>
            <w:tcW w:w="50" w:type="pct"/>
            <w:tcBorders>
              <w:top w:val="nil"/>
              <w:left w:val="nil"/>
              <w:bottom w:val="nil"/>
              <w:right w:val="nil"/>
            </w:tcBorders>
            <w:shd w:val="clear" w:color="000000" w:fill="FFFFFF"/>
            <w:noWrap/>
            <w:vAlign w:val="center"/>
            <w:hideMark/>
          </w:tcPr>
          <w:p w14:paraId="30F4FA15"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c>
          <w:tcPr>
            <w:tcW w:w="501" w:type="pct"/>
            <w:tcBorders>
              <w:top w:val="nil"/>
              <w:left w:val="nil"/>
              <w:bottom w:val="nil"/>
              <w:right w:val="nil"/>
            </w:tcBorders>
            <w:shd w:val="clear" w:color="000000" w:fill="FFFFFF"/>
            <w:noWrap/>
            <w:vAlign w:val="center"/>
            <w:hideMark/>
          </w:tcPr>
          <w:p w14:paraId="412ACAE0" w14:textId="77777777" w:rsidR="00B73037" w:rsidRPr="00673C1F" w:rsidRDefault="00B73037" w:rsidP="00B73037">
            <w:pPr>
              <w:spacing w:before="0" w:after="0" w:line="240" w:lineRule="auto"/>
              <w:rPr>
                <w:rFonts w:ascii="Arial" w:hAnsi="Arial" w:cs="Arial"/>
                <w:sz w:val="16"/>
                <w:szCs w:val="16"/>
              </w:rPr>
            </w:pPr>
            <w:r w:rsidRPr="00673C1F">
              <w:rPr>
                <w:rFonts w:ascii="Arial" w:hAnsi="Arial" w:cs="Arial"/>
                <w:sz w:val="16"/>
                <w:szCs w:val="16"/>
              </w:rPr>
              <w:t> </w:t>
            </w:r>
          </w:p>
        </w:tc>
      </w:tr>
      <w:tr w:rsidR="00B73037" w:rsidRPr="00673C1F" w14:paraId="53700709" w14:textId="77777777" w:rsidTr="007A51FB">
        <w:trPr>
          <w:trHeight w:hRule="exact" w:val="225"/>
        </w:trPr>
        <w:tc>
          <w:tcPr>
            <w:tcW w:w="1945" w:type="pct"/>
            <w:tcBorders>
              <w:top w:val="nil"/>
              <w:left w:val="nil"/>
              <w:bottom w:val="single" w:sz="4" w:space="0" w:color="293F5B"/>
              <w:right w:val="nil"/>
            </w:tcBorders>
            <w:shd w:val="clear" w:color="000000" w:fill="FFFFFF"/>
            <w:noWrap/>
            <w:vAlign w:val="center"/>
            <w:hideMark/>
          </w:tcPr>
          <w:p w14:paraId="556C35B7" w14:textId="7A7BE3AC" w:rsidR="00B73037" w:rsidRPr="00673C1F" w:rsidRDefault="00B73037" w:rsidP="00B73037">
            <w:pPr>
              <w:spacing w:before="0" w:after="0" w:line="240" w:lineRule="auto"/>
              <w:rPr>
                <w:rFonts w:ascii="Arial" w:hAnsi="Arial" w:cs="Arial"/>
                <w:b/>
                <w:bCs/>
                <w:sz w:val="16"/>
                <w:szCs w:val="16"/>
              </w:rPr>
            </w:pPr>
            <w:r w:rsidRPr="00673C1F">
              <w:rPr>
                <w:rFonts w:ascii="Arial" w:hAnsi="Arial" w:cs="Arial"/>
                <w:b/>
                <w:bCs/>
                <w:sz w:val="16"/>
                <w:szCs w:val="16"/>
              </w:rPr>
              <w:t>Revenue at 2024</w:t>
            </w:r>
            <w:r w:rsidR="006D727E" w:rsidRPr="00673C1F">
              <w:rPr>
                <w:rFonts w:ascii="Arial" w:hAnsi="Arial" w:cs="Arial"/>
                <w:b/>
                <w:bCs/>
                <w:sz w:val="16"/>
                <w:szCs w:val="16"/>
              </w:rPr>
              <w:noBreakHyphen/>
            </w:r>
            <w:r w:rsidRPr="00673C1F">
              <w:rPr>
                <w:rFonts w:ascii="Arial" w:hAnsi="Arial" w:cs="Arial"/>
                <w:b/>
                <w:bCs/>
                <w:sz w:val="16"/>
                <w:szCs w:val="16"/>
              </w:rPr>
              <w:t>25 Budget</w:t>
            </w:r>
          </w:p>
        </w:tc>
        <w:tc>
          <w:tcPr>
            <w:tcW w:w="501" w:type="pct"/>
            <w:tcBorders>
              <w:top w:val="nil"/>
              <w:left w:val="nil"/>
              <w:bottom w:val="single" w:sz="4" w:space="0" w:color="293F5B"/>
              <w:right w:val="nil"/>
            </w:tcBorders>
            <w:shd w:val="clear" w:color="000000" w:fill="FFFFFF"/>
            <w:noWrap/>
            <w:vAlign w:val="center"/>
            <w:hideMark/>
          </w:tcPr>
          <w:p w14:paraId="3355811A" w14:textId="77777777" w:rsidR="00B73037" w:rsidRPr="00673C1F" w:rsidRDefault="00B73037" w:rsidP="00B73037">
            <w:pPr>
              <w:spacing w:before="0" w:after="0" w:line="240" w:lineRule="auto"/>
              <w:jc w:val="right"/>
              <w:rPr>
                <w:rFonts w:ascii="Arial" w:hAnsi="Arial" w:cs="Arial"/>
                <w:b/>
                <w:bCs/>
                <w:sz w:val="16"/>
                <w:szCs w:val="16"/>
              </w:rPr>
            </w:pPr>
            <w:r w:rsidRPr="00673C1F">
              <w:rPr>
                <w:rFonts w:ascii="Arial" w:hAnsi="Arial" w:cs="Arial"/>
                <w:b/>
                <w:bCs/>
                <w:sz w:val="16"/>
                <w:szCs w:val="16"/>
              </w:rPr>
              <w:t>706,877</w:t>
            </w:r>
          </w:p>
        </w:tc>
        <w:tc>
          <w:tcPr>
            <w:tcW w:w="501" w:type="pct"/>
            <w:tcBorders>
              <w:top w:val="nil"/>
              <w:left w:val="nil"/>
              <w:bottom w:val="single" w:sz="4" w:space="0" w:color="293F5B"/>
              <w:right w:val="nil"/>
            </w:tcBorders>
            <w:shd w:val="clear" w:color="000000" w:fill="E6F2FF"/>
            <w:noWrap/>
            <w:vAlign w:val="center"/>
            <w:hideMark/>
          </w:tcPr>
          <w:p w14:paraId="72469131" w14:textId="77777777" w:rsidR="00B73037" w:rsidRPr="00673C1F" w:rsidRDefault="00B73037" w:rsidP="00B73037">
            <w:pPr>
              <w:spacing w:before="0" w:after="0" w:line="240" w:lineRule="auto"/>
              <w:jc w:val="right"/>
              <w:rPr>
                <w:rFonts w:ascii="Arial" w:hAnsi="Arial" w:cs="Arial"/>
                <w:b/>
                <w:bCs/>
                <w:sz w:val="16"/>
                <w:szCs w:val="16"/>
              </w:rPr>
            </w:pPr>
            <w:r w:rsidRPr="00673C1F">
              <w:rPr>
                <w:rFonts w:ascii="Arial" w:hAnsi="Arial" w:cs="Arial"/>
                <w:b/>
                <w:bCs/>
                <w:sz w:val="16"/>
                <w:szCs w:val="16"/>
              </w:rPr>
              <w:t>711,505</w:t>
            </w:r>
          </w:p>
        </w:tc>
        <w:tc>
          <w:tcPr>
            <w:tcW w:w="501" w:type="pct"/>
            <w:tcBorders>
              <w:top w:val="nil"/>
              <w:left w:val="nil"/>
              <w:bottom w:val="single" w:sz="4" w:space="0" w:color="293F5B"/>
              <w:right w:val="nil"/>
            </w:tcBorders>
            <w:shd w:val="clear" w:color="000000" w:fill="FFFFFF"/>
            <w:noWrap/>
            <w:vAlign w:val="center"/>
            <w:hideMark/>
          </w:tcPr>
          <w:p w14:paraId="183D0156" w14:textId="77777777" w:rsidR="00B73037" w:rsidRPr="00673C1F" w:rsidRDefault="00B73037" w:rsidP="00B73037">
            <w:pPr>
              <w:spacing w:before="0" w:after="0" w:line="240" w:lineRule="auto"/>
              <w:jc w:val="right"/>
              <w:rPr>
                <w:rFonts w:ascii="Arial" w:hAnsi="Arial" w:cs="Arial"/>
                <w:b/>
                <w:bCs/>
                <w:sz w:val="16"/>
                <w:szCs w:val="16"/>
              </w:rPr>
            </w:pPr>
            <w:r w:rsidRPr="00673C1F">
              <w:rPr>
                <w:rFonts w:ascii="Arial" w:hAnsi="Arial" w:cs="Arial"/>
                <w:b/>
                <w:bCs/>
                <w:sz w:val="16"/>
                <w:szCs w:val="16"/>
              </w:rPr>
              <w:t>732,740</w:t>
            </w:r>
          </w:p>
        </w:tc>
        <w:tc>
          <w:tcPr>
            <w:tcW w:w="501" w:type="pct"/>
            <w:tcBorders>
              <w:top w:val="nil"/>
              <w:left w:val="nil"/>
              <w:bottom w:val="single" w:sz="4" w:space="0" w:color="293F5B"/>
              <w:right w:val="nil"/>
            </w:tcBorders>
            <w:shd w:val="clear" w:color="000000" w:fill="FFFFFF"/>
            <w:noWrap/>
            <w:vAlign w:val="center"/>
            <w:hideMark/>
          </w:tcPr>
          <w:p w14:paraId="7768EF85" w14:textId="77777777" w:rsidR="00B73037" w:rsidRPr="00673C1F" w:rsidRDefault="00B73037" w:rsidP="00B73037">
            <w:pPr>
              <w:spacing w:before="0" w:after="0" w:line="240" w:lineRule="auto"/>
              <w:jc w:val="right"/>
              <w:rPr>
                <w:rFonts w:ascii="Arial" w:hAnsi="Arial" w:cs="Arial"/>
                <w:b/>
                <w:bCs/>
                <w:sz w:val="16"/>
                <w:szCs w:val="16"/>
              </w:rPr>
            </w:pPr>
            <w:r w:rsidRPr="00673C1F">
              <w:rPr>
                <w:rFonts w:ascii="Arial" w:hAnsi="Arial" w:cs="Arial"/>
                <w:b/>
                <w:bCs/>
                <w:sz w:val="16"/>
                <w:szCs w:val="16"/>
              </w:rPr>
              <w:t>776,239</w:t>
            </w:r>
          </w:p>
        </w:tc>
        <w:tc>
          <w:tcPr>
            <w:tcW w:w="501" w:type="pct"/>
            <w:tcBorders>
              <w:top w:val="nil"/>
              <w:left w:val="nil"/>
              <w:bottom w:val="single" w:sz="4" w:space="0" w:color="293F5B"/>
              <w:right w:val="nil"/>
            </w:tcBorders>
            <w:shd w:val="clear" w:color="000000" w:fill="FFFFFF"/>
            <w:noWrap/>
            <w:vAlign w:val="center"/>
            <w:hideMark/>
          </w:tcPr>
          <w:p w14:paraId="0FB9B2C3" w14:textId="77777777" w:rsidR="00B73037" w:rsidRPr="00673C1F" w:rsidRDefault="00B73037" w:rsidP="00B73037">
            <w:pPr>
              <w:spacing w:before="0" w:after="0" w:line="240" w:lineRule="auto"/>
              <w:jc w:val="right"/>
              <w:rPr>
                <w:rFonts w:ascii="Arial" w:hAnsi="Arial" w:cs="Arial"/>
                <w:b/>
                <w:bCs/>
                <w:sz w:val="16"/>
                <w:szCs w:val="16"/>
              </w:rPr>
            </w:pPr>
            <w:r w:rsidRPr="00673C1F">
              <w:rPr>
                <w:rFonts w:ascii="Arial" w:hAnsi="Arial" w:cs="Arial"/>
                <w:b/>
                <w:bCs/>
                <w:sz w:val="16"/>
                <w:szCs w:val="16"/>
              </w:rPr>
              <w:t>819,628</w:t>
            </w:r>
          </w:p>
        </w:tc>
        <w:tc>
          <w:tcPr>
            <w:tcW w:w="50" w:type="pct"/>
            <w:tcBorders>
              <w:top w:val="nil"/>
              <w:left w:val="nil"/>
              <w:bottom w:val="single" w:sz="4" w:space="0" w:color="293F5B"/>
              <w:right w:val="nil"/>
            </w:tcBorders>
            <w:shd w:val="clear" w:color="000000" w:fill="FFFFFF"/>
            <w:noWrap/>
            <w:vAlign w:val="center"/>
            <w:hideMark/>
          </w:tcPr>
          <w:p w14:paraId="620B969D" w14:textId="77777777" w:rsidR="00B73037" w:rsidRPr="00673C1F" w:rsidRDefault="00B73037" w:rsidP="00B73037">
            <w:pPr>
              <w:spacing w:before="0" w:after="0" w:line="240" w:lineRule="auto"/>
              <w:rPr>
                <w:rFonts w:ascii="Arial" w:hAnsi="Arial" w:cs="Arial"/>
                <w:b/>
                <w:bCs/>
                <w:sz w:val="16"/>
                <w:szCs w:val="16"/>
              </w:rPr>
            </w:pPr>
            <w:r w:rsidRPr="00673C1F">
              <w:rPr>
                <w:rFonts w:ascii="Arial" w:hAnsi="Arial" w:cs="Arial"/>
                <w:b/>
                <w:bCs/>
                <w:sz w:val="16"/>
                <w:szCs w:val="16"/>
              </w:rPr>
              <w:t> </w:t>
            </w:r>
          </w:p>
        </w:tc>
        <w:tc>
          <w:tcPr>
            <w:tcW w:w="501" w:type="pct"/>
            <w:tcBorders>
              <w:top w:val="nil"/>
              <w:left w:val="nil"/>
              <w:bottom w:val="single" w:sz="4" w:space="0" w:color="293F5B"/>
              <w:right w:val="nil"/>
            </w:tcBorders>
            <w:shd w:val="clear" w:color="000000" w:fill="FFFFFF"/>
            <w:noWrap/>
            <w:vAlign w:val="center"/>
            <w:hideMark/>
          </w:tcPr>
          <w:p w14:paraId="719DF294" w14:textId="77777777" w:rsidR="00B73037" w:rsidRPr="00673C1F" w:rsidRDefault="00B73037" w:rsidP="00B73037">
            <w:pPr>
              <w:spacing w:before="0" w:after="0" w:line="240" w:lineRule="auto"/>
              <w:jc w:val="right"/>
              <w:rPr>
                <w:rFonts w:ascii="Arial" w:hAnsi="Arial" w:cs="Arial"/>
                <w:b/>
                <w:bCs/>
                <w:sz w:val="16"/>
                <w:szCs w:val="16"/>
              </w:rPr>
            </w:pPr>
            <w:r w:rsidRPr="00673C1F">
              <w:rPr>
                <w:rFonts w:ascii="Arial" w:hAnsi="Arial" w:cs="Arial"/>
                <w:b/>
                <w:bCs/>
                <w:sz w:val="16"/>
                <w:szCs w:val="16"/>
              </w:rPr>
              <w:t>3,746,989</w:t>
            </w:r>
          </w:p>
        </w:tc>
      </w:tr>
    </w:tbl>
    <w:p w14:paraId="66C433F7" w14:textId="4F1CB863" w:rsidR="00356E70" w:rsidRPr="00673C1F" w:rsidRDefault="00356E70" w:rsidP="00FF3D52">
      <w:pPr>
        <w:pStyle w:val="ChartandTableFootnote"/>
        <w:rPr>
          <w:color w:val="auto"/>
        </w:rPr>
      </w:pPr>
      <w:r w:rsidRPr="00673C1F">
        <w:rPr>
          <w:color w:val="auto"/>
        </w:rPr>
        <w:t>* Data is not available.</w:t>
      </w:r>
    </w:p>
    <w:p w14:paraId="100A82B2" w14:textId="77777777" w:rsidR="00356E70" w:rsidRPr="00673C1F" w:rsidRDefault="00356E70" w:rsidP="00356E70">
      <w:pPr>
        <w:pStyle w:val="ChartandTableFootnoteAlpha"/>
        <w:numPr>
          <w:ilvl w:val="0"/>
          <w:numId w:val="24"/>
        </w:numPr>
        <w:rPr>
          <w:color w:val="auto"/>
        </w:rPr>
      </w:pPr>
      <w:r w:rsidRPr="00673C1F">
        <w:rPr>
          <w:color w:val="auto"/>
        </w:rPr>
        <w:t>Excludes secondary impacts on public debt interest of policy decisions and offsets from the Contingency Reserve for decisions taken.</w:t>
      </w:r>
    </w:p>
    <w:p w14:paraId="7E4492B8" w14:textId="1467D893" w:rsidR="00356E70" w:rsidRPr="00673C1F" w:rsidRDefault="00356E70" w:rsidP="007F5D46">
      <w:pPr>
        <w:pStyle w:val="TableLine"/>
      </w:pPr>
    </w:p>
    <w:p w14:paraId="27BD958E" w14:textId="136F7218" w:rsidR="00356E70" w:rsidRPr="00673C1F" w:rsidRDefault="00356E70" w:rsidP="00356E70">
      <w:r w:rsidRPr="00673C1F">
        <w:t xml:space="preserve">Since </w:t>
      </w:r>
      <w:r w:rsidR="00384EBD" w:rsidRPr="00673C1F">
        <w:t>MYEFO</w:t>
      </w:r>
      <w:r w:rsidRPr="00673C1F">
        <w:t>, total revenue has been revised up by $</w:t>
      </w:r>
      <w:r w:rsidR="00EC3694" w:rsidRPr="00673C1F">
        <w:t>11.2</w:t>
      </w:r>
      <w:r w:rsidRPr="00673C1F">
        <w:t> billion in 202</w:t>
      </w:r>
      <w:r w:rsidR="00341278" w:rsidRPr="00673C1F">
        <w:t>4</w:t>
      </w:r>
      <w:r w:rsidRPr="00673C1F">
        <w:t>–2</w:t>
      </w:r>
      <w:r w:rsidR="00341278" w:rsidRPr="00673C1F">
        <w:t>5</w:t>
      </w:r>
      <w:r w:rsidRPr="00673C1F">
        <w:t xml:space="preserve"> and by $</w:t>
      </w:r>
      <w:r w:rsidR="00866CFE" w:rsidRPr="00673C1F">
        <w:t>36.9</w:t>
      </w:r>
      <w:r w:rsidRPr="00673C1F">
        <w:t xml:space="preserve"> billion over the </w:t>
      </w:r>
      <w:r w:rsidR="007A22C6" w:rsidRPr="00673C1F">
        <w:t>five years</w:t>
      </w:r>
      <w:r w:rsidR="00C97D26" w:rsidRPr="00673C1F">
        <w:t xml:space="preserve"> from 2023–24 to 2027–28</w:t>
      </w:r>
      <w:r w:rsidRPr="00673C1F">
        <w:t xml:space="preserve">. </w:t>
      </w:r>
    </w:p>
    <w:p w14:paraId="2F1F340A" w14:textId="416059C9" w:rsidR="00356E70" w:rsidRPr="00673C1F" w:rsidRDefault="00356E70" w:rsidP="00FA6181">
      <w:r w:rsidRPr="00673C1F">
        <w:t xml:space="preserve">The changes in the individual heads of revenue accrual estimates relative to </w:t>
      </w:r>
      <w:r w:rsidR="00384EBD" w:rsidRPr="00673C1F">
        <w:t>MYEFO</w:t>
      </w:r>
      <w:r w:rsidRPr="00673C1F">
        <w:t xml:space="preserve"> are shown in Tables</w:t>
      </w:r>
      <w:r w:rsidR="000134EB" w:rsidRPr="00673C1F">
        <w:t> </w:t>
      </w:r>
      <w:r w:rsidRPr="00673C1F">
        <w:t>5.9 and 5.10, for 202</w:t>
      </w:r>
      <w:r w:rsidR="00341278" w:rsidRPr="00673C1F">
        <w:t>3</w:t>
      </w:r>
      <w:r w:rsidRPr="00673C1F">
        <w:t>–2</w:t>
      </w:r>
      <w:r w:rsidR="00341278" w:rsidRPr="00673C1F">
        <w:t>4</w:t>
      </w:r>
      <w:r w:rsidRPr="00673C1F">
        <w:t xml:space="preserve"> and 202</w:t>
      </w:r>
      <w:r w:rsidR="00341278" w:rsidRPr="00673C1F">
        <w:t>4</w:t>
      </w:r>
      <w:r w:rsidRPr="00673C1F">
        <w:t>–2</w:t>
      </w:r>
      <w:r w:rsidR="00341278" w:rsidRPr="00673C1F">
        <w:t>5</w:t>
      </w:r>
      <w:r w:rsidRPr="00673C1F">
        <w:t>, respectively. For the</w:t>
      </w:r>
      <w:r w:rsidR="00D66FCE" w:rsidRPr="00673C1F">
        <w:t xml:space="preserve"> 5-</w:t>
      </w:r>
      <w:r w:rsidRPr="00673C1F">
        <w:t>year accrual table, the accrual equivalent of Table</w:t>
      </w:r>
      <w:r w:rsidR="000134EB" w:rsidRPr="00673C1F">
        <w:t> </w:t>
      </w:r>
      <w:r w:rsidRPr="00673C1F">
        <w:t xml:space="preserve">5.7, see </w:t>
      </w:r>
      <w:r w:rsidRPr="00673C1F">
        <w:rPr>
          <w:i/>
        </w:rPr>
        <w:t>Budget Statement 10</w:t>
      </w:r>
      <w:r w:rsidRPr="00673C1F">
        <w:t>, Note 3.</w:t>
      </w:r>
    </w:p>
    <w:p w14:paraId="5B1C3A19" w14:textId="77777777" w:rsidR="00356E70" w:rsidRPr="00673C1F" w:rsidRDefault="00356E70" w:rsidP="00FA6181">
      <w:r w:rsidRPr="00673C1F">
        <w:t xml:space="preserve">Additional revenue and receipts historical tables are available online and can be accessed at </w:t>
      </w:r>
      <w:hyperlink r:id="rId26" w:history="1">
        <w:r w:rsidRPr="00673C1F">
          <w:rPr>
            <w:rStyle w:val="Hyperlink"/>
          </w:rPr>
          <w:t>www.budget.gov.au</w:t>
        </w:r>
      </w:hyperlink>
      <w:r w:rsidRPr="00673C1F">
        <w:t xml:space="preserve">. </w:t>
      </w:r>
    </w:p>
    <w:p w14:paraId="64EDC272" w14:textId="6EEC4083" w:rsidR="00356E70" w:rsidRPr="00673C1F" w:rsidRDefault="00356E70" w:rsidP="00FA6181">
      <w:r w:rsidRPr="00673C1F">
        <w:br w:type="page"/>
      </w:r>
    </w:p>
    <w:p w14:paraId="1A96A340" w14:textId="504701CB" w:rsidR="003B54EA" w:rsidRPr="00673C1F" w:rsidRDefault="00356E70" w:rsidP="003B54EA">
      <w:pPr>
        <w:pStyle w:val="TableHeading"/>
        <w:rPr>
          <w:rFonts w:asciiTheme="minorHAnsi" w:eastAsiaTheme="minorHAnsi" w:hAnsiTheme="minorHAnsi" w:cstheme="minorBidi"/>
          <w:b w:val="0"/>
          <w:sz w:val="22"/>
          <w:szCs w:val="22"/>
          <w:lang w:eastAsia="en-US"/>
        </w:rPr>
      </w:pPr>
      <w:r w:rsidRPr="00673C1F">
        <w:lastRenderedPageBreak/>
        <w:t>Table 5.9: Reconciliation of 202</w:t>
      </w:r>
      <w:r w:rsidR="00341278" w:rsidRPr="00673C1F">
        <w:t>3</w:t>
      </w:r>
      <w:r w:rsidRPr="00673C1F">
        <w:t>–2</w:t>
      </w:r>
      <w:r w:rsidR="00341278" w:rsidRPr="00673C1F">
        <w:t>4</w:t>
      </w:r>
      <w:r w:rsidRPr="00673C1F">
        <w:t xml:space="preserve"> general government (accrual) revenu</w:t>
      </w:r>
      <w:r w:rsidR="00EE6B97" w:rsidRPr="00673C1F">
        <w:t>e</w:t>
      </w:r>
    </w:p>
    <w:tbl>
      <w:tblPr>
        <w:tblW w:w="5000" w:type="pct"/>
        <w:tblCellMar>
          <w:left w:w="0" w:type="dxa"/>
          <w:right w:w="28" w:type="dxa"/>
        </w:tblCellMar>
        <w:tblLook w:val="04A0" w:firstRow="1" w:lastRow="0" w:firstColumn="1" w:lastColumn="0" w:noHBand="0" w:noVBand="1"/>
      </w:tblPr>
      <w:tblGrid>
        <w:gridCol w:w="3074"/>
        <w:gridCol w:w="1137"/>
        <w:gridCol w:w="1138"/>
        <w:gridCol w:w="89"/>
        <w:gridCol w:w="1136"/>
        <w:gridCol w:w="1136"/>
      </w:tblGrid>
      <w:tr w:rsidR="003B54EA" w:rsidRPr="00673C1F" w14:paraId="38EA7770" w14:textId="77777777" w:rsidTr="003B54EA">
        <w:trPr>
          <w:trHeight w:hRule="exact" w:val="225"/>
        </w:trPr>
        <w:tc>
          <w:tcPr>
            <w:tcW w:w="1993" w:type="pct"/>
            <w:tcBorders>
              <w:top w:val="single" w:sz="4" w:space="0" w:color="293F5B"/>
              <w:left w:val="nil"/>
              <w:bottom w:val="nil"/>
              <w:right w:val="nil"/>
            </w:tcBorders>
            <w:shd w:val="clear" w:color="000000" w:fill="FFFFFF"/>
            <w:noWrap/>
            <w:vAlign w:val="center"/>
            <w:hideMark/>
          </w:tcPr>
          <w:p w14:paraId="04297EEE" w14:textId="5449498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 </w:t>
            </w:r>
          </w:p>
        </w:tc>
        <w:tc>
          <w:tcPr>
            <w:tcW w:w="1475" w:type="pct"/>
            <w:gridSpan w:val="2"/>
            <w:tcBorders>
              <w:top w:val="single" w:sz="4" w:space="0" w:color="293F5B"/>
              <w:left w:val="nil"/>
              <w:bottom w:val="single" w:sz="4" w:space="0" w:color="293F5B"/>
              <w:right w:val="nil"/>
            </w:tcBorders>
            <w:shd w:val="clear" w:color="000000" w:fill="FFFFFF"/>
            <w:noWrap/>
            <w:vAlign w:val="center"/>
            <w:hideMark/>
          </w:tcPr>
          <w:p w14:paraId="46F732C6" w14:textId="77777777" w:rsidR="003B54EA" w:rsidRPr="00673C1F" w:rsidRDefault="003B54EA" w:rsidP="003B54EA">
            <w:pPr>
              <w:spacing w:before="0" w:after="0" w:line="240" w:lineRule="auto"/>
              <w:jc w:val="center"/>
              <w:rPr>
                <w:rFonts w:ascii="Arial" w:hAnsi="Arial" w:cs="Arial"/>
                <w:sz w:val="16"/>
                <w:szCs w:val="16"/>
              </w:rPr>
            </w:pPr>
            <w:r w:rsidRPr="00673C1F">
              <w:rPr>
                <w:rFonts w:ascii="Arial" w:hAnsi="Arial" w:cs="Arial"/>
                <w:sz w:val="16"/>
                <w:szCs w:val="16"/>
              </w:rPr>
              <w:t>Estimates</w:t>
            </w:r>
          </w:p>
        </w:tc>
        <w:tc>
          <w:tcPr>
            <w:tcW w:w="58" w:type="pct"/>
            <w:tcBorders>
              <w:top w:val="single" w:sz="4" w:space="0" w:color="293F5B"/>
              <w:left w:val="nil"/>
              <w:bottom w:val="nil"/>
              <w:right w:val="nil"/>
            </w:tcBorders>
            <w:shd w:val="clear" w:color="000000" w:fill="FFFFFF"/>
            <w:noWrap/>
            <w:vAlign w:val="center"/>
            <w:hideMark/>
          </w:tcPr>
          <w:p w14:paraId="1463A641"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1475" w:type="pct"/>
            <w:gridSpan w:val="2"/>
            <w:tcBorders>
              <w:top w:val="single" w:sz="4" w:space="0" w:color="293F5B"/>
              <w:left w:val="nil"/>
              <w:bottom w:val="single" w:sz="4" w:space="0" w:color="293F5B"/>
              <w:right w:val="nil"/>
            </w:tcBorders>
            <w:shd w:val="clear" w:color="000000" w:fill="FFFFFF"/>
            <w:noWrap/>
            <w:vAlign w:val="center"/>
            <w:hideMark/>
          </w:tcPr>
          <w:p w14:paraId="4DEDDAA9" w14:textId="77777777" w:rsidR="003B54EA" w:rsidRPr="00673C1F" w:rsidRDefault="003B54EA" w:rsidP="003B54EA">
            <w:pPr>
              <w:spacing w:before="0" w:after="0" w:line="240" w:lineRule="auto"/>
              <w:jc w:val="center"/>
              <w:rPr>
                <w:rFonts w:ascii="Arial" w:hAnsi="Arial" w:cs="Arial"/>
                <w:sz w:val="16"/>
                <w:szCs w:val="16"/>
              </w:rPr>
            </w:pPr>
            <w:r w:rsidRPr="00673C1F">
              <w:rPr>
                <w:rFonts w:ascii="Arial" w:hAnsi="Arial" w:cs="Arial"/>
                <w:sz w:val="16"/>
                <w:szCs w:val="16"/>
              </w:rPr>
              <w:t>Change on MYEFO</w:t>
            </w:r>
          </w:p>
        </w:tc>
      </w:tr>
      <w:tr w:rsidR="003B54EA" w:rsidRPr="00673C1F" w14:paraId="2BB7F0E3" w14:textId="77777777" w:rsidTr="003B54EA">
        <w:trPr>
          <w:trHeight w:hRule="exact" w:val="225"/>
        </w:trPr>
        <w:tc>
          <w:tcPr>
            <w:tcW w:w="1993" w:type="pct"/>
            <w:tcBorders>
              <w:top w:val="nil"/>
              <w:left w:val="nil"/>
              <w:bottom w:val="nil"/>
              <w:right w:val="nil"/>
            </w:tcBorders>
            <w:shd w:val="clear" w:color="000000" w:fill="FFFFFF"/>
            <w:noWrap/>
            <w:vAlign w:val="center"/>
            <w:hideMark/>
          </w:tcPr>
          <w:p w14:paraId="15F4C8B3"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 </w:t>
            </w:r>
          </w:p>
        </w:tc>
        <w:tc>
          <w:tcPr>
            <w:tcW w:w="737" w:type="pct"/>
            <w:tcBorders>
              <w:top w:val="nil"/>
              <w:left w:val="nil"/>
              <w:bottom w:val="nil"/>
              <w:right w:val="nil"/>
            </w:tcBorders>
            <w:shd w:val="clear" w:color="000000" w:fill="FFFFFF"/>
            <w:noWrap/>
            <w:vAlign w:val="center"/>
            <w:hideMark/>
          </w:tcPr>
          <w:p w14:paraId="6AC439AA"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MYEFO</w:t>
            </w:r>
          </w:p>
        </w:tc>
        <w:tc>
          <w:tcPr>
            <w:tcW w:w="737" w:type="pct"/>
            <w:tcBorders>
              <w:top w:val="nil"/>
              <w:left w:val="nil"/>
              <w:bottom w:val="nil"/>
              <w:right w:val="nil"/>
            </w:tcBorders>
            <w:shd w:val="clear" w:color="000000" w:fill="E6F2FF"/>
            <w:noWrap/>
            <w:vAlign w:val="center"/>
            <w:hideMark/>
          </w:tcPr>
          <w:p w14:paraId="04E52945"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Budget</w:t>
            </w:r>
          </w:p>
        </w:tc>
        <w:tc>
          <w:tcPr>
            <w:tcW w:w="58" w:type="pct"/>
            <w:tcBorders>
              <w:top w:val="nil"/>
              <w:left w:val="nil"/>
              <w:bottom w:val="nil"/>
              <w:right w:val="nil"/>
            </w:tcBorders>
            <w:shd w:val="clear" w:color="000000" w:fill="FFFFFF"/>
            <w:noWrap/>
            <w:vAlign w:val="center"/>
            <w:hideMark/>
          </w:tcPr>
          <w:p w14:paraId="666CEEF1"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1475" w:type="pct"/>
            <w:gridSpan w:val="2"/>
            <w:tcBorders>
              <w:top w:val="single" w:sz="4" w:space="0" w:color="293F5B"/>
              <w:left w:val="nil"/>
              <w:bottom w:val="nil"/>
              <w:right w:val="nil"/>
            </w:tcBorders>
            <w:shd w:val="clear" w:color="000000" w:fill="FFFFFF"/>
            <w:noWrap/>
            <w:vAlign w:val="center"/>
            <w:hideMark/>
          </w:tcPr>
          <w:p w14:paraId="7C177A33" w14:textId="77777777" w:rsidR="003B54EA" w:rsidRPr="00673C1F" w:rsidRDefault="003B54EA" w:rsidP="003B54EA">
            <w:pPr>
              <w:spacing w:before="0" w:after="0" w:line="240" w:lineRule="auto"/>
              <w:jc w:val="center"/>
              <w:rPr>
                <w:rFonts w:ascii="Arial" w:hAnsi="Arial" w:cs="Arial"/>
                <w:sz w:val="16"/>
                <w:szCs w:val="16"/>
              </w:rPr>
            </w:pPr>
            <w:r w:rsidRPr="00673C1F">
              <w:rPr>
                <w:rFonts w:ascii="Arial" w:hAnsi="Arial" w:cs="Arial"/>
                <w:sz w:val="16"/>
                <w:szCs w:val="16"/>
              </w:rPr>
              <w:t xml:space="preserve"> </w:t>
            </w:r>
          </w:p>
        </w:tc>
      </w:tr>
      <w:tr w:rsidR="003B54EA" w:rsidRPr="00673C1F" w14:paraId="7E8603AD" w14:textId="77777777" w:rsidTr="003B54EA">
        <w:trPr>
          <w:trHeight w:hRule="exact" w:val="225"/>
        </w:trPr>
        <w:tc>
          <w:tcPr>
            <w:tcW w:w="1993" w:type="pct"/>
            <w:tcBorders>
              <w:top w:val="nil"/>
              <w:left w:val="nil"/>
              <w:bottom w:val="nil"/>
              <w:right w:val="nil"/>
            </w:tcBorders>
            <w:shd w:val="clear" w:color="000000" w:fill="FFFFFF"/>
            <w:vAlign w:val="center"/>
            <w:hideMark/>
          </w:tcPr>
          <w:p w14:paraId="4AA0FFC4"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 </w:t>
            </w:r>
          </w:p>
        </w:tc>
        <w:tc>
          <w:tcPr>
            <w:tcW w:w="737" w:type="pct"/>
            <w:tcBorders>
              <w:top w:val="nil"/>
              <w:left w:val="nil"/>
              <w:bottom w:val="single" w:sz="4" w:space="0" w:color="293F5B"/>
              <w:right w:val="nil"/>
            </w:tcBorders>
            <w:shd w:val="clear" w:color="000000" w:fill="FFFFFF"/>
            <w:vAlign w:val="center"/>
            <w:hideMark/>
          </w:tcPr>
          <w:p w14:paraId="1D80F119"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$m</w:t>
            </w:r>
          </w:p>
        </w:tc>
        <w:tc>
          <w:tcPr>
            <w:tcW w:w="737" w:type="pct"/>
            <w:tcBorders>
              <w:top w:val="nil"/>
              <w:left w:val="nil"/>
              <w:bottom w:val="single" w:sz="4" w:space="0" w:color="293F5B"/>
              <w:right w:val="nil"/>
            </w:tcBorders>
            <w:shd w:val="clear" w:color="000000" w:fill="E6F2FF"/>
            <w:vAlign w:val="center"/>
            <w:hideMark/>
          </w:tcPr>
          <w:p w14:paraId="76AE1F53"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$m</w:t>
            </w:r>
          </w:p>
        </w:tc>
        <w:tc>
          <w:tcPr>
            <w:tcW w:w="58" w:type="pct"/>
            <w:tcBorders>
              <w:top w:val="nil"/>
              <w:left w:val="nil"/>
              <w:bottom w:val="nil"/>
              <w:right w:val="nil"/>
            </w:tcBorders>
            <w:shd w:val="clear" w:color="000000" w:fill="FFFFFF"/>
            <w:vAlign w:val="center"/>
            <w:hideMark/>
          </w:tcPr>
          <w:p w14:paraId="10F4ABCA"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7" w:type="pct"/>
            <w:tcBorders>
              <w:top w:val="nil"/>
              <w:left w:val="nil"/>
              <w:bottom w:val="single" w:sz="4" w:space="0" w:color="293F5B"/>
              <w:right w:val="nil"/>
            </w:tcBorders>
            <w:shd w:val="clear" w:color="000000" w:fill="FFFFFF"/>
            <w:vAlign w:val="center"/>
            <w:hideMark/>
          </w:tcPr>
          <w:p w14:paraId="156F28F2"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$m</w:t>
            </w:r>
          </w:p>
        </w:tc>
        <w:tc>
          <w:tcPr>
            <w:tcW w:w="737" w:type="pct"/>
            <w:tcBorders>
              <w:top w:val="nil"/>
              <w:left w:val="nil"/>
              <w:bottom w:val="single" w:sz="4" w:space="0" w:color="293F5B"/>
              <w:right w:val="nil"/>
            </w:tcBorders>
            <w:shd w:val="clear" w:color="000000" w:fill="FFFFFF"/>
            <w:vAlign w:val="center"/>
            <w:hideMark/>
          </w:tcPr>
          <w:p w14:paraId="6482871B"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w:t>
            </w:r>
          </w:p>
        </w:tc>
      </w:tr>
      <w:tr w:rsidR="003B54EA" w:rsidRPr="00673C1F" w14:paraId="795E8EDB" w14:textId="77777777" w:rsidTr="003B54EA">
        <w:trPr>
          <w:trHeight w:hRule="exact" w:val="225"/>
        </w:trPr>
        <w:tc>
          <w:tcPr>
            <w:tcW w:w="1993" w:type="pct"/>
            <w:tcBorders>
              <w:top w:val="nil"/>
              <w:left w:val="nil"/>
              <w:bottom w:val="nil"/>
              <w:right w:val="nil"/>
            </w:tcBorders>
            <w:shd w:val="clear" w:color="000000" w:fill="FFFFFF"/>
            <w:noWrap/>
            <w:vAlign w:val="center"/>
            <w:hideMark/>
          </w:tcPr>
          <w:p w14:paraId="76480120"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Individuals and other withholding taxes</w:t>
            </w:r>
          </w:p>
        </w:tc>
        <w:tc>
          <w:tcPr>
            <w:tcW w:w="737" w:type="pct"/>
            <w:tcBorders>
              <w:top w:val="nil"/>
              <w:left w:val="nil"/>
              <w:bottom w:val="nil"/>
              <w:right w:val="nil"/>
            </w:tcBorders>
            <w:shd w:val="clear" w:color="000000" w:fill="FFFFFF"/>
            <w:noWrap/>
            <w:vAlign w:val="center"/>
            <w:hideMark/>
          </w:tcPr>
          <w:p w14:paraId="43601D70"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7" w:type="pct"/>
            <w:tcBorders>
              <w:top w:val="nil"/>
              <w:left w:val="nil"/>
              <w:bottom w:val="nil"/>
              <w:right w:val="nil"/>
            </w:tcBorders>
            <w:shd w:val="clear" w:color="000000" w:fill="E6F2FF"/>
            <w:noWrap/>
            <w:vAlign w:val="center"/>
            <w:hideMark/>
          </w:tcPr>
          <w:p w14:paraId="5956326B"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58" w:type="pct"/>
            <w:tcBorders>
              <w:top w:val="nil"/>
              <w:left w:val="nil"/>
              <w:bottom w:val="nil"/>
              <w:right w:val="nil"/>
            </w:tcBorders>
            <w:shd w:val="clear" w:color="000000" w:fill="FFFFFF"/>
            <w:noWrap/>
            <w:vAlign w:val="center"/>
            <w:hideMark/>
          </w:tcPr>
          <w:p w14:paraId="5AD91FD1"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7" w:type="pct"/>
            <w:tcBorders>
              <w:top w:val="nil"/>
              <w:left w:val="nil"/>
              <w:bottom w:val="nil"/>
              <w:right w:val="nil"/>
            </w:tcBorders>
            <w:shd w:val="clear" w:color="000000" w:fill="FFFFFF"/>
            <w:noWrap/>
            <w:vAlign w:val="center"/>
            <w:hideMark/>
          </w:tcPr>
          <w:p w14:paraId="56A672CF"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7" w:type="pct"/>
            <w:tcBorders>
              <w:top w:val="nil"/>
              <w:left w:val="nil"/>
              <w:bottom w:val="nil"/>
              <w:right w:val="nil"/>
            </w:tcBorders>
            <w:shd w:val="clear" w:color="000000" w:fill="FFFFFF"/>
            <w:noWrap/>
            <w:vAlign w:val="center"/>
            <w:hideMark/>
          </w:tcPr>
          <w:p w14:paraId="4A8F5FE4"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r>
      <w:tr w:rsidR="003B54EA" w:rsidRPr="00673C1F" w14:paraId="69BC71F0" w14:textId="77777777" w:rsidTr="003B54EA">
        <w:trPr>
          <w:trHeight w:hRule="exact" w:val="225"/>
        </w:trPr>
        <w:tc>
          <w:tcPr>
            <w:tcW w:w="1993" w:type="pct"/>
            <w:tcBorders>
              <w:top w:val="nil"/>
              <w:left w:val="nil"/>
              <w:bottom w:val="nil"/>
              <w:right w:val="nil"/>
            </w:tcBorders>
            <w:shd w:val="clear" w:color="000000" w:fill="FFFFFF"/>
            <w:noWrap/>
            <w:vAlign w:val="center"/>
            <w:hideMark/>
          </w:tcPr>
          <w:p w14:paraId="3B9B7061" w14:textId="77777777" w:rsidR="003B54EA" w:rsidRPr="00673C1F" w:rsidRDefault="003B54EA" w:rsidP="003B54EA">
            <w:pPr>
              <w:spacing w:before="0" w:after="0" w:line="240" w:lineRule="auto"/>
              <w:ind w:left="170"/>
              <w:rPr>
                <w:rFonts w:ascii="Arial" w:hAnsi="Arial" w:cs="Arial"/>
                <w:sz w:val="16"/>
                <w:szCs w:val="16"/>
              </w:rPr>
            </w:pPr>
            <w:r w:rsidRPr="00673C1F">
              <w:rPr>
                <w:rFonts w:ascii="Arial" w:hAnsi="Arial" w:cs="Arial"/>
                <w:sz w:val="16"/>
                <w:szCs w:val="16"/>
              </w:rPr>
              <w:t>Gross income tax withholding</w:t>
            </w:r>
          </w:p>
        </w:tc>
        <w:tc>
          <w:tcPr>
            <w:tcW w:w="737" w:type="pct"/>
            <w:tcBorders>
              <w:top w:val="nil"/>
              <w:left w:val="nil"/>
              <w:bottom w:val="nil"/>
              <w:right w:val="nil"/>
            </w:tcBorders>
            <w:shd w:val="clear" w:color="000000" w:fill="FFFFFF"/>
            <w:noWrap/>
            <w:vAlign w:val="center"/>
            <w:hideMark/>
          </w:tcPr>
          <w:p w14:paraId="553306CA"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295,000</w:t>
            </w:r>
          </w:p>
        </w:tc>
        <w:tc>
          <w:tcPr>
            <w:tcW w:w="737" w:type="pct"/>
            <w:tcBorders>
              <w:top w:val="nil"/>
              <w:left w:val="nil"/>
              <w:bottom w:val="nil"/>
              <w:right w:val="nil"/>
            </w:tcBorders>
            <w:shd w:val="clear" w:color="000000" w:fill="E6F2FF"/>
            <w:noWrap/>
            <w:vAlign w:val="center"/>
            <w:hideMark/>
          </w:tcPr>
          <w:p w14:paraId="21984D26"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299,400</w:t>
            </w:r>
          </w:p>
        </w:tc>
        <w:tc>
          <w:tcPr>
            <w:tcW w:w="58" w:type="pct"/>
            <w:tcBorders>
              <w:top w:val="nil"/>
              <w:left w:val="nil"/>
              <w:bottom w:val="nil"/>
              <w:right w:val="nil"/>
            </w:tcBorders>
            <w:shd w:val="clear" w:color="000000" w:fill="FFFFFF"/>
            <w:noWrap/>
            <w:vAlign w:val="center"/>
            <w:hideMark/>
          </w:tcPr>
          <w:p w14:paraId="6AD47582"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7" w:type="pct"/>
            <w:tcBorders>
              <w:top w:val="nil"/>
              <w:left w:val="nil"/>
              <w:bottom w:val="nil"/>
              <w:right w:val="nil"/>
            </w:tcBorders>
            <w:shd w:val="clear" w:color="000000" w:fill="FFFFFF"/>
            <w:noWrap/>
            <w:vAlign w:val="center"/>
            <w:hideMark/>
          </w:tcPr>
          <w:p w14:paraId="73ACD9BC"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4,400</w:t>
            </w:r>
          </w:p>
        </w:tc>
        <w:tc>
          <w:tcPr>
            <w:tcW w:w="737" w:type="pct"/>
            <w:tcBorders>
              <w:top w:val="nil"/>
              <w:left w:val="nil"/>
              <w:bottom w:val="nil"/>
              <w:right w:val="nil"/>
            </w:tcBorders>
            <w:shd w:val="clear" w:color="000000" w:fill="FFFFFF"/>
            <w:noWrap/>
            <w:vAlign w:val="center"/>
            <w:hideMark/>
          </w:tcPr>
          <w:p w14:paraId="4929F583"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1.5</w:t>
            </w:r>
          </w:p>
        </w:tc>
      </w:tr>
      <w:tr w:rsidR="003B54EA" w:rsidRPr="00673C1F" w14:paraId="7FDA9A8F" w14:textId="77777777" w:rsidTr="003B54EA">
        <w:trPr>
          <w:trHeight w:hRule="exact" w:val="225"/>
        </w:trPr>
        <w:tc>
          <w:tcPr>
            <w:tcW w:w="1993" w:type="pct"/>
            <w:tcBorders>
              <w:top w:val="nil"/>
              <w:left w:val="nil"/>
              <w:bottom w:val="nil"/>
              <w:right w:val="nil"/>
            </w:tcBorders>
            <w:shd w:val="clear" w:color="000000" w:fill="FFFFFF"/>
            <w:noWrap/>
            <w:vAlign w:val="center"/>
            <w:hideMark/>
          </w:tcPr>
          <w:p w14:paraId="7D6BEBBC" w14:textId="77777777" w:rsidR="003B54EA" w:rsidRPr="00673C1F" w:rsidRDefault="003B54EA" w:rsidP="003B54EA">
            <w:pPr>
              <w:spacing w:before="0" w:after="0" w:line="240" w:lineRule="auto"/>
              <w:ind w:left="170"/>
              <w:rPr>
                <w:rFonts w:ascii="Arial" w:hAnsi="Arial" w:cs="Arial"/>
                <w:sz w:val="16"/>
                <w:szCs w:val="16"/>
              </w:rPr>
            </w:pPr>
            <w:r w:rsidRPr="00673C1F">
              <w:rPr>
                <w:rFonts w:ascii="Arial" w:hAnsi="Arial" w:cs="Arial"/>
                <w:sz w:val="16"/>
                <w:szCs w:val="16"/>
              </w:rPr>
              <w:t>Gross other individuals</w:t>
            </w:r>
          </w:p>
        </w:tc>
        <w:tc>
          <w:tcPr>
            <w:tcW w:w="737" w:type="pct"/>
            <w:tcBorders>
              <w:top w:val="nil"/>
              <w:left w:val="nil"/>
              <w:bottom w:val="nil"/>
              <w:right w:val="nil"/>
            </w:tcBorders>
            <w:shd w:val="clear" w:color="000000" w:fill="FFFFFF"/>
            <w:noWrap/>
            <w:vAlign w:val="center"/>
            <w:hideMark/>
          </w:tcPr>
          <w:p w14:paraId="303F8C8D"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78,600</w:t>
            </w:r>
          </w:p>
        </w:tc>
        <w:tc>
          <w:tcPr>
            <w:tcW w:w="737" w:type="pct"/>
            <w:tcBorders>
              <w:top w:val="nil"/>
              <w:left w:val="nil"/>
              <w:bottom w:val="nil"/>
              <w:right w:val="nil"/>
            </w:tcBorders>
            <w:shd w:val="clear" w:color="000000" w:fill="E6F2FF"/>
            <w:noWrap/>
            <w:vAlign w:val="center"/>
            <w:hideMark/>
          </w:tcPr>
          <w:p w14:paraId="10FFBD70"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81,500</w:t>
            </w:r>
          </w:p>
        </w:tc>
        <w:tc>
          <w:tcPr>
            <w:tcW w:w="58" w:type="pct"/>
            <w:tcBorders>
              <w:top w:val="nil"/>
              <w:left w:val="nil"/>
              <w:bottom w:val="nil"/>
              <w:right w:val="nil"/>
            </w:tcBorders>
            <w:shd w:val="clear" w:color="000000" w:fill="FFFFFF"/>
            <w:noWrap/>
            <w:vAlign w:val="center"/>
            <w:hideMark/>
          </w:tcPr>
          <w:p w14:paraId="3E133EB7"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7" w:type="pct"/>
            <w:tcBorders>
              <w:top w:val="nil"/>
              <w:left w:val="nil"/>
              <w:bottom w:val="nil"/>
              <w:right w:val="nil"/>
            </w:tcBorders>
            <w:shd w:val="clear" w:color="000000" w:fill="FFFFFF"/>
            <w:noWrap/>
            <w:vAlign w:val="center"/>
            <w:hideMark/>
          </w:tcPr>
          <w:p w14:paraId="0359C1D5"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2,900</w:t>
            </w:r>
          </w:p>
        </w:tc>
        <w:tc>
          <w:tcPr>
            <w:tcW w:w="737" w:type="pct"/>
            <w:tcBorders>
              <w:top w:val="nil"/>
              <w:left w:val="nil"/>
              <w:bottom w:val="nil"/>
              <w:right w:val="nil"/>
            </w:tcBorders>
            <w:shd w:val="clear" w:color="000000" w:fill="FFFFFF"/>
            <w:noWrap/>
            <w:vAlign w:val="center"/>
            <w:hideMark/>
          </w:tcPr>
          <w:p w14:paraId="256DC992"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3.7</w:t>
            </w:r>
          </w:p>
        </w:tc>
      </w:tr>
      <w:tr w:rsidR="003B54EA" w:rsidRPr="00673C1F" w14:paraId="46561D17" w14:textId="77777777" w:rsidTr="003B54EA">
        <w:trPr>
          <w:trHeight w:hRule="exact" w:val="225"/>
        </w:trPr>
        <w:tc>
          <w:tcPr>
            <w:tcW w:w="1993" w:type="pct"/>
            <w:tcBorders>
              <w:top w:val="nil"/>
              <w:left w:val="nil"/>
              <w:bottom w:val="nil"/>
              <w:right w:val="nil"/>
            </w:tcBorders>
            <w:shd w:val="clear" w:color="000000" w:fill="FFFFFF"/>
            <w:noWrap/>
            <w:vAlign w:val="center"/>
            <w:hideMark/>
          </w:tcPr>
          <w:p w14:paraId="00686CD2" w14:textId="77777777" w:rsidR="003B54EA" w:rsidRPr="00673C1F" w:rsidRDefault="003B54EA" w:rsidP="003B54EA">
            <w:pPr>
              <w:spacing w:before="0" w:after="0" w:line="240" w:lineRule="auto"/>
              <w:ind w:left="170"/>
              <w:rPr>
                <w:rFonts w:ascii="Arial" w:hAnsi="Arial" w:cs="Arial"/>
                <w:i/>
                <w:iCs/>
                <w:sz w:val="16"/>
                <w:szCs w:val="16"/>
              </w:rPr>
            </w:pPr>
            <w:r w:rsidRPr="00673C1F">
              <w:rPr>
                <w:rFonts w:ascii="Arial" w:hAnsi="Arial" w:cs="Arial"/>
                <w:i/>
                <w:iCs/>
                <w:sz w:val="16"/>
                <w:szCs w:val="16"/>
              </w:rPr>
              <w:t>less:</w:t>
            </w:r>
            <w:r w:rsidRPr="00673C1F">
              <w:rPr>
                <w:rFonts w:ascii="Arial" w:hAnsi="Arial" w:cs="Arial"/>
                <w:sz w:val="16"/>
                <w:szCs w:val="16"/>
              </w:rPr>
              <w:t xml:space="preserve"> Refunds</w:t>
            </w:r>
          </w:p>
        </w:tc>
        <w:tc>
          <w:tcPr>
            <w:tcW w:w="737" w:type="pct"/>
            <w:tcBorders>
              <w:top w:val="nil"/>
              <w:left w:val="nil"/>
              <w:bottom w:val="single" w:sz="4" w:space="0" w:color="293F5B"/>
              <w:right w:val="nil"/>
            </w:tcBorders>
            <w:shd w:val="clear" w:color="000000" w:fill="FFFFFF"/>
            <w:noWrap/>
            <w:vAlign w:val="center"/>
            <w:hideMark/>
          </w:tcPr>
          <w:p w14:paraId="412353FC"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37,000</w:t>
            </w:r>
          </w:p>
        </w:tc>
        <w:tc>
          <w:tcPr>
            <w:tcW w:w="737" w:type="pct"/>
            <w:tcBorders>
              <w:top w:val="nil"/>
              <w:left w:val="nil"/>
              <w:bottom w:val="single" w:sz="4" w:space="0" w:color="293F5B"/>
              <w:right w:val="nil"/>
            </w:tcBorders>
            <w:shd w:val="clear" w:color="000000" w:fill="E6F2FF"/>
            <w:noWrap/>
            <w:vAlign w:val="center"/>
            <w:hideMark/>
          </w:tcPr>
          <w:p w14:paraId="0359BE06"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37,500</w:t>
            </w:r>
          </w:p>
        </w:tc>
        <w:tc>
          <w:tcPr>
            <w:tcW w:w="58" w:type="pct"/>
            <w:tcBorders>
              <w:top w:val="nil"/>
              <w:left w:val="nil"/>
              <w:bottom w:val="nil"/>
              <w:right w:val="nil"/>
            </w:tcBorders>
            <w:shd w:val="clear" w:color="000000" w:fill="FFFFFF"/>
            <w:noWrap/>
            <w:vAlign w:val="center"/>
            <w:hideMark/>
          </w:tcPr>
          <w:p w14:paraId="24DB9505"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7" w:type="pct"/>
            <w:tcBorders>
              <w:top w:val="nil"/>
              <w:left w:val="nil"/>
              <w:bottom w:val="single" w:sz="4" w:space="0" w:color="293F5B"/>
              <w:right w:val="nil"/>
            </w:tcBorders>
            <w:shd w:val="clear" w:color="000000" w:fill="FFFFFF"/>
            <w:noWrap/>
            <w:vAlign w:val="center"/>
            <w:hideMark/>
          </w:tcPr>
          <w:p w14:paraId="16F09412"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500</w:t>
            </w:r>
          </w:p>
        </w:tc>
        <w:tc>
          <w:tcPr>
            <w:tcW w:w="737" w:type="pct"/>
            <w:tcBorders>
              <w:top w:val="nil"/>
              <w:left w:val="nil"/>
              <w:bottom w:val="single" w:sz="4" w:space="0" w:color="293F5B"/>
              <w:right w:val="nil"/>
            </w:tcBorders>
            <w:shd w:val="clear" w:color="000000" w:fill="FFFFFF"/>
            <w:noWrap/>
            <w:vAlign w:val="center"/>
            <w:hideMark/>
          </w:tcPr>
          <w:p w14:paraId="266D334F"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1.4</w:t>
            </w:r>
          </w:p>
        </w:tc>
      </w:tr>
      <w:tr w:rsidR="003B54EA" w:rsidRPr="00673C1F" w14:paraId="1888DFE0" w14:textId="77777777" w:rsidTr="003B54EA">
        <w:trPr>
          <w:trHeight w:hRule="exact" w:val="225"/>
        </w:trPr>
        <w:tc>
          <w:tcPr>
            <w:tcW w:w="1993" w:type="pct"/>
            <w:tcBorders>
              <w:top w:val="nil"/>
              <w:left w:val="nil"/>
              <w:bottom w:val="nil"/>
              <w:right w:val="nil"/>
            </w:tcBorders>
            <w:shd w:val="clear" w:color="000000" w:fill="FFFFFF"/>
            <w:noWrap/>
            <w:vAlign w:val="center"/>
            <w:hideMark/>
          </w:tcPr>
          <w:p w14:paraId="70A6C874"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Total individuals and other withholding tax</w:t>
            </w:r>
          </w:p>
        </w:tc>
        <w:tc>
          <w:tcPr>
            <w:tcW w:w="737" w:type="pct"/>
            <w:tcBorders>
              <w:top w:val="nil"/>
              <w:left w:val="nil"/>
              <w:bottom w:val="nil"/>
              <w:right w:val="nil"/>
            </w:tcBorders>
            <w:shd w:val="clear" w:color="000000" w:fill="FFFFFF"/>
            <w:noWrap/>
            <w:vAlign w:val="center"/>
            <w:hideMark/>
          </w:tcPr>
          <w:p w14:paraId="496506D2"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336,600</w:t>
            </w:r>
          </w:p>
        </w:tc>
        <w:tc>
          <w:tcPr>
            <w:tcW w:w="737" w:type="pct"/>
            <w:tcBorders>
              <w:top w:val="nil"/>
              <w:left w:val="nil"/>
              <w:bottom w:val="nil"/>
              <w:right w:val="nil"/>
            </w:tcBorders>
            <w:shd w:val="clear" w:color="000000" w:fill="E6F2FF"/>
            <w:noWrap/>
            <w:vAlign w:val="center"/>
            <w:hideMark/>
          </w:tcPr>
          <w:p w14:paraId="43C389B8"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343,400</w:t>
            </w:r>
          </w:p>
        </w:tc>
        <w:tc>
          <w:tcPr>
            <w:tcW w:w="58" w:type="pct"/>
            <w:tcBorders>
              <w:top w:val="nil"/>
              <w:left w:val="nil"/>
              <w:bottom w:val="nil"/>
              <w:right w:val="nil"/>
            </w:tcBorders>
            <w:shd w:val="clear" w:color="000000" w:fill="FFFFFF"/>
            <w:noWrap/>
            <w:vAlign w:val="center"/>
            <w:hideMark/>
          </w:tcPr>
          <w:p w14:paraId="3F87331B"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7" w:type="pct"/>
            <w:tcBorders>
              <w:top w:val="nil"/>
              <w:left w:val="nil"/>
              <w:bottom w:val="nil"/>
              <w:right w:val="nil"/>
            </w:tcBorders>
            <w:shd w:val="clear" w:color="000000" w:fill="FFFFFF"/>
            <w:noWrap/>
            <w:vAlign w:val="center"/>
            <w:hideMark/>
          </w:tcPr>
          <w:p w14:paraId="40C075CA"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6,800</w:t>
            </w:r>
          </w:p>
        </w:tc>
        <w:tc>
          <w:tcPr>
            <w:tcW w:w="737" w:type="pct"/>
            <w:tcBorders>
              <w:top w:val="nil"/>
              <w:left w:val="nil"/>
              <w:bottom w:val="nil"/>
              <w:right w:val="nil"/>
            </w:tcBorders>
            <w:shd w:val="clear" w:color="000000" w:fill="FFFFFF"/>
            <w:noWrap/>
            <w:vAlign w:val="center"/>
            <w:hideMark/>
          </w:tcPr>
          <w:p w14:paraId="32739E33"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2.0</w:t>
            </w:r>
          </w:p>
        </w:tc>
      </w:tr>
      <w:tr w:rsidR="003B54EA" w:rsidRPr="00673C1F" w14:paraId="40F763BB" w14:textId="77777777" w:rsidTr="003B54EA">
        <w:trPr>
          <w:trHeight w:hRule="exact" w:val="225"/>
        </w:trPr>
        <w:tc>
          <w:tcPr>
            <w:tcW w:w="1993" w:type="pct"/>
            <w:tcBorders>
              <w:top w:val="nil"/>
              <w:left w:val="nil"/>
              <w:bottom w:val="nil"/>
              <w:right w:val="nil"/>
            </w:tcBorders>
            <w:shd w:val="clear" w:color="000000" w:fill="FFFFFF"/>
            <w:noWrap/>
            <w:vAlign w:val="center"/>
            <w:hideMark/>
          </w:tcPr>
          <w:p w14:paraId="56014394"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Fringe benefits tax</w:t>
            </w:r>
          </w:p>
        </w:tc>
        <w:tc>
          <w:tcPr>
            <w:tcW w:w="737" w:type="pct"/>
            <w:tcBorders>
              <w:top w:val="nil"/>
              <w:left w:val="nil"/>
              <w:bottom w:val="nil"/>
              <w:right w:val="nil"/>
            </w:tcBorders>
            <w:shd w:val="clear" w:color="000000" w:fill="FFFFFF"/>
            <w:noWrap/>
            <w:vAlign w:val="center"/>
            <w:hideMark/>
          </w:tcPr>
          <w:p w14:paraId="098A6F3E"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4,190</w:t>
            </w:r>
          </w:p>
        </w:tc>
        <w:tc>
          <w:tcPr>
            <w:tcW w:w="737" w:type="pct"/>
            <w:tcBorders>
              <w:top w:val="nil"/>
              <w:left w:val="nil"/>
              <w:bottom w:val="nil"/>
              <w:right w:val="nil"/>
            </w:tcBorders>
            <w:shd w:val="clear" w:color="000000" w:fill="E6F2FF"/>
            <w:noWrap/>
            <w:vAlign w:val="center"/>
            <w:hideMark/>
          </w:tcPr>
          <w:p w14:paraId="1EDA5546"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4,280</w:t>
            </w:r>
          </w:p>
        </w:tc>
        <w:tc>
          <w:tcPr>
            <w:tcW w:w="58" w:type="pct"/>
            <w:tcBorders>
              <w:top w:val="nil"/>
              <w:left w:val="nil"/>
              <w:bottom w:val="nil"/>
              <w:right w:val="nil"/>
            </w:tcBorders>
            <w:shd w:val="clear" w:color="000000" w:fill="FFFFFF"/>
            <w:noWrap/>
            <w:vAlign w:val="center"/>
            <w:hideMark/>
          </w:tcPr>
          <w:p w14:paraId="3906174D"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7" w:type="pct"/>
            <w:tcBorders>
              <w:top w:val="nil"/>
              <w:left w:val="nil"/>
              <w:bottom w:val="nil"/>
              <w:right w:val="nil"/>
            </w:tcBorders>
            <w:shd w:val="clear" w:color="000000" w:fill="FFFFFF"/>
            <w:noWrap/>
            <w:vAlign w:val="center"/>
            <w:hideMark/>
          </w:tcPr>
          <w:p w14:paraId="39B8B9A4"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90</w:t>
            </w:r>
          </w:p>
        </w:tc>
        <w:tc>
          <w:tcPr>
            <w:tcW w:w="737" w:type="pct"/>
            <w:tcBorders>
              <w:top w:val="nil"/>
              <w:left w:val="nil"/>
              <w:bottom w:val="nil"/>
              <w:right w:val="nil"/>
            </w:tcBorders>
            <w:shd w:val="clear" w:color="000000" w:fill="FFFFFF"/>
            <w:noWrap/>
            <w:vAlign w:val="center"/>
            <w:hideMark/>
          </w:tcPr>
          <w:p w14:paraId="7EB6AC28"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2.1</w:t>
            </w:r>
          </w:p>
        </w:tc>
      </w:tr>
      <w:tr w:rsidR="003B54EA" w:rsidRPr="00673C1F" w14:paraId="6D1F661A" w14:textId="77777777" w:rsidTr="003B54EA">
        <w:trPr>
          <w:trHeight w:hRule="exact" w:val="225"/>
        </w:trPr>
        <w:tc>
          <w:tcPr>
            <w:tcW w:w="1993" w:type="pct"/>
            <w:tcBorders>
              <w:top w:val="nil"/>
              <w:left w:val="nil"/>
              <w:bottom w:val="nil"/>
              <w:right w:val="nil"/>
            </w:tcBorders>
            <w:shd w:val="clear" w:color="000000" w:fill="FFFFFF"/>
            <w:noWrap/>
            <w:vAlign w:val="center"/>
            <w:hideMark/>
          </w:tcPr>
          <w:p w14:paraId="6DB9D7AB"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Company tax</w:t>
            </w:r>
          </w:p>
        </w:tc>
        <w:tc>
          <w:tcPr>
            <w:tcW w:w="737" w:type="pct"/>
            <w:tcBorders>
              <w:top w:val="nil"/>
              <w:left w:val="nil"/>
              <w:bottom w:val="nil"/>
              <w:right w:val="nil"/>
            </w:tcBorders>
            <w:shd w:val="clear" w:color="000000" w:fill="FFFFFF"/>
            <w:noWrap/>
            <w:vAlign w:val="center"/>
            <w:hideMark/>
          </w:tcPr>
          <w:p w14:paraId="0D93BA0E"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140,300</w:t>
            </w:r>
          </w:p>
        </w:tc>
        <w:tc>
          <w:tcPr>
            <w:tcW w:w="737" w:type="pct"/>
            <w:tcBorders>
              <w:top w:val="nil"/>
              <w:left w:val="nil"/>
              <w:bottom w:val="nil"/>
              <w:right w:val="nil"/>
            </w:tcBorders>
            <w:shd w:val="clear" w:color="000000" w:fill="E6F2FF"/>
            <w:noWrap/>
            <w:vAlign w:val="center"/>
            <w:hideMark/>
          </w:tcPr>
          <w:p w14:paraId="7755532B"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144,900</w:t>
            </w:r>
          </w:p>
        </w:tc>
        <w:tc>
          <w:tcPr>
            <w:tcW w:w="58" w:type="pct"/>
            <w:tcBorders>
              <w:top w:val="nil"/>
              <w:left w:val="nil"/>
              <w:bottom w:val="nil"/>
              <w:right w:val="nil"/>
            </w:tcBorders>
            <w:shd w:val="clear" w:color="000000" w:fill="FFFFFF"/>
            <w:noWrap/>
            <w:vAlign w:val="center"/>
            <w:hideMark/>
          </w:tcPr>
          <w:p w14:paraId="1F649FA5"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7" w:type="pct"/>
            <w:tcBorders>
              <w:top w:val="nil"/>
              <w:left w:val="nil"/>
              <w:bottom w:val="nil"/>
              <w:right w:val="nil"/>
            </w:tcBorders>
            <w:shd w:val="clear" w:color="000000" w:fill="FFFFFF"/>
            <w:noWrap/>
            <w:vAlign w:val="center"/>
            <w:hideMark/>
          </w:tcPr>
          <w:p w14:paraId="724D3CB4"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4,600</w:t>
            </w:r>
          </w:p>
        </w:tc>
        <w:tc>
          <w:tcPr>
            <w:tcW w:w="737" w:type="pct"/>
            <w:tcBorders>
              <w:top w:val="nil"/>
              <w:left w:val="nil"/>
              <w:bottom w:val="nil"/>
              <w:right w:val="nil"/>
            </w:tcBorders>
            <w:shd w:val="clear" w:color="000000" w:fill="FFFFFF"/>
            <w:noWrap/>
            <w:vAlign w:val="center"/>
            <w:hideMark/>
          </w:tcPr>
          <w:p w14:paraId="181EB556"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3.3</w:t>
            </w:r>
          </w:p>
        </w:tc>
      </w:tr>
      <w:tr w:rsidR="003B54EA" w:rsidRPr="00673C1F" w14:paraId="2A225E8D" w14:textId="77777777" w:rsidTr="003B54EA">
        <w:trPr>
          <w:trHeight w:hRule="exact" w:val="225"/>
        </w:trPr>
        <w:tc>
          <w:tcPr>
            <w:tcW w:w="1993" w:type="pct"/>
            <w:tcBorders>
              <w:top w:val="nil"/>
              <w:left w:val="nil"/>
              <w:bottom w:val="nil"/>
              <w:right w:val="nil"/>
            </w:tcBorders>
            <w:shd w:val="clear" w:color="000000" w:fill="FFFFFF"/>
            <w:noWrap/>
            <w:vAlign w:val="center"/>
            <w:hideMark/>
          </w:tcPr>
          <w:p w14:paraId="689CE6AF"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Superannuation fund taxes</w:t>
            </w:r>
          </w:p>
        </w:tc>
        <w:tc>
          <w:tcPr>
            <w:tcW w:w="737" w:type="pct"/>
            <w:tcBorders>
              <w:top w:val="nil"/>
              <w:left w:val="nil"/>
              <w:bottom w:val="nil"/>
              <w:right w:val="nil"/>
            </w:tcBorders>
            <w:shd w:val="clear" w:color="000000" w:fill="FFFFFF"/>
            <w:noWrap/>
            <w:vAlign w:val="center"/>
            <w:hideMark/>
          </w:tcPr>
          <w:p w14:paraId="664AAF7F"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15,740</w:t>
            </w:r>
          </w:p>
        </w:tc>
        <w:tc>
          <w:tcPr>
            <w:tcW w:w="737" w:type="pct"/>
            <w:tcBorders>
              <w:top w:val="nil"/>
              <w:left w:val="nil"/>
              <w:bottom w:val="nil"/>
              <w:right w:val="nil"/>
            </w:tcBorders>
            <w:shd w:val="clear" w:color="000000" w:fill="E6F2FF"/>
            <w:noWrap/>
            <w:vAlign w:val="center"/>
            <w:hideMark/>
          </w:tcPr>
          <w:p w14:paraId="5A3B98DD"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11,780</w:t>
            </w:r>
          </w:p>
        </w:tc>
        <w:tc>
          <w:tcPr>
            <w:tcW w:w="58" w:type="pct"/>
            <w:tcBorders>
              <w:top w:val="nil"/>
              <w:left w:val="nil"/>
              <w:bottom w:val="nil"/>
              <w:right w:val="nil"/>
            </w:tcBorders>
            <w:shd w:val="clear" w:color="000000" w:fill="FFFFFF"/>
            <w:noWrap/>
            <w:vAlign w:val="center"/>
            <w:hideMark/>
          </w:tcPr>
          <w:p w14:paraId="3B644E8C"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7" w:type="pct"/>
            <w:tcBorders>
              <w:top w:val="nil"/>
              <w:left w:val="nil"/>
              <w:bottom w:val="nil"/>
              <w:right w:val="nil"/>
            </w:tcBorders>
            <w:shd w:val="clear" w:color="000000" w:fill="FFFFFF"/>
            <w:noWrap/>
            <w:vAlign w:val="center"/>
            <w:hideMark/>
          </w:tcPr>
          <w:p w14:paraId="122618CB" w14:textId="70757C31"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3,960</w:t>
            </w:r>
          </w:p>
        </w:tc>
        <w:tc>
          <w:tcPr>
            <w:tcW w:w="737" w:type="pct"/>
            <w:tcBorders>
              <w:top w:val="nil"/>
              <w:left w:val="nil"/>
              <w:bottom w:val="nil"/>
              <w:right w:val="nil"/>
            </w:tcBorders>
            <w:shd w:val="clear" w:color="000000" w:fill="FFFFFF"/>
            <w:noWrap/>
            <w:vAlign w:val="center"/>
            <w:hideMark/>
          </w:tcPr>
          <w:p w14:paraId="5A91E59B" w14:textId="02EF5041"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25.2</w:t>
            </w:r>
          </w:p>
        </w:tc>
      </w:tr>
      <w:tr w:rsidR="003B54EA" w:rsidRPr="00673C1F" w14:paraId="70D89074" w14:textId="77777777" w:rsidTr="003B54EA">
        <w:trPr>
          <w:trHeight w:hRule="exact" w:val="225"/>
        </w:trPr>
        <w:tc>
          <w:tcPr>
            <w:tcW w:w="1993" w:type="pct"/>
            <w:tcBorders>
              <w:top w:val="nil"/>
              <w:left w:val="nil"/>
              <w:bottom w:val="nil"/>
              <w:right w:val="nil"/>
            </w:tcBorders>
            <w:shd w:val="clear" w:color="000000" w:fill="FFFFFF"/>
            <w:noWrap/>
            <w:vAlign w:val="center"/>
            <w:hideMark/>
          </w:tcPr>
          <w:p w14:paraId="039208A4"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Petroleum resource rent tax</w:t>
            </w:r>
          </w:p>
        </w:tc>
        <w:tc>
          <w:tcPr>
            <w:tcW w:w="737" w:type="pct"/>
            <w:tcBorders>
              <w:top w:val="nil"/>
              <w:left w:val="nil"/>
              <w:bottom w:val="single" w:sz="4" w:space="0" w:color="293F5B"/>
              <w:right w:val="nil"/>
            </w:tcBorders>
            <w:shd w:val="clear" w:color="000000" w:fill="FFFFFF"/>
            <w:noWrap/>
            <w:vAlign w:val="center"/>
            <w:hideMark/>
          </w:tcPr>
          <w:p w14:paraId="14621EA6"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2,380</w:t>
            </w:r>
          </w:p>
        </w:tc>
        <w:tc>
          <w:tcPr>
            <w:tcW w:w="737" w:type="pct"/>
            <w:tcBorders>
              <w:top w:val="nil"/>
              <w:left w:val="nil"/>
              <w:bottom w:val="single" w:sz="4" w:space="0" w:color="293F5B"/>
              <w:right w:val="nil"/>
            </w:tcBorders>
            <w:shd w:val="clear" w:color="000000" w:fill="E6F2FF"/>
            <w:noWrap/>
            <w:vAlign w:val="center"/>
            <w:hideMark/>
          </w:tcPr>
          <w:p w14:paraId="133E7A15"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1,430</w:t>
            </w:r>
          </w:p>
        </w:tc>
        <w:tc>
          <w:tcPr>
            <w:tcW w:w="58" w:type="pct"/>
            <w:tcBorders>
              <w:top w:val="nil"/>
              <w:left w:val="nil"/>
              <w:bottom w:val="nil"/>
              <w:right w:val="nil"/>
            </w:tcBorders>
            <w:shd w:val="clear" w:color="000000" w:fill="FFFFFF"/>
            <w:noWrap/>
            <w:vAlign w:val="center"/>
            <w:hideMark/>
          </w:tcPr>
          <w:p w14:paraId="5EDE3ECF"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7" w:type="pct"/>
            <w:tcBorders>
              <w:top w:val="nil"/>
              <w:left w:val="nil"/>
              <w:bottom w:val="single" w:sz="4" w:space="0" w:color="293F5B"/>
              <w:right w:val="nil"/>
            </w:tcBorders>
            <w:shd w:val="clear" w:color="000000" w:fill="FFFFFF"/>
            <w:noWrap/>
            <w:vAlign w:val="center"/>
            <w:hideMark/>
          </w:tcPr>
          <w:p w14:paraId="0F1C7A79" w14:textId="70B15B06"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950</w:t>
            </w:r>
          </w:p>
        </w:tc>
        <w:tc>
          <w:tcPr>
            <w:tcW w:w="737" w:type="pct"/>
            <w:tcBorders>
              <w:top w:val="nil"/>
              <w:left w:val="nil"/>
              <w:bottom w:val="single" w:sz="4" w:space="0" w:color="293F5B"/>
              <w:right w:val="nil"/>
            </w:tcBorders>
            <w:shd w:val="clear" w:color="000000" w:fill="FFFFFF"/>
            <w:noWrap/>
            <w:vAlign w:val="center"/>
            <w:hideMark/>
          </w:tcPr>
          <w:p w14:paraId="52931D51" w14:textId="4B0438AA"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39.9</w:t>
            </w:r>
          </w:p>
        </w:tc>
      </w:tr>
      <w:tr w:rsidR="003B54EA" w:rsidRPr="00673C1F" w14:paraId="64429056" w14:textId="77777777" w:rsidTr="003B54EA">
        <w:trPr>
          <w:trHeight w:hRule="exact" w:val="225"/>
        </w:trPr>
        <w:tc>
          <w:tcPr>
            <w:tcW w:w="1993" w:type="pct"/>
            <w:tcBorders>
              <w:top w:val="nil"/>
              <w:left w:val="nil"/>
              <w:bottom w:val="nil"/>
              <w:right w:val="nil"/>
            </w:tcBorders>
            <w:shd w:val="clear" w:color="000000" w:fill="FFFFFF"/>
            <w:noWrap/>
            <w:vAlign w:val="center"/>
            <w:hideMark/>
          </w:tcPr>
          <w:p w14:paraId="3F2A9EC9" w14:textId="77777777" w:rsidR="003B54EA" w:rsidRPr="00673C1F" w:rsidRDefault="003B54EA" w:rsidP="003B54EA">
            <w:pPr>
              <w:spacing w:before="0" w:after="0" w:line="240" w:lineRule="auto"/>
              <w:rPr>
                <w:rFonts w:ascii="Arial" w:hAnsi="Arial" w:cs="Arial"/>
                <w:b/>
                <w:bCs/>
                <w:sz w:val="16"/>
                <w:szCs w:val="16"/>
              </w:rPr>
            </w:pPr>
            <w:r w:rsidRPr="00673C1F">
              <w:rPr>
                <w:rFonts w:ascii="Arial" w:hAnsi="Arial" w:cs="Arial"/>
                <w:b/>
                <w:bCs/>
                <w:sz w:val="16"/>
                <w:szCs w:val="16"/>
              </w:rPr>
              <w:t>Income taxation revenue</w:t>
            </w:r>
          </w:p>
        </w:tc>
        <w:tc>
          <w:tcPr>
            <w:tcW w:w="737" w:type="pct"/>
            <w:tcBorders>
              <w:top w:val="nil"/>
              <w:left w:val="nil"/>
              <w:bottom w:val="single" w:sz="4" w:space="0" w:color="293F5B"/>
              <w:right w:val="nil"/>
            </w:tcBorders>
            <w:shd w:val="clear" w:color="000000" w:fill="FFFFFF"/>
            <w:noWrap/>
            <w:vAlign w:val="center"/>
            <w:hideMark/>
          </w:tcPr>
          <w:p w14:paraId="611A6D8B"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499,210</w:t>
            </w:r>
          </w:p>
        </w:tc>
        <w:tc>
          <w:tcPr>
            <w:tcW w:w="737" w:type="pct"/>
            <w:tcBorders>
              <w:top w:val="nil"/>
              <w:left w:val="nil"/>
              <w:bottom w:val="single" w:sz="4" w:space="0" w:color="293F5B"/>
              <w:right w:val="nil"/>
            </w:tcBorders>
            <w:shd w:val="clear" w:color="000000" w:fill="E6F2FF"/>
            <w:noWrap/>
            <w:vAlign w:val="center"/>
            <w:hideMark/>
          </w:tcPr>
          <w:p w14:paraId="4DE9563F"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505,790</w:t>
            </w:r>
          </w:p>
        </w:tc>
        <w:tc>
          <w:tcPr>
            <w:tcW w:w="58" w:type="pct"/>
            <w:tcBorders>
              <w:top w:val="nil"/>
              <w:left w:val="nil"/>
              <w:bottom w:val="nil"/>
              <w:right w:val="nil"/>
            </w:tcBorders>
            <w:shd w:val="clear" w:color="000000" w:fill="FFFFFF"/>
            <w:noWrap/>
            <w:vAlign w:val="center"/>
            <w:hideMark/>
          </w:tcPr>
          <w:p w14:paraId="0B9E862F"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737" w:type="pct"/>
            <w:tcBorders>
              <w:top w:val="single" w:sz="4" w:space="0" w:color="000000"/>
              <w:left w:val="nil"/>
              <w:bottom w:val="single" w:sz="4" w:space="0" w:color="293F5B"/>
              <w:right w:val="nil"/>
            </w:tcBorders>
            <w:shd w:val="clear" w:color="000000" w:fill="FFFFFF"/>
            <w:noWrap/>
            <w:vAlign w:val="center"/>
            <w:hideMark/>
          </w:tcPr>
          <w:p w14:paraId="5B8E5DA3"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6,580</w:t>
            </w:r>
          </w:p>
        </w:tc>
        <w:tc>
          <w:tcPr>
            <w:tcW w:w="737" w:type="pct"/>
            <w:tcBorders>
              <w:top w:val="single" w:sz="4" w:space="0" w:color="000000"/>
              <w:left w:val="nil"/>
              <w:bottom w:val="single" w:sz="4" w:space="0" w:color="293F5B"/>
              <w:right w:val="nil"/>
            </w:tcBorders>
            <w:shd w:val="clear" w:color="000000" w:fill="FFFFFF"/>
            <w:noWrap/>
            <w:vAlign w:val="center"/>
            <w:hideMark/>
          </w:tcPr>
          <w:p w14:paraId="7FAB28A0"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1.3</w:t>
            </w:r>
          </w:p>
        </w:tc>
      </w:tr>
      <w:tr w:rsidR="003B54EA" w:rsidRPr="00673C1F" w14:paraId="023C7B1A" w14:textId="77777777" w:rsidTr="003B54EA">
        <w:trPr>
          <w:trHeight w:hRule="exact" w:val="225"/>
        </w:trPr>
        <w:tc>
          <w:tcPr>
            <w:tcW w:w="1993" w:type="pct"/>
            <w:tcBorders>
              <w:top w:val="nil"/>
              <w:left w:val="nil"/>
              <w:bottom w:val="nil"/>
              <w:right w:val="nil"/>
            </w:tcBorders>
            <w:shd w:val="clear" w:color="000000" w:fill="FFFFFF"/>
            <w:noWrap/>
            <w:vAlign w:val="center"/>
            <w:hideMark/>
          </w:tcPr>
          <w:p w14:paraId="68A82A27"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Goods and services tax</w:t>
            </w:r>
          </w:p>
        </w:tc>
        <w:tc>
          <w:tcPr>
            <w:tcW w:w="737" w:type="pct"/>
            <w:tcBorders>
              <w:top w:val="nil"/>
              <w:left w:val="nil"/>
              <w:bottom w:val="nil"/>
              <w:right w:val="nil"/>
            </w:tcBorders>
            <w:shd w:val="clear" w:color="000000" w:fill="FFFFFF"/>
            <w:noWrap/>
            <w:vAlign w:val="center"/>
            <w:hideMark/>
          </w:tcPr>
          <w:p w14:paraId="1665FE20"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88,180</w:t>
            </w:r>
          </w:p>
        </w:tc>
        <w:tc>
          <w:tcPr>
            <w:tcW w:w="737" w:type="pct"/>
            <w:tcBorders>
              <w:top w:val="nil"/>
              <w:left w:val="nil"/>
              <w:bottom w:val="nil"/>
              <w:right w:val="nil"/>
            </w:tcBorders>
            <w:shd w:val="clear" w:color="000000" w:fill="E6F2FF"/>
            <w:noWrap/>
            <w:vAlign w:val="center"/>
            <w:hideMark/>
          </w:tcPr>
          <w:p w14:paraId="61D2D0F0"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90,180</w:t>
            </w:r>
          </w:p>
        </w:tc>
        <w:tc>
          <w:tcPr>
            <w:tcW w:w="58" w:type="pct"/>
            <w:tcBorders>
              <w:top w:val="nil"/>
              <w:left w:val="nil"/>
              <w:bottom w:val="nil"/>
              <w:right w:val="nil"/>
            </w:tcBorders>
            <w:shd w:val="clear" w:color="000000" w:fill="FFFFFF"/>
            <w:noWrap/>
            <w:vAlign w:val="center"/>
            <w:hideMark/>
          </w:tcPr>
          <w:p w14:paraId="6FA673AE"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737" w:type="pct"/>
            <w:tcBorders>
              <w:top w:val="nil"/>
              <w:left w:val="nil"/>
              <w:bottom w:val="nil"/>
              <w:right w:val="nil"/>
            </w:tcBorders>
            <w:shd w:val="clear" w:color="000000" w:fill="FFFFFF"/>
            <w:noWrap/>
            <w:vAlign w:val="center"/>
            <w:hideMark/>
          </w:tcPr>
          <w:p w14:paraId="5FB0DB03"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2,000</w:t>
            </w:r>
          </w:p>
        </w:tc>
        <w:tc>
          <w:tcPr>
            <w:tcW w:w="737" w:type="pct"/>
            <w:tcBorders>
              <w:top w:val="nil"/>
              <w:left w:val="nil"/>
              <w:bottom w:val="nil"/>
              <w:right w:val="nil"/>
            </w:tcBorders>
            <w:shd w:val="clear" w:color="000000" w:fill="FFFFFF"/>
            <w:noWrap/>
            <w:vAlign w:val="center"/>
            <w:hideMark/>
          </w:tcPr>
          <w:p w14:paraId="1ECEE539"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2.3</w:t>
            </w:r>
          </w:p>
        </w:tc>
      </w:tr>
      <w:tr w:rsidR="003B54EA" w:rsidRPr="00673C1F" w14:paraId="4D99E435" w14:textId="77777777" w:rsidTr="003B54EA">
        <w:trPr>
          <w:trHeight w:hRule="exact" w:val="225"/>
        </w:trPr>
        <w:tc>
          <w:tcPr>
            <w:tcW w:w="1993" w:type="pct"/>
            <w:tcBorders>
              <w:top w:val="nil"/>
              <w:left w:val="nil"/>
              <w:bottom w:val="nil"/>
              <w:right w:val="nil"/>
            </w:tcBorders>
            <w:shd w:val="clear" w:color="000000" w:fill="FFFFFF"/>
            <w:noWrap/>
            <w:vAlign w:val="center"/>
            <w:hideMark/>
          </w:tcPr>
          <w:p w14:paraId="654B3B2E"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Wine equalisation tax</w:t>
            </w:r>
          </w:p>
        </w:tc>
        <w:tc>
          <w:tcPr>
            <w:tcW w:w="737" w:type="pct"/>
            <w:tcBorders>
              <w:top w:val="nil"/>
              <w:left w:val="nil"/>
              <w:bottom w:val="nil"/>
              <w:right w:val="nil"/>
            </w:tcBorders>
            <w:shd w:val="clear" w:color="000000" w:fill="FFFFFF"/>
            <w:noWrap/>
            <w:vAlign w:val="center"/>
            <w:hideMark/>
          </w:tcPr>
          <w:p w14:paraId="122A5066"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1,130</w:t>
            </w:r>
          </w:p>
        </w:tc>
        <w:tc>
          <w:tcPr>
            <w:tcW w:w="737" w:type="pct"/>
            <w:tcBorders>
              <w:top w:val="nil"/>
              <w:left w:val="nil"/>
              <w:bottom w:val="nil"/>
              <w:right w:val="nil"/>
            </w:tcBorders>
            <w:shd w:val="clear" w:color="000000" w:fill="E6F2FF"/>
            <w:noWrap/>
            <w:vAlign w:val="center"/>
            <w:hideMark/>
          </w:tcPr>
          <w:p w14:paraId="7C5B06C2"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1,090</w:t>
            </w:r>
          </w:p>
        </w:tc>
        <w:tc>
          <w:tcPr>
            <w:tcW w:w="58" w:type="pct"/>
            <w:tcBorders>
              <w:top w:val="nil"/>
              <w:left w:val="nil"/>
              <w:bottom w:val="nil"/>
              <w:right w:val="nil"/>
            </w:tcBorders>
            <w:shd w:val="clear" w:color="000000" w:fill="FFFFFF"/>
            <w:noWrap/>
            <w:vAlign w:val="center"/>
            <w:hideMark/>
          </w:tcPr>
          <w:p w14:paraId="4B1F3909"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737" w:type="pct"/>
            <w:tcBorders>
              <w:top w:val="nil"/>
              <w:left w:val="nil"/>
              <w:bottom w:val="nil"/>
              <w:right w:val="nil"/>
            </w:tcBorders>
            <w:shd w:val="clear" w:color="000000" w:fill="FFFFFF"/>
            <w:noWrap/>
            <w:vAlign w:val="center"/>
            <w:hideMark/>
          </w:tcPr>
          <w:p w14:paraId="07DBF227" w14:textId="75B06B3D"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40</w:t>
            </w:r>
          </w:p>
        </w:tc>
        <w:tc>
          <w:tcPr>
            <w:tcW w:w="737" w:type="pct"/>
            <w:tcBorders>
              <w:top w:val="nil"/>
              <w:left w:val="nil"/>
              <w:bottom w:val="nil"/>
              <w:right w:val="nil"/>
            </w:tcBorders>
            <w:shd w:val="clear" w:color="000000" w:fill="FFFFFF"/>
            <w:noWrap/>
            <w:vAlign w:val="center"/>
            <w:hideMark/>
          </w:tcPr>
          <w:p w14:paraId="1BE57A84" w14:textId="38260B57"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3.5</w:t>
            </w:r>
          </w:p>
        </w:tc>
      </w:tr>
      <w:tr w:rsidR="003B54EA" w:rsidRPr="00673C1F" w14:paraId="259611CC" w14:textId="77777777" w:rsidTr="003B54EA">
        <w:trPr>
          <w:trHeight w:hRule="exact" w:val="225"/>
        </w:trPr>
        <w:tc>
          <w:tcPr>
            <w:tcW w:w="1993" w:type="pct"/>
            <w:tcBorders>
              <w:top w:val="nil"/>
              <w:left w:val="nil"/>
              <w:bottom w:val="nil"/>
              <w:right w:val="nil"/>
            </w:tcBorders>
            <w:shd w:val="clear" w:color="000000" w:fill="FFFFFF"/>
            <w:noWrap/>
            <w:vAlign w:val="center"/>
            <w:hideMark/>
          </w:tcPr>
          <w:p w14:paraId="23D49F52"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Luxury car tax</w:t>
            </w:r>
          </w:p>
        </w:tc>
        <w:tc>
          <w:tcPr>
            <w:tcW w:w="737" w:type="pct"/>
            <w:tcBorders>
              <w:top w:val="nil"/>
              <w:left w:val="nil"/>
              <w:bottom w:val="nil"/>
              <w:right w:val="nil"/>
            </w:tcBorders>
            <w:shd w:val="clear" w:color="000000" w:fill="FFFFFF"/>
            <w:noWrap/>
            <w:vAlign w:val="center"/>
            <w:hideMark/>
          </w:tcPr>
          <w:p w14:paraId="2EF0CD01"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1,180</w:t>
            </w:r>
          </w:p>
        </w:tc>
        <w:tc>
          <w:tcPr>
            <w:tcW w:w="737" w:type="pct"/>
            <w:tcBorders>
              <w:top w:val="nil"/>
              <w:left w:val="nil"/>
              <w:bottom w:val="nil"/>
              <w:right w:val="nil"/>
            </w:tcBorders>
            <w:shd w:val="clear" w:color="000000" w:fill="E6F2FF"/>
            <w:noWrap/>
            <w:vAlign w:val="center"/>
            <w:hideMark/>
          </w:tcPr>
          <w:p w14:paraId="66F56C63"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1,290</w:t>
            </w:r>
          </w:p>
        </w:tc>
        <w:tc>
          <w:tcPr>
            <w:tcW w:w="58" w:type="pct"/>
            <w:tcBorders>
              <w:top w:val="nil"/>
              <w:left w:val="nil"/>
              <w:bottom w:val="nil"/>
              <w:right w:val="nil"/>
            </w:tcBorders>
            <w:shd w:val="clear" w:color="000000" w:fill="FFFFFF"/>
            <w:noWrap/>
            <w:vAlign w:val="center"/>
            <w:hideMark/>
          </w:tcPr>
          <w:p w14:paraId="704C07AD"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737" w:type="pct"/>
            <w:tcBorders>
              <w:top w:val="nil"/>
              <w:left w:val="nil"/>
              <w:bottom w:val="nil"/>
              <w:right w:val="nil"/>
            </w:tcBorders>
            <w:shd w:val="clear" w:color="000000" w:fill="FFFFFF"/>
            <w:noWrap/>
            <w:vAlign w:val="center"/>
            <w:hideMark/>
          </w:tcPr>
          <w:p w14:paraId="2FCF5F66"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110</w:t>
            </w:r>
          </w:p>
        </w:tc>
        <w:tc>
          <w:tcPr>
            <w:tcW w:w="737" w:type="pct"/>
            <w:tcBorders>
              <w:top w:val="nil"/>
              <w:left w:val="nil"/>
              <w:bottom w:val="nil"/>
              <w:right w:val="nil"/>
            </w:tcBorders>
            <w:shd w:val="clear" w:color="000000" w:fill="FFFFFF"/>
            <w:noWrap/>
            <w:vAlign w:val="center"/>
            <w:hideMark/>
          </w:tcPr>
          <w:p w14:paraId="418BA718"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9.3</w:t>
            </w:r>
          </w:p>
        </w:tc>
      </w:tr>
      <w:tr w:rsidR="003B54EA" w:rsidRPr="00673C1F" w14:paraId="6842AE35" w14:textId="77777777" w:rsidTr="003B54EA">
        <w:trPr>
          <w:trHeight w:hRule="exact" w:val="225"/>
        </w:trPr>
        <w:tc>
          <w:tcPr>
            <w:tcW w:w="1993" w:type="pct"/>
            <w:tcBorders>
              <w:top w:val="nil"/>
              <w:left w:val="nil"/>
              <w:bottom w:val="nil"/>
              <w:right w:val="nil"/>
            </w:tcBorders>
            <w:shd w:val="clear" w:color="000000" w:fill="FFFFFF"/>
            <w:noWrap/>
            <w:vAlign w:val="center"/>
            <w:hideMark/>
          </w:tcPr>
          <w:p w14:paraId="09357CEE"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 xml:space="preserve">Excise and customs duty  </w:t>
            </w:r>
          </w:p>
        </w:tc>
        <w:tc>
          <w:tcPr>
            <w:tcW w:w="737" w:type="pct"/>
            <w:tcBorders>
              <w:top w:val="nil"/>
              <w:left w:val="nil"/>
              <w:bottom w:val="nil"/>
              <w:right w:val="nil"/>
            </w:tcBorders>
            <w:shd w:val="clear" w:color="000000" w:fill="FFFFFF"/>
            <w:noWrap/>
            <w:vAlign w:val="center"/>
            <w:hideMark/>
          </w:tcPr>
          <w:p w14:paraId="64066451"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7" w:type="pct"/>
            <w:tcBorders>
              <w:top w:val="nil"/>
              <w:left w:val="nil"/>
              <w:bottom w:val="nil"/>
              <w:right w:val="nil"/>
            </w:tcBorders>
            <w:shd w:val="clear" w:color="000000" w:fill="E6F2FF"/>
            <w:noWrap/>
            <w:vAlign w:val="center"/>
            <w:hideMark/>
          </w:tcPr>
          <w:p w14:paraId="6443578F"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58" w:type="pct"/>
            <w:tcBorders>
              <w:top w:val="nil"/>
              <w:left w:val="nil"/>
              <w:bottom w:val="nil"/>
              <w:right w:val="nil"/>
            </w:tcBorders>
            <w:shd w:val="clear" w:color="000000" w:fill="FFFFFF"/>
            <w:noWrap/>
            <w:vAlign w:val="center"/>
            <w:hideMark/>
          </w:tcPr>
          <w:p w14:paraId="0682E484"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7" w:type="pct"/>
            <w:tcBorders>
              <w:top w:val="nil"/>
              <w:left w:val="nil"/>
              <w:bottom w:val="nil"/>
              <w:right w:val="nil"/>
            </w:tcBorders>
            <w:shd w:val="clear" w:color="000000" w:fill="FFFFFF"/>
            <w:noWrap/>
            <w:vAlign w:val="center"/>
            <w:hideMark/>
          </w:tcPr>
          <w:p w14:paraId="66854E14"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7" w:type="pct"/>
            <w:tcBorders>
              <w:top w:val="nil"/>
              <w:left w:val="nil"/>
              <w:bottom w:val="nil"/>
              <w:right w:val="nil"/>
            </w:tcBorders>
            <w:shd w:val="clear" w:color="000000" w:fill="FFFFFF"/>
            <w:noWrap/>
            <w:vAlign w:val="center"/>
            <w:hideMark/>
          </w:tcPr>
          <w:p w14:paraId="231142F6"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r>
      <w:tr w:rsidR="003B54EA" w:rsidRPr="00673C1F" w14:paraId="5ADCD931" w14:textId="77777777" w:rsidTr="003B54EA">
        <w:trPr>
          <w:trHeight w:hRule="exact" w:val="225"/>
        </w:trPr>
        <w:tc>
          <w:tcPr>
            <w:tcW w:w="1993" w:type="pct"/>
            <w:tcBorders>
              <w:top w:val="nil"/>
              <w:left w:val="nil"/>
              <w:bottom w:val="nil"/>
              <w:right w:val="nil"/>
            </w:tcBorders>
            <w:shd w:val="clear" w:color="000000" w:fill="FFFFFF"/>
            <w:noWrap/>
            <w:vAlign w:val="center"/>
            <w:hideMark/>
          </w:tcPr>
          <w:p w14:paraId="61221519" w14:textId="77777777" w:rsidR="003B54EA" w:rsidRPr="00673C1F" w:rsidRDefault="003B54EA" w:rsidP="003B54EA">
            <w:pPr>
              <w:spacing w:before="0" w:after="0" w:line="240" w:lineRule="auto"/>
              <w:ind w:left="170"/>
              <w:rPr>
                <w:rFonts w:ascii="Arial" w:hAnsi="Arial" w:cs="Arial"/>
                <w:sz w:val="16"/>
                <w:szCs w:val="16"/>
              </w:rPr>
            </w:pPr>
            <w:r w:rsidRPr="00673C1F">
              <w:rPr>
                <w:rFonts w:ascii="Arial" w:hAnsi="Arial" w:cs="Arial"/>
                <w:sz w:val="16"/>
                <w:szCs w:val="16"/>
              </w:rPr>
              <w:t>Petrol</w:t>
            </w:r>
          </w:p>
        </w:tc>
        <w:tc>
          <w:tcPr>
            <w:tcW w:w="737" w:type="pct"/>
            <w:tcBorders>
              <w:top w:val="nil"/>
              <w:left w:val="nil"/>
              <w:bottom w:val="nil"/>
              <w:right w:val="nil"/>
            </w:tcBorders>
            <w:shd w:val="clear" w:color="000000" w:fill="FFFFFF"/>
            <w:noWrap/>
            <w:vAlign w:val="center"/>
            <w:hideMark/>
          </w:tcPr>
          <w:p w14:paraId="739044DC"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6,900</w:t>
            </w:r>
          </w:p>
        </w:tc>
        <w:tc>
          <w:tcPr>
            <w:tcW w:w="737" w:type="pct"/>
            <w:tcBorders>
              <w:top w:val="nil"/>
              <w:left w:val="nil"/>
              <w:bottom w:val="nil"/>
              <w:right w:val="nil"/>
            </w:tcBorders>
            <w:shd w:val="clear" w:color="000000" w:fill="E6F2FF"/>
            <w:noWrap/>
            <w:vAlign w:val="center"/>
            <w:hideMark/>
          </w:tcPr>
          <w:p w14:paraId="00AE9187"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6,950</w:t>
            </w:r>
          </w:p>
        </w:tc>
        <w:tc>
          <w:tcPr>
            <w:tcW w:w="58" w:type="pct"/>
            <w:tcBorders>
              <w:top w:val="nil"/>
              <w:left w:val="nil"/>
              <w:bottom w:val="nil"/>
              <w:right w:val="nil"/>
            </w:tcBorders>
            <w:shd w:val="clear" w:color="000000" w:fill="FFFFFF"/>
            <w:noWrap/>
            <w:vAlign w:val="center"/>
            <w:hideMark/>
          </w:tcPr>
          <w:p w14:paraId="4411A735"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7" w:type="pct"/>
            <w:tcBorders>
              <w:top w:val="nil"/>
              <w:left w:val="nil"/>
              <w:bottom w:val="nil"/>
              <w:right w:val="nil"/>
            </w:tcBorders>
            <w:shd w:val="clear" w:color="000000" w:fill="FFFFFF"/>
            <w:noWrap/>
            <w:vAlign w:val="center"/>
            <w:hideMark/>
          </w:tcPr>
          <w:p w14:paraId="74487AD0"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50</w:t>
            </w:r>
          </w:p>
        </w:tc>
        <w:tc>
          <w:tcPr>
            <w:tcW w:w="737" w:type="pct"/>
            <w:tcBorders>
              <w:top w:val="nil"/>
              <w:left w:val="nil"/>
              <w:bottom w:val="nil"/>
              <w:right w:val="nil"/>
            </w:tcBorders>
            <w:shd w:val="clear" w:color="000000" w:fill="FFFFFF"/>
            <w:noWrap/>
            <w:vAlign w:val="center"/>
            <w:hideMark/>
          </w:tcPr>
          <w:p w14:paraId="1B9C6BB6"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0.7</w:t>
            </w:r>
          </w:p>
        </w:tc>
      </w:tr>
      <w:tr w:rsidR="003B54EA" w:rsidRPr="00673C1F" w14:paraId="71680100" w14:textId="77777777" w:rsidTr="003B54EA">
        <w:trPr>
          <w:trHeight w:hRule="exact" w:val="225"/>
        </w:trPr>
        <w:tc>
          <w:tcPr>
            <w:tcW w:w="1993" w:type="pct"/>
            <w:tcBorders>
              <w:top w:val="nil"/>
              <w:left w:val="nil"/>
              <w:bottom w:val="nil"/>
              <w:right w:val="nil"/>
            </w:tcBorders>
            <w:shd w:val="clear" w:color="000000" w:fill="FFFFFF"/>
            <w:noWrap/>
            <w:vAlign w:val="center"/>
            <w:hideMark/>
          </w:tcPr>
          <w:p w14:paraId="65850FDB" w14:textId="77777777" w:rsidR="003B54EA" w:rsidRPr="00673C1F" w:rsidRDefault="003B54EA" w:rsidP="003B54EA">
            <w:pPr>
              <w:spacing w:before="0" w:after="0" w:line="240" w:lineRule="auto"/>
              <w:ind w:left="170"/>
              <w:rPr>
                <w:rFonts w:ascii="Arial" w:hAnsi="Arial" w:cs="Arial"/>
                <w:sz w:val="16"/>
                <w:szCs w:val="16"/>
              </w:rPr>
            </w:pPr>
            <w:r w:rsidRPr="00673C1F">
              <w:rPr>
                <w:rFonts w:ascii="Arial" w:hAnsi="Arial" w:cs="Arial"/>
                <w:sz w:val="16"/>
                <w:szCs w:val="16"/>
              </w:rPr>
              <w:t>Diesel</w:t>
            </w:r>
          </w:p>
        </w:tc>
        <w:tc>
          <w:tcPr>
            <w:tcW w:w="737" w:type="pct"/>
            <w:tcBorders>
              <w:top w:val="nil"/>
              <w:left w:val="nil"/>
              <w:bottom w:val="nil"/>
              <w:right w:val="nil"/>
            </w:tcBorders>
            <w:shd w:val="clear" w:color="000000" w:fill="FFFFFF"/>
            <w:noWrap/>
            <w:vAlign w:val="center"/>
            <w:hideMark/>
          </w:tcPr>
          <w:p w14:paraId="3CBE2358"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16,180</w:t>
            </w:r>
          </w:p>
        </w:tc>
        <w:tc>
          <w:tcPr>
            <w:tcW w:w="737" w:type="pct"/>
            <w:tcBorders>
              <w:top w:val="nil"/>
              <w:left w:val="nil"/>
              <w:bottom w:val="nil"/>
              <w:right w:val="nil"/>
            </w:tcBorders>
            <w:shd w:val="clear" w:color="000000" w:fill="E6F2FF"/>
            <w:noWrap/>
            <w:vAlign w:val="center"/>
            <w:hideMark/>
          </w:tcPr>
          <w:p w14:paraId="655EB830"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16,210</w:t>
            </w:r>
          </w:p>
        </w:tc>
        <w:tc>
          <w:tcPr>
            <w:tcW w:w="58" w:type="pct"/>
            <w:tcBorders>
              <w:top w:val="nil"/>
              <w:left w:val="nil"/>
              <w:bottom w:val="nil"/>
              <w:right w:val="nil"/>
            </w:tcBorders>
            <w:shd w:val="clear" w:color="000000" w:fill="FFFFFF"/>
            <w:noWrap/>
            <w:vAlign w:val="center"/>
            <w:hideMark/>
          </w:tcPr>
          <w:p w14:paraId="7DCD05BD"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7" w:type="pct"/>
            <w:tcBorders>
              <w:top w:val="nil"/>
              <w:left w:val="nil"/>
              <w:bottom w:val="nil"/>
              <w:right w:val="nil"/>
            </w:tcBorders>
            <w:shd w:val="clear" w:color="000000" w:fill="FFFFFF"/>
            <w:noWrap/>
            <w:vAlign w:val="center"/>
            <w:hideMark/>
          </w:tcPr>
          <w:p w14:paraId="3D6230FA"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30</w:t>
            </w:r>
          </w:p>
        </w:tc>
        <w:tc>
          <w:tcPr>
            <w:tcW w:w="737" w:type="pct"/>
            <w:tcBorders>
              <w:top w:val="nil"/>
              <w:left w:val="nil"/>
              <w:bottom w:val="nil"/>
              <w:right w:val="nil"/>
            </w:tcBorders>
            <w:shd w:val="clear" w:color="000000" w:fill="FFFFFF"/>
            <w:noWrap/>
            <w:vAlign w:val="center"/>
            <w:hideMark/>
          </w:tcPr>
          <w:p w14:paraId="7AFDB079"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0.2</w:t>
            </w:r>
          </w:p>
        </w:tc>
      </w:tr>
      <w:tr w:rsidR="003B54EA" w:rsidRPr="00673C1F" w14:paraId="041E6599" w14:textId="77777777" w:rsidTr="003B54EA">
        <w:trPr>
          <w:trHeight w:hRule="exact" w:val="225"/>
        </w:trPr>
        <w:tc>
          <w:tcPr>
            <w:tcW w:w="1993" w:type="pct"/>
            <w:tcBorders>
              <w:top w:val="nil"/>
              <w:left w:val="nil"/>
              <w:bottom w:val="nil"/>
              <w:right w:val="nil"/>
            </w:tcBorders>
            <w:shd w:val="clear" w:color="000000" w:fill="FFFFFF"/>
            <w:noWrap/>
            <w:vAlign w:val="center"/>
            <w:hideMark/>
          </w:tcPr>
          <w:p w14:paraId="3DFB3E55" w14:textId="77777777" w:rsidR="003B54EA" w:rsidRPr="00673C1F" w:rsidRDefault="003B54EA" w:rsidP="003B54EA">
            <w:pPr>
              <w:spacing w:before="0" w:after="0" w:line="240" w:lineRule="auto"/>
              <w:ind w:left="170"/>
              <w:rPr>
                <w:rFonts w:ascii="Arial" w:hAnsi="Arial" w:cs="Arial"/>
                <w:sz w:val="16"/>
                <w:szCs w:val="16"/>
              </w:rPr>
            </w:pPr>
            <w:r w:rsidRPr="00673C1F">
              <w:rPr>
                <w:rFonts w:ascii="Arial" w:hAnsi="Arial" w:cs="Arial"/>
                <w:sz w:val="16"/>
                <w:szCs w:val="16"/>
              </w:rPr>
              <w:t>Other fuel products</w:t>
            </w:r>
          </w:p>
        </w:tc>
        <w:tc>
          <w:tcPr>
            <w:tcW w:w="737" w:type="pct"/>
            <w:tcBorders>
              <w:top w:val="nil"/>
              <w:left w:val="nil"/>
              <w:bottom w:val="nil"/>
              <w:right w:val="nil"/>
            </w:tcBorders>
            <w:shd w:val="clear" w:color="000000" w:fill="FFFFFF"/>
            <w:noWrap/>
            <w:vAlign w:val="center"/>
            <w:hideMark/>
          </w:tcPr>
          <w:p w14:paraId="6A931AEB"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2,290</w:t>
            </w:r>
          </w:p>
        </w:tc>
        <w:tc>
          <w:tcPr>
            <w:tcW w:w="737" w:type="pct"/>
            <w:tcBorders>
              <w:top w:val="nil"/>
              <w:left w:val="nil"/>
              <w:bottom w:val="nil"/>
              <w:right w:val="nil"/>
            </w:tcBorders>
            <w:shd w:val="clear" w:color="000000" w:fill="E6F2FF"/>
            <w:noWrap/>
            <w:vAlign w:val="center"/>
            <w:hideMark/>
          </w:tcPr>
          <w:p w14:paraId="287C939F"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2,120</w:t>
            </w:r>
          </w:p>
        </w:tc>
        <w:tc>
          <w:tcPr>
            <w:tcW w:w="58" w:type="pct"/>
            <w:tcBorders>
              <w:top w:val="nil"/>
              <w:left w:val="nil"/>
              <w:bottom w:val="nil"/>
              <w:right w:val="nil"/>
            </w:tcBorders>
            <w:shd w:val="clear" w:color="000000" w:fill="FFFFFF"/>
            <w:noWrap/>
            <w:vAlign w:val="center"/>
            <w:hideMark/>
          </w:tcPr>
          <w:p w14:paraId="4E3803F7"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7" w:type="pct"/>
            <w:tcBorders>
              <w:top w:val="nil"/>
              <w:left w:val="nil"/>
              <w:bottom w:val="nil"/>
              <w:right w:val="nil"/>
            </w:tcBorders>
            <w:shd w:val="clear" w:color="000000" w:fill="FFFFFF"/>
            <w:noWrap/>
            <w:vAlign w:val="center"/>
            <w:hideMark/>
          </w:tcPr>
          <w:p w14:paraId="55FD0654" w14:textId="2D6E52FE"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170</w:t>
            </w:r>
          </w:p>
        </w:tc>
        <w:tc>
          <w:tcPr>
            <w:tcW w:w="737" w:type="pct"/>
            <w:tcBorders>
              <w:top w:val="nil"/>
              <w:left w:val="nil"/>
              <w:bottom w:val="nil"/>
              <w:right w:val="nil"/>
            </w:tcBorders>
            <w:shd w:val="clear" w:color="000000" w:fill="FFFFFF"/>
            <w:noWrap/>
            <w:vAlign w:val="center"/>
            <w:hideMark/>
          </w:tcPr>
          <w:p w14:paraId="66E8980F" w14:textId="534FDDED"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7.4</w:t>
            </w:r>
          </w:p>
        </w:tc>
      </w:tr>
      <w:tr w:rsidR="003B54EA" w:rsidRPr="00673C1F" w14:paraId="001D9C83" w14:textId="77777777" w:rsidTr="003B54EA">
        <w:trPr>
          <w:trHeight w:hRule="exact" w:val="225"/>
        </w:trPr>
        <w:tc>
          <w:tcPr>
            <w:tcW w:w="1993" w:type="pct"/>
            <w:tcBorders>
              <w:top w:val="nil"/>
              <w:left w:val="nil"/>
              <w:bottom w:val="nil"/>
              <w:right w:val="nil"/>
            </w:tcBorders>
            <w:shd w:val="clear" w:color="000000" w:fill="FFFFFF"/>
            <w:noWrap/>
            <w:vAlign w:val="center"/>
            <w:hideMark/>
          </w:tcPr>
          <w:p w14:paraId="1D2C5283" w14:textId="77777777" w:rsidR="003B54EA" w:rsidRPr="00673C1F" w:rsidRDefault="003B54EA" w:rsidP="003B54EA">
            <w:pPr>
              <w:spacing w:before="0" w:after="0" w:line="240" w:lineRule="auto"/>
              <w:ind w:left="170"/>
              <w:rPr>
                <w:rFonts w:ascii="Arial" w:hAnsi="Arial" w:cs="Arial"/>
                <w:sz w:val="16"/>
                <w:szCs w:val="16"/>
              </w:rPr>
            </w:pPr>
            <w:r w:rsidRPr="00673C1F">
              <w:rPr>
                <w:rFonts w:ascii="Arial" w:hAnsi="Arial" w:cs="Arial"/>
                <w:sz w:val="16"/>
                <w:szCs w:val="16"/>
              </w:rPr>
              <w:t>Tobacco</w:t>
            </w:r>
          </w:p>
        </w:tc>
        <w:tc>
          <w:tcPr>
            <w:tcW w:w="737" w:type="pct"/>
            <w:tcBorders>
              <w:top w:val="nil"/>
              <w:left w:val="nil"/>
              <w:bottom w:val="nil"/>
              <w:right w:val="nil"/>
            </w:tcBorders>
            <w:shd w:val="clear" w:color="000000" w:fill="FFFFFF"/>
            <w:noWrap/>
            <w:vAlign w:val="center"/>
            <w:hideMark/>
          </w:tcPr>
          <w:p w14:paraId="48661A58"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12,850</w:t>
            </w:r>
          </w:p>
        </w:tc>
        <w:tc>
          <w:tcPr>
            <w:tcW w:w="737" w:type="pct"/>
            <w:tcBorders>
              <w:top w:val="nil"/>
              <w:left w:val="nil"/>
              <w:bottom w:val="nil"/>
              <w:right w:val="nil"/>
            </w:tcBorders>
            <w:shd w:val="clear" w:color="000000" w:fill="E6F2FF"/>
            <w:noWrap/>
            <w:vAlign w:val="center"/>
            <w:hideMark/>
          </w:tcPr>
          <w:p w14:paraId="100D8900"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10,500</w:t>
            </w:r>
          </w:p>
        </w:tc>
        <w:tc>
          <w:tcPr>
            <w:tcW w:w="58" w:type="pct"/>
            <w:tcBorders>
              <w:top w:val="nil"/>
              <w:left w:val="nil"/>
              <w:bottom w:val="nil"/>
              <w:right w:val="nil"/>
            </w:tcBorders>
            <w:shd w:val="clear" w:color="000000" w:fill="FFFFFF"/>
            <w:noWrap/>
            <w:vAlign w:val="center"/>
            <w:hideMark/>
          </w:tcPr>
          <w:p w14:paraId="724D6F1B"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7" w:type="pct"/>
            <w:tcBorders>
              <w:top w:val="nil"/>
              <w:left w:val="nil"/>
              <w:bottom w:val="nil"/>
              <w:right w:val="nil"/>
            </w:tcBorders>
            <w:shd w:val="clear" w:color="000000" w:fill="FFFFFF"/>
            <w:noWrap/>
            <w:vAlign w:val="center"/>
            <w:hideMark/>
          </w:tcPr>
          <w:p w14:paraId="1FAC6229" w14:textId="700BAD37"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2,350</w:t>
            </w:r>
          </w:p>
        </w:tc>
        <w:tc>
          <w:tcPr>
            <w:tcW w:w="737" w:type="pct"/>
            <w:tcBorders>
              <w:top w:val="nil"/>
              <w:left w:val="nil"/>
              <w:bottom w:val="nil"/>
              <w:right w:val="nil"/>
            </w:tcBorders>
            <w:shd w:val="clear" w:color="000000" w:fill="FFFFFF"/>
            <w:noWrap/>
            <w:vAlign w:val="center"/>
            <w:hideMark/>
          </w:tcPr>
          <w:p w14:paraId="333E8268" w14:textId="406DDFA7"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18.3</w:t>
            </w:r>
          </w:p>
        </w:tc>
      </w:tr>
      <w:tr w:rsidR="003B54EA" w:rsidRPr="00673C1F" w14:paraId="62B6E8DB" w14:textId="77777777" w:rsidTr="003B54EA">
        <w:trPr>
          <w:trHeight w:hRule="exact" w:val="225"/>
        </w:trPr>
        <w:tc>
          <w:tcPr>
            <w:tcW w:w="1993" w:type="pct"/>
            <w:tcBorders>
              <w:top w:val="nil"/>
              <w:left w:val="nil"/>
              <w:bottom w:val="nil"/>
              <w:right w:val="nil"/>
            </w:tcBorders>
            <w:shd w:val="clear" w:color="000000" w:fill="FFFFFF"/>
            <w:noWrap/>
            <w:vAlign w:val="center"/>
            <w:hideMark/>
          </w:tcPr>
          <w:p w14:paraId="0B0A0112" w14:textId="77777777" w:rsidR="003B54EA" w:rsidRPr="00673C1F" w:rsidRDefault="003B54EA" w:rsidP="003B54EA">
            <w:pPr>
              <w:spacing w:before="0" w:after="0" w:line="240" w:lineRule="auto"/>
              <w:ind w:left="170"/>
              <w:rPr>
                <w:rFonts w:ascii="Arial" w:hAnsi="Arial" w:cs="Arial"/>
                <w:sz w:val="16"/>
                <w:szCs w:val="16"/>
              </w:rPr>
            </w:pPr>
            <w:r w:rsidRPr="00673C1F">
              <w:rPr>
                <w:rFonts w:ascii="Arial" w:hAnsi="Arial" w:cs="Arial"/>
                <w:sz w:val="16"/>
                <w:szCs w:val="16"/>
              </w:rPr>
              <w:t>Beer</w:t>
            </w:r>
          </w:p>
        </w:tc>
        <w:tc>
          <w:tcPr>
            <w:tcW w:w="737" w:type="pct"/>
            <w:tcBorders>
              <w:top w:val="nil"/>
              <w:left w:val="nil"/>
              <w:bottom w:val="nil"/>
              <w:right w:val="nil"/>
            </w:tcBorders>
            <w:shd w:val="clear" w:color="000000" w:fill="FFFFFF"/>
            <w:noWrap/>
            <w:vAlign w:val="center"/>
            <w:hideMark/>
          </w:tcPr>
          <w:p w14:paraId="19D7BADA"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2,660</w:t>
            </w:r>
          </w:p>
        </w:tc>
        <w:tc>
          <w:tcPr>
            <w:tcW w:w="737" w:type="pct"/>
            <w:tcBorders>
              <w:top w:val="nil"/>
              <w:left w:val="nil"/>
              <w:bottom w:val="nil"/>
              <w:right w:val="nil"/>
            </w:tcBorders>
            <w:shd w:val="clear" w:color="000000" w:fill="E6F2FF"/>
            <w:noWrap/>
            <w:vAlign w:val="center"/>
            <w:hideMark/>
          </w:tcPr>
          <w:p w14:paraId="0427FE9A"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2,650</w:t>
            </w:r>
          </w:p>
        </w:tc>
        <w:tc>
          <w:tcPr>
            <w:tcW w:w="58" w:type="pct"/>
            <w:tcBorders>
              <w:top w:val="nil"/>
              <w:left w:val="nil"/>
              <w:bottom w:val="nil"/>
              <w:right w:val="nil"/>
            </w:tcBorders>
            <w:shd w:val="clear" w:color="000000" w:fill="FFFFFF"/>
            <w:noWrap/>
            <w:vAlign w:val="center"/>
            <w:hideMark/>
          </w:tcPr>
          <w:p w14:paraId="0D5F1421"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7" w:type="pct"/>
            <w:tcBorders>
              <w:top w:val="nil"/>
              <w:left w:val="nil"/>
              <w:bottom w:val="nil"/>
              <w:right w:val="nil"/>
            </w:tcBorders>
            <w:shd w:val="clear" w:color="000000" w:fill="FFFFFF"/>
            <w:noWrap/>
            <w:vAlign w:val="center"/>
            <w:hideMark/>
          </w:tcPr>
          <w:p w14:paraId="1393FE56" w14:textId="2D8252F5"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10</w:t>
            </w:r>
          </w:p>
        </w:tc>
        <w:tc>
          <w:tcPr>
            <w:tcW w:w="737" w:type="pct"/>
            <w:tcBorders>
              <w:top w:val="nil"/>
              <w:left w:val="nil"/>
              <w:bottom w:val="nil"/>
              <w:right w:val="nil"/>
            </w:tcBorders>
            <w:shd w:val="clear" w:color="000000" w:fill="FFFFFF"/>
            <w:noWrap/>
            <w:vAlign w:val="center"/>
            <w:hideMark/>
          </w:tcPr>
          <w:p w14:paraId="2F90D7E3" w14:textId="76EF47B3"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0.4</w:t>
            </w:r>
          </w:p>
        </w:tc>
      </w:tr>
      <w:tr w:rsidR="003B54EA" w:rsidRPr="00673C1F" w14:paraId="1726EF83" w14:textId="77777777" w:rsidTr="003B54EA">
        <w:trPr>
          <w:trHeight w:hRule="exact" w:val="225"/>
        </w:trPr>
        <w:tc>
          <w:tcPr>
            <w:tcW w:w="1993" w:type="pct"/>
            <w:tcBorders>
              <w:top w:val="nil"/>
              <w:left w:val="nil"/>
              <w:bottom w:val="nil"/>
              <w:right w:val="nil"/>
            </w:tcBorders>
            <w:shd w:val="clear" w:color="000000" w:fill="FFFFFF"/>
            <w:noWrap/>
            <w:vAlign w:val="center"/>
            <w:hideMark/>
          </w:tcPr>
          <w:p w14:paraId="1E100366" w14:textId="77777777" w:rsidR="003B54EA" w:rsidRPr="00673C1F" w:rsidRDefault="003B54EA" w:rsidP="003B54EA">
            <w:pPr>
              <w:spacing w:before="0" w:after="0" w:line="240" w:lineRule="auto"/>
              <w:ind w:left="170"/>
              <w:rPr>
                <w:rFonts w:ascii="Arial" w:hAnsi="Arial" w:cs="Arial"/>
                <w:sz w:val="16"/>
                <w:szCs w:val="16"/>
              </w:rPr>
            </w:pPr>
            <w:r w:rsidRPr="00673C1F">
              <w:rPr>
                <w:rFonts w:ascii="Arial" w:hAnsi="Arial" w:cs="Arial"/>
                <w:sz w:val="16"/>
                <w:szCs w:val="16"/>
              </w:rPr>
              <w:t>Spirits</w:t>
            </w:r>
          </w:p>
        </w:tc>
        <w:tc>
          <w:tcPr>
            <w:tcW w:w="737" w:type="pct"/>
            <w:tcBorders>
              <w:top w:val="nil"/>
              <w:left w:val="nil"/>
              <w:bottom w:val="nil"/>
              <w:right w:val="nil"/>
            </w:tcBorders>
            <w:shd w:val="clear" w:color="000000" w:fill="FFFFFF"/>
            <w:noWrap/>
            <w:vAlign w:val="center"/>
            <w:hideMark/>
          </w:tcPr>
          <w:p w14:paraId="675F1627"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3,400</w:t>
            </w:r>
          </w:p>
        </w:tc>
        <w:tc>
          <w:tcPr>
            <w:tcW w:w="737" w:type="pct"/>
            <w:tcBorders>
              <w:top w:val="nil"/>
              <w:left w:val="nil"/>
              <w:bottom w:val="nil"/>
              <w:right w:val="nil"/>
            </w:tcBorders>
            <w:shd w:val="clear" w:color="000000" w:fill="E6F2FF"/>
            <w:noWrap/>
            <w:vAlign w:val="center"/>
            <w:hideMark/>
          </w:tcPr>
          <w:p w14:paraId="45E1B58D"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3,370</w:t>
            </w:r>
          </w:p>
        </w:tc>
        <w:tc>
          <w:tcPr>
            <w:tcW w:w="58" w:type="pct"/>
            <w:tcBorders>
              <w:top w:val="nil"/>
              <w:left w:val="nil"/>
              <w:bottom w:val="nil"/>
              <w:right w:val="nil"/>
            </w:tcBorders>
            <w:shd w:val="clear" w:color="000000" w:fill="FFFFFF"/>
            <w:noWrap/>
            <w:vAlign w:val="center"/>
            <w:hideMark/>
          </w:tcPr>
          <w:p w14:paraId="7EFEC4D3"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7" w:type="pct"/>
            <w:tcBorders>
              <w:top w:val="nil"/>
              <w:left w:val="nil"/>
              <w:bottom w:val="nil"/>
              <w:right w:val="nil"/>
            </w:tcBorders>
            <w:shd w:val="clear" w:color="000000" w:fill="FFFFFF"/>
            <w:noWrap/>
            <w:vAlign w:val="center"/>
            <w:hideMark/>
          </w:tcPr>
          <w:p w14:paraId="0ED1D45B" w14:textId="61EA290B"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30</w:t>
            </w:r>
          </w:p>
        </w:tc>
        <w:tc>
          <w:tcPr>
            <w:tcW w:w="737" w:type="pct"/>
            <w:tcBorders>
              <w:top w:val="nil"/>
              <w:left w:val="nil"/>
              <w:bottom w:val="nil"/>
              <w:right w:val="nil"/>
            </w:tcBorders>
            <w:shd w:val="clear" w:color="000000" w:fill="FFFFFF"/>
            <w:noWrap/>
            <w:vAlign w:val="center"/>
            <w:hideMark/>
          </w:tcPr>
          <w:p w14:paraId="22CC6AB9" w14:textId="722D2C16"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0.9</w:t>
            </w:r>
          </w:p>
        </w:tc>
      </w:tr>
      <w:tr w:rsidR="003B54EA" w:rsidRPr="00673C1F" w14:paraId="5F42811E" w14:textId="77777777" w:rsidTr="003B54EA">
        <w:trPr>
          <w:trHeight w:hRule="exact" w:val="225"/>
        </w:trPr>
        <w:tc>
          <w:tcPr>
            <w:tcW w:w="1993" w:type="pct"/>
            <w:tcBorders>
              <w:top w:val="nil"/>
              <w:left w:val="nil"/>
              <w:bottom w:val="nil"/>
              <w:right w:val="nil"/>
            </w:tcBorders>
            <w:shd w:val="clear" w:color="000000" w:fill="FFFFFF"/>
            <w:noWrap/>
            <w:vAlign w:val="center"/>
            <w:hideMark/>
          </w:tcPr>
          <w:p w14:paraId="4BBF1FD3" w14:textId="77777777" w:rsidR="003B54EA" w:rsidRPr="00673C1F" w:rsidRDefault="003B54EA" w:rsidP="003B54EA">
            <w:pPr>
              <w:spacing w:before="0" w:after="0" w:line="240" w:lineRule="auto"/>
              <w:ind w:left="170"/>
              <w:rPr>
                <w:rFonts w:ascii="Arial" w:hAnsi="Arial" w:cs="Arial"/>
                <w:sz w:val="16"/>
                <w:szCs w:val="16"/>
              </w:rPr>
            </w:pPr>
            <w:r w:rsidRPr="00673C1F">
              <w:rPr>
                <w:rFonts w:ascii="Arial" w:hAnsi="Arial" w:cs="Arial"/>
                <w:sz w:val="16"/>
                <w:szCs w:val="16"/>
              </w:rPr>
              <w:t>Other alcoholic beverages(a)</w:t>
            </w:r>
          </w:p>
        </w:tc>
        <w:tc>
          <w:tcPr>
            <w:tcW w:w="737" w:type="pct"/>
            <w:tcBorders>
              <w:top w:val="nil"/>
              <w:left w:val="nil"/>
              <w:bottom w:val="nil"/>
              <w:right w:val="nil"/>
            </w:tcBorders>
            <w:shd w:val="clear" w:color="000000" w:fill="FFFFFF"/>
            <w:noWrap/>
            <w:vAlign w:val="center"/>
            <w:hideMark/>
          </w:tcPr>
          <w:p w14:paraId="7E34B412"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1,680</w:t>
            </w:r>
          </w:p>
        </w:tc>
        <w:tc>
          <w:tcPr>
            <w:tcW w:w="737" w:type="pct"/>
            <w:tcBorders>
              <w:top w:val="nil"/>
              <w:left w:val="nil"/>
              <w:bottom w:val="nil"/>
              <w:right w:val="nil"/>
            </w:tcBorders>
            <w:shd w:val="clear" w:color="000000" w:fill="E6F2FF"/>
            <w:noWrap/>
            <w:vAlign w:val="center"/>
            <w:hideMark/>
          </w:tcPr>
          <w:p w14:paraId="46ED0F40"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1,680</w:t>
            </w:r>
          </w:p>
        </w:tc>
        <w:tc>
          <w:tcPr>
            <w:tcW w:w="58" w:type="pct"/>
            <w:tcBorders>
              <w:top w:val="nil"/>
              <w:left w:val="nil"/>
              <w:bottom w:val="nil"/>
              <w:right w:val="nil"/>
            </w:tcBorders>
            <w:shd w:val="clear" w:color="000000" w:fill="FFFFFF"/>
            <w:noWrap/>
            <w:vAlign w:val="center"/>
            <w:hideMark/>
          </w:tcPr>
          <w:p w14:paraId="0F6ED5B5"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7" w:type="pct"/>
            <w:tcBorders>
              <w:top w:val="nil"/>
              <w:left w:val="nil"/>
              <w:bottom w:val="nil"/>
              <w:right w:val="nil"/>
            </w:tcBorders>
            <w:shd w:val="clear" w:color="000000" w:fill="FFFFFF"/>
            <w:noWrap/>
            <w:vAlign w:val="center"/>
            <w:hideMark/>
          </w:tcPr>
          <w:p w14:paraId="2A0930DC"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0</w:t>
            </w:r>
          </w:p>
        </w:tc>
        <w:tc>
          <w:tcPr>
            <w:tcW w:w="737" w:type="pct"/>
            <w:tcBorders>
              <w:top w:val="nil"/>
              <w:left w:val="nil"/>
              <w:bottom w:val="nil"/>
              <w:right w:val="nil"/>
            </w:tcBorders>
            <w:shd w:val="clear" w:color="000000" w:fill="FFFFFF"/>
            <w:noWrap/>
            <w:vAlign w:val="center"/>
            <w:hideMark/>
          </w:tcPr>
          <w:p w14:paraId="3DA432ED"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0.0</w:t>
            </w:r>
          </w:p>
        </w:tc>
      </w:tr>
      <w:tr w:rsidR="003B54EA" w:rsidRPr="00673C1F" w14:paraId="6BC5EC17" w14:textId="77777777" w:rsidTr="003B54EA">
        <w:trPr>
          <w:trHeight w:hRule="exact" w:val="225"/>
        </w:trPr>
        <w:tc>
          <w:tcPr>
            <w:tcW w:w="1993" w:type="pct"/>
            <w:tcBorders>
              <w:top w:val="nil"/>
              <w:left w:val="nil"/>
              <w:bottom w:val="nil"/>
              <w:right w:val="nil"/>
            </w:tcBorders>
            <w:shd w:val="clear" w:color="000000" w:fill="FFFFFF"/>
            <w:noWrap/>
            <w:vAlign w:val="center"/>
            <w:hideMark/>
          </w:tcPr>
          <w:p w14:paraId="15603FA2" w14:textId="77777777" w:rsidR="003B54EA" w:rsidRPr="00673C1F" w:rsidRDefault="003B54EA" w:rsidP="003B54EA">
            <w:pPr>
              <w:spacing w:before="0" w:after="0" w:line="240" w:lineRule="auto"/>
              <w:ind w:left="170"/>
              <w:rPr>
                <w:rFonts w:ascii="Arial" w:hAnsi="Arial" w:cs="Arial"/>
                <w:sz w:val="16"/>
                <w:szCs w:val="16"/>
              </w:rPr>
            </w:pPr>
            <w:r w:rsidRPr="00673C1F">
              <w:rPr>
                <w:rFonts w:ascii="Arial" w:hAnsi="Arial" w:cs="Arial"/>
                <w:sz w:val="16"/>
                <w:szCs w:val="16"/>
              </w:rPr>
              <w:t>Other customs duty</w:t>
            </w:r>
          </w:p>
        </w:tc>
        <w:tc>
          <w:tcPr>
            <w:tcW w:w="737" w:type="pct"/>
            <w:tcBorders>
              <w:top w:val="nil"/>
              <w:left w:val="nil"/>
              <w:bottom w:val="nil"/>
              <w:right w:val="nil"/>
            </w:tcBorders>
            <w:shd w:val="clear" w:color="000000" w:fill="FFFFFF"/>
            <w:noWrap/>
            <w:vAlign w:val="center"/>
            <w:hideMark/>
          </w:tcPr>
          <w:p w14:paraId="2875D443"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7" w:type="pct"/>
            <w:tcBorders>
              <w:top w:val="nil"/>
              <w:left w:val="nil"/>
              <w:bottom w:val="nil"/>
              <w:right w:val="nil"/>
            </w:tcBorders>
            <w:shd w:val="clear" w:color="000000" w:fill="E6F2FF"/>
            <w:noWrap/>
            <w:vAlign w:val="center"/>
            <w:hideMark/>
          </w:tcPr>
          <w:p w14:paraId="4B5CE0D6"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58" w:type="pct"/>
            <w:tcBorders>
              <w:top w:val="nil"/>
              <w:left w:val="nil"/>
              <w:bottom w:val="nil"/>
              <w:right w:val="nil"/>
            </w:tcBorders>
            <w:shd w:val="clear" w:color="000000" w:fill="FFFFFF"/>
            <w:noWrap/>
            <w:vAlign w:val="center"/>
            <w:hideMark/>
          </w:tcPr>
          <w:p w14:paraId="452A4B0F"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7" w:type="pct"/>
            <w:tcBorders>
              <w:top w:val="nil"/>
              <w:left w:val="nil"/>
              <w:bottom w:val="nil"/>
              <w:right w:val="nil"/>
            </w:tcBorders>
            <w:shd w:val="clear" w:color="000000" w:fill="FFFFFF"/>
            <w:noWrap/>
            <w:vAlign w:val="center"/>
            <w:hideMark/>
          </w:tcPr>
          <w:p w14:paraId="028E45B6"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7" w:type="pct"/>
            <w:tcBorders>
              <w:top w:val="nil"/>
              <w:left w:val="nil"/>
              <w:bottom w:val="nil"/>
              <w:right w:val="nil"/>
            </w:tcBorders>
            <w:shd w:val="clear" w:color="000000" w:fill="FFFFFF"/>
            <w:noWrap/>
            <w:vAlign w:val="center"/>
            <w:hideMark/>
          </w:tcPr>
          <w:p w14:paraId="271500A1"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r>
      <w:tr w:rsidR="003B54EA" w:rsidRPr="00673C1F" w14:paraId="1413FD3C" w14:textId="77777777" w:rsidTr="003B54EA">
        <w:trPr>
          <w:trHeight w:hRule="exact" w:val="225"/>
        </w:trPr>
        <w:tc>
          <w:tcPr>
            <w:tcW w:w="1993" w:type="pct"/>
            <w:tcBorders>
              <w:top w:val="nil"/>
              <w:left w:val="nil"/>
              <w:bottom w:val="nil"/>
              <w:right w:val="nil"/>
            </w:tcBorders>
            <w:shd w:val="clear" w:color="000000" w:fill="FFFFFF"/>
            <w:noWrap/>
            <w:vAlign w:val="bottom"/>
            <w:hideMark/>
          </w:tcPr>
          <w:p w14:paraId="22FF29C4" w14:textId="77777777" w:rsidR="003B54EA" w:rsidRPr="00673C1F" w:rsidRDefault="003B54EA" w:rsidP="003B54EA">
            <w:pPr>
              <w:spacing w:before="0" w:after="0" w:line="240" w:lineRule="auto"/>
              <w:ind w:left="340"/>
              <w:rPr>
                <w:rFonts w:ascii="Arial" w:hAnsi="Arial" w:cs="Arial"/>
                <w:sz w:val="16"/>
                <w:szCs w:val="16"/>
              </w:rPr>
            </w:pPr>
            <w:r w:rsidRPr="00673C1F">
              <w:rPr>
                <w:rFonts w:ascii="Arial" w:hAnsi="Arial" w:cs="Arial"/>
                <w:sz w:val="16"/>
                <w:szCs w:val="16"/>
              </w:rPr>
              <w:t>Textiles, clothing and footwear</w:t>
            </w:r>
          </w:p>
        </w:tc>
        <w:tc>
          <w:tcPr>
            <w:tcW w:w="737" w:type="pct"/>
            <w:tcBorders>
              <w:top w:val="nil"/>
              <w:left w:val="nil"/>
              <w:bottom w:val="nil"/>
              <w:right w:val="nil"/>
            </w:tcBorders>
            <w:shd w:val="clear" w:color="000000" w:fill="FFFFFF"/>
            <w:noWrap/>
            <w:vAlign w:val="center"/>
            <w:hideMark/>
          </w:tcPr>
          <w:p w14:paraId="31F1FDF9"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180</w:t>
            </w:r>
          </w:p>
        </w:tc>
        <w:tc>
          <w:tcPr>
            <w:tcW w:w="737" w:type="pct"/>
            <w:tcBorders>
              <w:top w:val="nil"/>
              <w:left w:val="nil"/>
              <w:bottom w:val="nil"/>
              <w:right w:val="nil"/>
            </w:tcBorders>
            <w:shd w:val="clear" w:color="000000" w:fill="E6F2FF"/>
            <w:noWrap/>
            <w:vAlign w:val="center"/>
            <w:hideMark/>
          </w:tcPr>
          <w:p w14:paraId="2BA91505"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160</w:t>
            </w:r>
          </w:p>
        </w:tc>
        <w:tc>
          <w:tcPr>
            <w:tcW w:w="58" w:type="pct"/>
            <w:tcBorders>
              <w:top w:val="nil"/>
              <w:left w:val="nil"/>
              <w:bottom w:val="nil"/>
              <w:right w:val="nil"/>
            </w:tcBorders>
            <w:shd w:val="clear" w:color="000000" w:fill="FFFFFF"/>
            <w:noWrap/>
            <w:vAlign w:val="center"/>
            <w:hideMark/>
          </w:tcPr>
          <w:p w14:paraId="1098394F"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7" w:type="pct"/>
            <w:tcBorders>
              <w:top w:val="nil"/>
              <w:left w:val="nil"/>
              <w:bottom w:val="nil"/>
              <w:right w:val="nil"/>
            </w:tcBorders>
            <w:shd w:val="clear" w:color="000000" w:fill="FFFFFF"/>
            <w:noWrap/>
            <w:vAlign w:val="center"/>
            <w:hideMark/>
          </w:tcPr>
          <w:p w14:paraId="3ADB5308" w14:textId="2E4137A7"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20</w:t>
            </w:r>
          </w:p>
        </w:tc>
        <w:tc>
          <w:tcPr>
            <w:tcW w:w="737" w:type="pct"/>
            <w:tcBorders>
              <w:top w:val="nil"/>
              <w:left w:val="nil"/>
              <w:bottom w:val="nil"/>
              <w:right w:val="nil"/>
            </w:tcBorders>
            <w:shd w:val="clear" w:color="000000" w:fill="FFFFFF"/>
            <w:noWrap/>
            <w:vAlign w:val="center"/>
            <w:hideMark/>
          </w:tcPr>
          <w:p w14:paraId="0B0D30C0" w14:textId="16AFBEE0"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11.1</w:t>
            </w:r>
          </w:p>
        </w:tc>
      </w:tr>
      <w:tr w:rsidR="003B54EA" w:rsidRPr="00673C1F" w14:paraId="5830DFD5" w14:textId="77777777" w:rsidTr="003B54EA">
        <w:trPr>
          <w:trHeight w:hRule="exact" w:val="225"/>
        </w:trPr>
        <w:tc>
          <w:tcPr>
            <w:tcW w:w="1993" w:type="pct"/>
            <w:tcBorders>
              <w:top w:val="nil"/>
              <w:left w:val="nil"/>
              <w:bottom w:val="nil"/>
              <w:right w:val="nil"/>
            </w:tcBorders>
            <w:shd w:val="clear" w:color="000000" w:fill="FFFFFF"/>
            <w:noWrap/>
            <w:vAlign w:val="bottom"/>
            <w:hideMark/>
          </w:tcPr>
          <w:p w14:paraId="5DE6A536" w14:textId="77777777" w:rsidR="003B54EA" w:rsidRPr="00673C1F" w:rsidRDefault="003B54EA" w:rsidP="003B54EA">
            <w:pPr>
              <w:spacing w:before="0" w:after="0" w:line="240" w:lineRule="auto"/>
              <w:ind w:left="340"/>
              <w:rPr>
                <w:rFonts w:ascii="Arial" w:hAnsi="Arial" w:cs="Arial"/>
                <w:sz w:val="16"/>
                <w:szCs w:val="16"/>
              </w:rPr>
            </w:pPr>
            <w:r w:rsidRPr="00673C1F">
              <w:rPr>
                <w:rFonts w:ascii="Arial" w:hAnsi="Arial" w:cs="Arial"/>
                <w:sz w:val="16"/>
                <w:szCs w:val="16"/>
              </w:rPr>
              <w:t>Passenger motor vehicles</w:t>
            </w:r>
          </w:p>
        </w:tc>
        <w:tc>
          <w:tcPr>
            <w:tcW w:w="737" w:type="pct"/>
            <w:tcBorders>
              <w:top w:val="nil"/>
              <w:left w:val="nil"/>
              <w:bottom w:val="nil"/>
              <w:right w:val="nil"/>
            </w:tcBorders>
            <w:shd w:val="clear" w:color="000000" w:fill="FFFFFF"/>
            <w:noWrap/>
            <w:vAlign w:val="center"/>
            <w:hideMark/>
          </w:tcPr>
          <w:p w14:paraId="745CEE38"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450</w:t>
            </w:r>
          </w:p>
        </w:tc>
        <w:tc>
          <w:tcPr>
            <w:tcW w:w="737" w:type="pct"/>
            <w:tcBorders>
              <w:top w:val="nil"/>
              <w:left w:val="nil"/>
              <w:bottom w:val="nil"/>
              <w:right w:val="nil"/>
            </w:tcBorders>
            <w:shd w:val="clear" w:color="000000" w:fill="E6F2FF"/>
            <w:noWrap/>
            <w:vAlign w:val="center"/>
            <w:hideMark/>
          </w:tcPr>
          <w:p w14:paraId="2C2BBFE0"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380</w:t>
            </w:r>
          </w:p>
        </w:tc>
        <w:tc>
          <w:tcPr>
            <w:tcW w:w="58" w:type="pct"/>
            <w:tcBorders>
              <w:top w:val="nil"/>
              <w:left w:val="nil"/>
              <w:bottom w:val="nil"/>
              <w:right w:val="nil"/>
            </w:tcBorders>
            <w:shd w:val="clear" w:color="000000" w:fill="FFFFFF"/>
            <w:noWrap/>
            <w:vAlign w:val="center"/>
            <w:hideMark/>
          </w:tcPr>
          <w:p w14:paraId="256CACA6"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7" w:type="pct"/>
            <w:tcBorders>
              <w:top w:val="nil"/>
              <w:left w:val="nil"/>
              <w:bottom w:val="nil"/>
              <w:right w:val="nil"/>
            </w:tcBorders>
            <w:shd w:val="clear" w:color="000000" w:fill="FFFFFF"/>
            <w:noWrap/>
            <w:vAlign w:val="center"/>
            <w:hideMark/>
          </w:tcPr>
          <w:p w14:paraId="55281F97" w14:textId="2CF9E07A"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70</w:t>
            </w:r>
          </w:p>
        </w:tc>
        <w:tc>
          <w:tcPr>
            <w:tcW w:w="737" w:type="pct"/>
            <w:tcBorders>
              <w:top w:val="nil"/>
              <w:left w:val="nil"/>
              <w:bottom w:val="nil"/>
              <w:right w:val="nil"/>
            </w:tcBorders>
            <w:shd w:val="clear" w:color="000000" w:fill="FFFFFF"/>
            <w:noWrap/>
            <w:vAlign w:val="center"/>
            <w:hideMark/>
          </w:tcPr>
          <w:p w14:paraId="7F50C209" w14:textId="7D898160"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15.6</w:t>
            </w:r>
          </w:p>
        </w:tc>
      </w:tr>
      <w:tr w:rsidR="003B54EA" w:rsidRPr="00673C1F" w14:paraId="25CE51CC" w14:textId="77777777" w:rsidTr="003B54EA">
        <w:trPr>
          <w:trHeight w:hRule="exact" w:val="225"/>
        </w:trPr>
        <w:tc>
          <w:tcPr>
            <w:tcW w:w="1993" w:type="pct"/>
            <w:tcBorders>
              <w:top w:val="nil"/>
              <w:left w:val="nil"/>
              <w:bottom w:val="nil"/>
              <w:right w:val="nil"/>
            </w:tcBorders>
            <w:shd w:val="clear" w:color="000000" w:fill="FFFFFF"/>
            <w:noWrap/>
            <w:vAlign w:val="center"/>
            <w:hideMark/>
          </w:tcPr>
          <w:p w14:paraId="6607E54A" w14:textId="77777777" w:rsidR="003B54EA" w:rsidRPr="00673C1F" w:rsidRDefault="003B54EA" w:rsidP="003B54EA">
            <w:pPr>
              <w:spacing w:before="0" w:after="0" w:line="240" w:lineRule="auto"/>
              <w:ind w:left="340"/>
              <w:rPr>
                <w:rFonts w:ascii="Arial" w:hAnsi="Arial" w:cs="Arial"/>
                <w:sz w:val="16"/>
                <w:szCs w:val="16"/>
              </w:rPr>
            </w:pPr>
            <w:r w:rsidRPr="00673C1F">
              <w:rPr>
                <w:rFonts w:ascii="Arial" w:hAnsi="Arial" w:cs="Arial"/>
                <w:sz w:val="16"/>
                <w:szCs w:val="16"/>
              </w:rPr>
              <w:t>Other imports</w:t>
            </w:r>
          </w:p>
        </w:tc>
        <w:tc>
          <w:tcPr>
            <w:tcW w:w="737" w:type="pct"/>
            <w:tcBorders>
              <w:top w:val="nil"/>
              <w:left w:val="nil"/>
              <w:bottom w:val="nil"/>
              <w:right w:val="nil"/>
            </w:tcBorders>
            <w:shd w:val="clear" w:color="000000" w:fill="FFFFFF"/>
            <w:noWrap/>
            <w:vAlign w:val="center"/>
            <w:hideMark/>
          </w:tcPr>
          <w:p w14:paraId="57F42BD6"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1,500</w:t>
            </w:r>
          </w:p>
        </w:tc>
        <w:tc>
          <w:tcPr>
            <w:tcW w:w="737" w:type="pct"/>
            <w:tcBorders>
              <w:top w:val="nil"/>
              <w:left w:val="nil"/>
              <w:bottom w:val="nil"/>
              <w:right w:val="nil"/>
            </w:tcBorders>
            <w:shd w:val="clear" w:color="000000" w:fill="E6F2FF"/>
            <w:noWrap/>
            <w:vAlign w:val="center"/>
            <w:hideMark/>
          </w:tcPr>
          <w:p w14:paraId="4D42966B"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1,490</w:t>
            </w:r>
          </w:p>
        </w:tc>
        <w:tc>
          <w:tcPr>
            <w:tcW w:w="58" w:type="pct"/>
            <w:tcBorders>
              <w:top w:val="nil"/>
              <w:left w:val="nil"/>
              <w:bottom w:val="nil"/>
              <w:right w:val="nil"/>
            </w:tcBorders>
            <w:shd w:val="clear" w:color="000000" w:fill="FFFFFF"/>
            <w:noWrap/>
            <w:vAlign w:val="center"/>
            <w:hideMark/>
          </w:tcPr>
          <w:p w14:paraId="0E91735F"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7" w:type="pct"/>
            <w:tcBorders>
              <w:top w:val="nil"/>
              <w:left w:val="nil"/>
              <w:bottom w:val="nil"/>
              <w:right w:val="nil"/>
            </w:tcBorders>
            <w:shd w:val="clear" w:color="000000" w:fill="FFFFFF"/>
            <w:noWrap/>
            <w:vAlign w:val="center"/>
            <w:hideMark/>
          </w:tcPr>
          <w:p w14:paraId="7D03B795" w14:textId="58A3141D"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10</w:t>
            </w:r>
          </w:p>
        </w:tc>
        <w:tc>
          <w:tcPr>
            <w:tcW w:w="737" w:type="pct"/>
            <w:tcBorders>
              <w:top w:val="nil"/>
              <w:left w:val="nil"/>
              <w:bottom w:val="nil"/>
              <w:right w:val="nil"/>
            </w:tcBorders>
            <w:shd w:val="clear" w:color="000000" w:fill="FFFFFF"/>
            <w:noWrap/>
            <w:vAlign w:val="center"/>
            <w:hideMark/>
          </w:tcPr>
          <w:p w14:paraId="12A6D88D" w14:textId="6BE20103"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0.7</w:t>
            </w:r>
          </w:p>
        </w:tc>
      </w:tr>
      <w:tr w:rsidR="003B54EA" w:rsidRPr="00673C1F" w14:paraId="18D55B1A" w14:textId="77777777" w:rsidTr="003B54EA">
        <w:trPr>
          <w:trHeight w:hRule="exact" w:val="225"/>
        </w:trPr>
        <w:tc>
          <w:tcPr>
            <w:tcW w:w="1993" w:type="pct"/>
            <w:tcBorders>
              <w:top w:val="nil"/>
              <w:left w:val="nil"/>
              <w:bottom w:val="nil"/>
              <w:right w:val="nil"/>
            </w:tcBorders>
            <w:shd w:val="clear" w:color="000000" w:fill="FFFFFF"/>
            <w:noWrap/>
            <w:vAlign w:val="bottom"/>
            <w:hideMark/>
          </w:tcPr>
          <w:p w14:paraId="7724B7E7" w14:textId="77777777" w:rsidR="003B54EA" w:rsidRPr="00673C1F" w:rsidRDefault="003B54EA" w:rsidP="003B54EA">
            <w:pPr>
              <w:spacing w:before="0" w:after="0" w:line="240" w:lineRule="auto"/>
              <w:ind w:left="170"/>
              <w:rPr>
                <w:rFonts w:ascii="Arial" w:hAnsi="Arial" w:cs="Arial"/>
                <w:i/>
                <w:iCs/>
                <w:sz w:val="16"/>
                <w:szCs w:val="16"/>
              </w:rPr>
            </w:pPr>
            <w:r w:rsidRPr="00673C1F">
              <w:rPr>
                <w:rFonts w:ascii="Arial" w:hAnsi="Arial" w:cs="Arial"/>
                <w:i/>
                <w:iCs/>
                <w:sz w:val="16"/>
                <w:szCs w:val="16"/>
              </w:rPr>
              <w:t>less:</w:t>
            </w:r>
            <w:r w:rsidRPr="00673C1F">
              <w:rPr>
                <w:rFonts w:ascii="Arial" w:hAnsi="Arial" w:cs="Arial"/>
                <w:sz w:val="16"/>
                <w:szCs w:val="16"/>
              </w:rPr>
              <w:t xml:space="preserve"> Refunds and drawbacks</w:t>
            </w:r>
          </w:p>
        </w:tc>
        <w:tc>
          <w:tcPr>
            <w:tcW w:w="737" w:type="pct"/>
            <w:tcBorders>
              <w:top w:val="nil"/>
              <w:left w:val="nil"/>
              <w:bottom w:val="single" w:sz="4" w:space="0" w:color="293F5B"/>
              <w:right w:val="nil"/>
            </w:tcBorders>
            <w:shd w:val="clear" w:color="000000" w:fill="FFFFFF"/>
            <w:noWrap/>
            <w:vAlign w:val="center"/>
            <w:hideMark/>
          </w:tcPr>
          <w:p w14:paraId="56B00CFB"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700</w:t>
            </w:r>
          </w:p>
        </w:tc>
        <w:tc>
          <w:tcPr>
            <w:tcW w:w="737" w:type="pct"/>
            <w:tcBorders>
              <w:top w:val="nil"/>
              <w:left w:val="nil"/>
              <w:bottom w:val="single" w:sz="4" w:space="0" w:color="293F5B"/>
              <w:right w:val="nil"/>
            </w:tcBorders>
            <w:shd w:val="clear" w:color="000000" w:fill="E6F2FF"/>
            <w:noWrap/>
            <w:vAlign w:val="center"/>
            <w:hideMark/>
          </w:tcPr>
          <w:p w14:paraId="3AEEE0F6"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850</w:t>
            </w:r>
          </w:p>
        </w:tc>
        <w:tc>
          <w:tcPr>
            <w:tcW w:w="58" w:type="pct"/>
            <w:tcBorders>
              <w:top w:val="nil"/>
              <w:left w:val="nil"/>
              <w:bottom w:val="nil"/>
              <w:right w:val="nil"/>
            </w:tcBorders>
            <w:shd w:val="clear" w:color="000000" w:fill="FFFFFF"/>
            <w:noWrap/>
            <w:vAlign w:val="center"/>
            <w:hideMark/>
          </w:tcPr>
          <w:p w14:paraId="793906CB"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7" w:type="pct"/>
            <w:tcBorders>
              <w:top w:val="nil"/>
              <w:left w:val="nil"/>
              <w:bottom w:val="single" w:sz="4" w:space="0" w:color="293F5B"/>
              <w:right w:val="nil"/>
            </w:tcBorders>
            <w:shd w:val="clear" w:color="000000" w:fill="FFFFFF"/>
            <w:noWrap/>
            <w:vAlign w:val="center"/>
            <w:hideMark/>
          </w:tcPr>
          <w:p w14:paraId="1BC69A40"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150</w:t>
            </w:r>
          </w:p>
        </w:tc>
        <w:tc>
          <w:tcPr>
            <w:tcW w:w="737" w:type="pct"/>
            <w:tcBorders>
              <w:top w:val="nil"/>
              <w:left w:val="nil"/>
              <w:bottom w:val="single" w:sz="4" w:space="0" w:color="293F5B"/>
              <w:right w:val="nil"/>
            </w:tcBorders>
            <w:shd w:val="clear" w:color="000000" w:fill="FFFFFF"/>
            <w:noWrap/>
            <w:vAlign w:val="center"/>
            <w:hideMark/>
          </w:tcPr>
          <w:p w14:paraId="2D185082"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21.4</w:t>
            </w:r>
          </w:p>
        </w:tc>
      </w:tr>
      <w:tr w:rsidR="003B54EA" w:rsidRPr="00673C1F" w14:paraId="5C89B3F5" w14:textId="77777777" w:rsidTr="003B54EA">
        <w:trPr>
          <w:trHeight w:hRule="exact" w:val="225"/>
        </w:trPr>
        <w:tc>
          <w:tcPr>
            <w:tcW w:w="1993" w:type="pct"/>
            <w:tcBorders>
              <w:top w:val="nil"/>
              <w:left w:val="nil"/>
              <w:bottom w:val="nil"/>
              <w:right w:val="nil"/>
            </w:tcBorders>
            <w:shd w:val="clear" w:color="000000" w:fill="FFFFFF"/>
            <w:noWrap/>
            <w:vAlign w:val="center"/>
            <w:hideMark/>
          </w:tcPr>
          <w:p w14:paraId="4C14C00C"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Total excise and customs duty</w:t>
            </w:r>
          </w:p>
        </w:tc>
        <w:tc>
          <w:tcPr>
            <w:tcW w:w="737" w:type="pct"/>
            <w:tcBorders>
              <w:top w:val="nil"/>
              <w:left w:val="nil"/>
              <w:bottom w:val="nil"/>
              <w:right w:val="nil"/>
            </w:tcBorders>
            <w:shd w:val="clear" w:color="000000" w:fill="FFFFFF"/>
            <w:noWrap/>
            <w:vAlign w:val="center"/>
            <w:hideMark/>
          </w:tcPr>
          <w:p w14:paraId="531870C3"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47,390</w:t>
            </w:r>
          </w:p>
        </w:tc>
        <w:tc>
          <w:tcPr>
            <w:tcW w:w="737" w:type="pct"/>
            <w:tcBorders>
              <w:top w:val="nil"/>
              <w:left w:val="nil"/>
              <w:bottom w:val="nil"/>
              <w:right w:val="nil"/>
            </w:tcBorders>
            <w:shd w:val="clear" w:color="000000" w:fill="E6F2FF"/>
            <w:noWrap/>
            <w:vAlign w:val="center"/>
            <w:hideMark/>
          </w:tcPr>
          <w:p w14:paraId="6BAAD1F6"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44,660</w:t>
            </w:r>
          </w:p>
        </w:tc>
        <w:tc>
          <w:tcPr>
            <w:tcW w:w="58" w:type="pct"/>
            <w:tcBorders>
              <w:top w:val="nil"/>
              <w:left w:val="nil"/>
              <w:bottom w:val="nil"/>
              <w:right w:val="nil"/>
            </w:tcBorders>
            <w:shd w:val="clear" w:color="000000" w:fill="FFFFFF"/>
            <w:noWrap/>
            <w:vAlign w:val="center"/>
            <w:hideMark/>
          </w:tcPr>
          <w:p w14:paraId="1345C481"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7" w:type="pct"/>
            <w:tcBorders>
              <w:top w:val="nil"/>
              <w:left w:val="nil"/>
              <w:bottom w:val="nil"/>
              <w:right w:val="nil"/>
            </w:tcBorders>
            <w:shd w:val="clear" w:color="000000" w:fill="FFFFFF"/>
            <w:noWrap/>
            <w:vAlign w:val="center"/>
            <w:hideMark/>
          </w:tcPr>
          <w:p w14:paraId="76903F55" w14:textId="3B59A037"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2,730</w:t>
            </w:r>
          </w:p>
        </w:tc>
        <w:tc>
          <w:tcPr>
            <w:tcW w:w="737" w:type="pct"/>
            <w:tcBorders>
              <w:top w:val="nil"/>
              <w:left w:val="nil"/>
              <w:bottom w:val="nil"/>
              <w:right w:val="nil"/>
            </w:tcBorders>
            <w:shd w:val="clear" w:color="000000" w:fill="FFFFFF"/>
            <w:noWrap/>
            <w:vAlign w:val="center"/>
            <w:hideMark/>
          </w:tcPr>
          <w:p w14:paraId="16DAA21B" w14:textId="34688B5F"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5.8</w:t>
            </w:r>
          </w:p>
        </w:tc>
      </w:tr>
      <w:tr w:rsidR="003B54EA" w:rsidRPr="00673C1F" w14:paraId="0D1A2A10" w14:textId="77777777" w:rsidTr="003B54EA">
        <w:trPr>
          <w:trHeight w:hRule="exact" w:val="225"/>
        </w:trPr>
        <w:tc>
          <w:tcPr>
            <w:tcW w:w="1993" w:type="pct"/>
            <w:tcBorders>
              <w:top w:val="nil"/>
              <w:left w:val="nil"/>
              <w:bottom w:val="nil"/>
              <w:right w:val="nil"/>
            </w:tcBorders>
            <w:shd w:val="clear" w:color="000000" w:fill="FFFFFF"/>
            <w:noWrap/>
            <w:vAlign w:val="center"/>
            <w:hideMark/>
          </w:tcPr>
          <w:p w14:paraId="29C9A927"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Major bank levy</w:t>
            </w:r>
          </w:p>
        </w:tc>
        <w:tc>
          <w:tcPr>
            <w:tcW w:w="737" w:type="pct"/>
            <w:tcBorders>
              <w:top w:val="nil"/>
              <w:left w:val="nil"/>
              <w:bottom w:val="nil"/>
              <w:right w:val="nil"/>
            </w:tcBorders>
            <w:shd w:val="clear" w:color="000000" w:fill="FFFFFF"/>
            <w:noWrap/>
            <w:vAlign w:val="center"/>
            <w:hideMark/>
          </w:tcPr>
          <w:p w14:paraId="386B0D44"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1,620</w:t>
            </w:r>
          </w:p>
        </w:tc>
        <w:tc>
          <w:tcPr>
            <w:tcW w:w="737" w:type="pct"/>
            <w:tcBorders>
              <w:top w:val="nil"/>
              <w:left w:val="nil"/>
              <w:bottom w:val="nil"/>
              <w:right w:val="nil"/>
            </w:tcBorders>
            <w:shd w:val="clear" w:color="000000" w:fill="E6F2FF"/>
            <w:noWrap/>
            <w:vAlign w:val="center"/>
            <w:hideMark/>
          </w:tcPr>
          <w:p w14:paraId="7DE8CA35"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1,660</w:t>
            </w:r>
          </w:p>
        </w:tc>
        <w:tc>
          <w:tcPr>
            <w:tcW w:w="58" w:type="pct"/>
            <w:tcBorders>
              <w:top w:val="nil"/>
              <w:left w:val="nil"/>
              <w:bottom w:val="nil"/>
              <w:right w:val="nil"/>
            </w:tcBorders>
            <w:shd w:val="clear" w:color="000000" w:fill="FFFFFF"/>
            <w:noWrap/>
            <w:vAlign w:val="center"/>
            <w:hideMark/>
          </w:tcPr>
          <w:p w14:paraId="66A251A8"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737" w:type="pct"/>
            <w:tcBorders>
              <w:top w:val="nil"/>
              <w:left w:val="nil"/>
              <w:bottom w:val="nil"/>
              <w:right w:val="nil"/>
            </w:tcBorders>
            <w:shd w:val="clear" w:color="000000" w:fill="FFFFFF"/>
            <w:noWrap/>
            <w:vAlign w:val="center"/>
            <w:hideMark/>
          </w:tcPr>
          <w:p w14:paraId="7C23845A"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40</w:t>
            </w:r>
          </w:p>
        </w:tc>
        <w:tc>
          <w:tcPr>
            <w:tcW w:w="737" w:type="pct"/>
            <w:tcBorders>
              <w:top w:val="nil"/>
              <w:left w:val="nil"/>
              <w:bottom w:val="nil"/>
              <w:right w:val="nil"/>
            </w:tcBorders>
            <w:shd w:val="clear" w:color="000000" w:fill="FFFFFF"/>
            <w:noWrap/>
            <w:vAlign w:val="center"/>
            <w:hideMark/>
          </w:tcPr>
          <w:p w14:paraId="7999673B"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2.5</w:t>
            </w:r>
          </w:p>
        </w:tc>
      </w:tr>
      <w:tr w:rsidR="003B54EA" w:rsidRPr="00673C1F" w14:paraId="43272327" w14:textId="77777777" w:rsidTr="003B54EA">
        <w:trPr>
          <w:trHeight w:hRule="exact" w:val="225"/>
        </w:trPr>
        <w:tc>
          <w:tcPr>
            <w:tcW w:w="1993" w:type="pct"/>
            <w:tcBorders>
              <w:top w:val="nil"/>
              <w:left w:val="nil"/>
              <w:bottom w:val="nil"/>
              <w:right w:val="nil"/>
            </w:tcBorders>
            <w:shd w:val="clear" w:color="000000" w:fill="FFFFFF"/>
            <w:noWrap/>
            <w:vAlign w:val="center"/>
            <w:hideMark/>
          </w:tcPr>
          <w:p w14:paraId="3FCC6361"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Agricultural levies</w:t>
            </w:r>
          </w:p>
        </w:tc>
        <w:tc>
          <w:tcPr>
            <w:tcW w:w="737" w:type="pct"/>
            <w:tcBorders>
              <w:top w:val="nil"/>
              <w:left w:val="nil"/>
              <w:bottom w:val="nil"/>
              <w:right w:val="nil"/>
            </w:tcBorders>
            <w:shd w:val="clear" w:color="000000" w:fill="FFFFFF"/>
            <w:noWrap/>
            <w:vAlign w:val="center"/>
            <w:hideMark/>
          </w:tcPr>
          <w:p w14:paraId="1F0D6997"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598</w:t>
            </w:r>
          </w:p>
        </w:tc>
        <w:tc>
          <w:tcPr>
            <w:tcW w:w="737" w:type="pct"/>
            <w:tcBorders>
              <w:top w:val="nil"/>
              <w:left w:val="nil"/>
              <w:bottom w:val="nil"/>
              <w:right w:val="nil"/>
            </w:tcBorders>
            <w:shd w:val="clear" w:color="000000" w:fill="E6F2FF"/>
            <w:noWrap/>
            <w:vAlign w:val="center"/>
            <w:hideMark/>
          </w:tcPr>
          <w:p w14:paraId="6098882A"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618</w:t>
            </w:r>
          </w:p>
        </w:tc>
        <w:tc>
          <w:tcPr>
            <w:tcW w:w="58" w:type="pct"/>
            <w:tcBorders>
              <w:top w:val="nil"/>
              <w:left w:val="nil"/>
              <w:bottom w:val="nil"/>
              <w:right w:val="nil"/>
            </w:tcBorders>
            <w:shd w:val="clear" w:color="000000" w:fill="FFFFFF"/>
            <w:noWrap/>
            <w:vAlign w:val="center"/>
            <w:hideMark/>
          </w:tcPr>
          <w:p w14:paraId="56ACA9F1"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7" w:type="pct"/>
            <w:tcBorders>
              <w:top w:val="nil"/>
              <w:left w:val="nil"/>
              <w:bottom w:val="nil"/>
              <w:right w:val="nil"/>
            </w:tcBorders>
            <w:shd w:val="clear" w:color="000000" w:fill="FFFFFF"/>
            <w:noWrap/>
            <w:vAlign w:val="center"/>
            <w:hideMark/>
          </w:tcPr>
          <w:p w14:paraId="390077F7"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19</w:t>
            </w:r>
          </w:p>
        </w:tc>
        <w:tc>
          <w:tcPr>
            <w:tcW w:w="737" w:type="pct"/>
            <w:tcBorders>
              <w:top w:val="nil"/>
              <w:left w:val="nil"/>
              <w:bottom w:val="nil"/>
              <w:right w:val="nil"/>
            </w:tcBorders>
            <w:shd w:val="clear" w:color="000000" w:fill="FFFFFF"/>
            <w:noWrap/>
            <w:vAlign w:val="center"/>
            <w:hideMark/>
          </w:tcPr>
          <w:p w14:paraId="62070A68"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3.3</w:t>
            </w:r>
          </w:p>
        </w:tc>
      </w:tr>
      <w:tr w:rsidR="003B54EA" w:rsidRPr="00673C1F" w14:paraId="540160DC" w14:textId="77777777" w:rsidTr="003B54EA">
        <w:trPr>
          <w:trHeight w:hRule="exact" w:val="225"/>
        </w:trPr>
        <w:tc>
          <w:tcPr>
            <w:tcW w:w="1993" w:type="pct"/>
            <w:tcBorders>
              <w:top w:val="nil"/>
              <w:left w:val="nil"/>
              <w:bottom w:val="nil"/>
              <w:right w:val="nil"/>
            </w:tcBorders>
            <w:shd w:val="clear" w:color="000000" w:fill="FFFFFF"/>
            <w:noWrap/>
            <w:vAlign w:val="center"/>
            <w:hideMark/>
          </w:tcPr>
          <w:p w14:paraId="4F7C742C"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Visa application charges</w:t>
            </w:r>
          </w:p>
        </w:tc>
        <w:tc>
          <w:tcPr>
            <w:tcW w:w="737" w:type="pct"/>
            <w:tcBorders>
              <w:top w:val="nil"/>
              <w:left w:val="nil"/>
              <w:bottom w:val="nil"/>
              <w:right w:val="nil"/>
            </w:tcBorders>
            <w:shd w:val="clear" w:color="000000" w:fill="FFFFFF"/>
            <w:noWrap/>
            <w:vAlign w:val="center"/>
            <w:hideMark/>
          </w:tcPr>
          <w:p w14:paraId="74819020"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3,232</w:t>
            </w:r>
          </w:p>
        </w:tc>
        <w:tc>
          <w:tcPr>
            <w:tcW w:w="737" w:type="pct"/>
            <w:tcBorders>
              <w:top w:val="nil"/>
              <w:left w:val="nil"/>
              <w:bottom w:val="nil"/>
              <w:right w:val="nil"/>
            </w:tcBorders>
            <w:shd w:val="clear" w:color="000000" w:fill="E6F2FF"/>
            <w:noWrap/>
            <w:vAlign w:val="center"/>
            <w:hideMark/>
          </w:tcPr>
          <w:p w14:paraId="29831B28"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3,290</w:t>
            </w:r>
          </w:p>
        </w:tc>
        <w:tc>
          <w:tcPr>
            <w:tcW w:w="58" w:type="pct"/>
            <w:tcBorders>
              <w:top w:val="nil"/>
              <w:left w:val="nil"/>
              <w:bottom w:val="nil"/>
              <w:right w:val="nil"/>
            </w:tcBorders>
            <w:shd w:val="clear" w:color="000000" w:fill="FFFFFF"/>
            <w:noWrap/>
            <w:vAlign w:val="center"/>
            <w:hideMark/>
          </w:tcPr>
          <w:p w14:paraId="25B58701"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 </w:t>
            </w:r>
          </w:p>
        </w:tc>
        <w:tc>
          <w:tcPr>
            <w:tcW w:w="737" w:type="pct"/>
            <w:tcBorders>
              <w:top w:val="nil"/>
              <w:left w:val="nil"/>
              <w:bottom w:val="nil"/>
              <w:right w:val="nil"/>
            </w:tcBorders>
            <w:shd w:val="clear" w:color="000000" w:fill="FFFFFF"/>
            <w:noWrap/>
            <w:vAlign w:val="center"/>
            <w:hideMark/>
          </w:tcPr>
          <w:p w14:paraId="4008F10D"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58</w:t>
            </w:r>
          </w:p>
        </w:tc>
        <w:tc>
          <w:tcPr>
            <w:tcW w:w="737" w:type="pct"/>
            <w:tcBorders>
              <w:top w:val="nil"/>
              <w:left w:val="nil"/>
              <w:bottom w:val="nil"/>
              <w:right w:val="nil"/>
            </w:tcBorders>
            <w:shd w:val="clear" w:color="000000" w:fill="FFFFFF"/>
            <w:noWrap/>
            <w:vAlign w:val="center"/>
            <w:hideMark/>
          </w:tcPr>
          <w:p w14:paraId="321468B3"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1.8</w:t>
            </w:r>
          </w:p>
        </w:tc>
      </w:tr>
      <w:tr w:rsidR="003B54EA" w:rsidRPr="00673C1F" w14:paraId="64C5EB4C" w14:textId="77777777" w:rsidTr="003B54EA">
        <w:trPr>
          <w:trHeight w:hRule="exact" w:val="225"/>
        </w:trPr>
        <w:tc>
          <w:tcPr>
            <w:tcW w:w="1993" w:type="pct"/>
            <w:tcBorders>
              <w:top w:val="nil"/>
              <w:left w:val="nil"/>
              <w:bottom w:val="nil"/>
              <w:right w:val="nil"/>
            </w:tcBorders>
            <w:shd w:val="clear" w:color="000000" w:fill="FFFFFF"/>
            <w:noWrap/>
            <w:vAlign w:val="center"/>
            <w:hideMark/>
          </w:tcPr>
          <w:p w14:paraId="53EDBCD9"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Other taxes</w:t>
            </w:r>
          </w:p>
        </w:tc>
        <w:tc>
          <w:tcPr>
            <w:tcW w:w="737" w:type="pct"/>
            <w:tcBorders>
              <w:top w:val="nil"/>
              <w:left w:val="nil"/>
              <w:bottom w:val="single" w:sz="4" w:space="0" w:color="auto"/>
              <w:right w:val="nil"/>
            </w:tcBorders>
            <w:shd w:val="clear" w:color="000000" w:fill="FFFFFF"/>
            <w:noWrap/>
            <w:vAlign w:val="center"/>
            <w:hideMark/>
          </w:tcPr>
          <w:p w14:paraId="6272C45F"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6,716</w:t>
            </w:r>
          </w:p>
        </w:tc>
        <w:tc>
          <w:tcPr>
            <w:tcW w:w="737" w:type="pct"/>
            <w:tcBorders>
              <w:top w:val="nil"/>
              <w:left w:val="nil"/>
              <w:bottom w:val="single" w:sz="4" w:space="0" w:color="auto"/>
              <w:right w:val="nil"/>
            </w:tcBorders>
            <w:shd w:val="clear" w:color="000000" w:fill="E6F2FF"/>
            <w:noWrap/>
            <w:vAlign w:val="center"/>
            <w:hideMark/>
          </w:tcPr>
          <w:p w14:paraId="67E44DCC"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7,461</w:t>
            </w:r>
          </w:p>
        </w:tc>
        <w:tc>
          <w:tcPr>
            <w:tcW w:w="58" w:type="pct"/>
            <w:tcBorders>
              <w:top w:val="nil"/>
              <w:left w:val="nil"/>
              <w:bottom w:val="nil"/>
              <w:right w:val="nil"/>
            </w:tcBorders>
            <w:shd w:val="clear" w:color="000000" w:fill="FFFFFF"/>
            <w:noWrap/>
            <w:vAlign w:val="center"/>
            <w:hideMark/>
          </w:tcPr>
          <w:p w14:paraId="3C896A6B"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7" w:type="pct"/>
            <w:tcBorders>
              <w:top w:val="nil"/>
              <w:left w:val="nil"/>
              <w:bottom w:val="single" w:sz="4" w:space="0" w:color="auto"/>
              <w:right w:val="nil"/>
            </w:tcBorders>
            <w:shd w:val="clear" w:color="000000" w:fill="FFFFFF"/>
            <w:noWrap/>
            <w:vAlign w:val="center"/>
            <w:hideMark/>
          </w:tcPr>
          <w:p w14:paraId="7EC46681"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745</w:t>
            </w:r>
          </w:p>
        </w:tc>
        <w:tc>
          <w:tcPr>
            <w:tcW w:w="737" w:type="pct"/>
            <w:tcBorders>
              <w:top w:val="nil"/>
              <w:left w:val="nil"/>
              <w:bottom w:val="single" w:sz="4" w:space="0" w:color="auto"/>
              <w:right w:val="nil"/>
            </w:tcBorders>
            <w:shd w:val="clear" w:color="000000" w:fill="FFFFFF"/>
            <w:noWrap/>
            <w:vAlign w:val="center"/>
            <w:hideMark/>
          </w:tcPr>
          <w:p w14:paraId="4F9D68AF"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11.1</w:t>
            </w:r>
          </w:p>
        </w:tc>
      </w:tr>
      <w:tr w:rsidR="003B54EA" w:rsidRPr="00673C1F" w14:paraId="732280D6" w14:textId="77777777" w:rsidTr="003B54EA">
        <w:trPr>
          <w:trHeight w:hRule="exact" w:val="225"/>
        </w:trPr>
        <w:tc>
          <w:tcPr>
            <w:tcW w:w="1993" w:type="pct"/>
            <w:tcBorders>
              <w:top w:val="nil"/>
              <w:left w:val="nil"/>
              <w:bottom w:val="nil"/>
              <w:right w:val="nil"/>
            </w:tcBorders>
            <w:shd w:val="clear" w:color="000000" w:fill="FFFFFF"/>
            <w:noWrap/>
            <w:vAlign w:val="center"/>
            <w:hideMark/>
          </w:tcPr>
          <w:p w14:paraId="17E0A7C4" w14:textId="77777777" w:rsidR="003B54EA" w:rsidRPr="00673C1F" w:rsidRDefault="003B54EA" w:rsidP="003B54EA">
            <w:pPr>
              <w:spacing w:before="0" w:after="0" w:line="240" w:lineRule="auto"/>
              <w:rPr>
                <w:rFonts w:ascii="Arial" w:hAnsi="Arial" w:cs="Arial"/>
                <w:b/>
                <w:bCs/>
                <w:sz w:val="16"/>
                <w:szCs w:val="16"/>
              </w:rPr>
            </w:pPr>
            <w:r w:rsidRPr="00673C1F">
              <w:rPr>
                <w:rFonts w:ascii="Arial" w:hAnsi="Arial" w:cs="Arial"/>
                <w:b/>
                <w:bCs/>
                <w:sz w:val="16"/>
                <w:szCs w:val="16"/>
              </w:rPr>
              <w:t>Indirect taxation revenue</w:t>
            </w:r>
          </w:p>
        </w:tc>
        <w:tc>
          <w:tcPr>
            <w:tcW w:w="737" w:type="pct"/>
            <w:tcBorders>
              <w:top w:val="single" w:sz="4" w:space="0" w:color="293F5B"/>
              <w:left w:val="nil"/>
              <w:bottom w:val="single" w:sz="4" w:space="0" w:color="293F5B"/>
              <w:right w:val="nil"/>
            </w:tcBorders>
            <w:shd w:val="clear" w:color="000000" w:fill="FFFFFF"/>
            <w:noWrap/>
            <w:vAlign w:val="center"/>
            <w:hideMark/>
          </w:tcPr>
          <w:p w14:paraId="2090C5EC"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150,046</w:t>
            </w:r>
          </w:p>
        </w:tc>
        <w:tc>
          <w:tcPr>
            <w:tcW w:w="737" w:type="pct"/>
            <w:tcBorders>
              <w:top w:val="single" w:sz="4" w:space="0" w:color="293F5B"/>
              <w:left w:val="nil"/>
              <w:bottom w:val="single" w:sz="4" w:space="0" w:color="293F5B"/>
              <w:right w:val="nil"/>
            </w:tcBorders>
            <w:shd w:val="clear" w:color="000000" w:fill="E6F2FF"/>
            <w:noWrap/>
            <w:vAlign w:val="center"/>
            <w:hideMark/>
          </w:tcPr>
          <w:p w14:paraId="6D05BFA8"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150,249</w:t>
            </w:r>
          </w:p>
        </w:tc>
        <w:tc>
          <w:tcPr>
            <w:tcW w:w="58" w:type="pct"/>
            <w:tcBorders>
              <w:top w:val="nil"/>
              <w:left w:val="nil"/>
              <w:bottom w:val="nil"/>
              <w:right w:val="nil"/>
            </w:tcBorders>
            <w:shd w:val="clear" w:color="000000" w:fill="FFFFFF"/>
            <w:noWrap/>
            <w:vAlign w:val="center"/>
            <w:hideMark/>
          </w:tcPr>
          <w:p w14:paraId="10967078"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737" w:type="pct"/>
            <w:tcBorders>
              <w:top w:val="single" w:sz="4" w:space="0" w:color="293F5B"/>
              <w:left w:val="nil"/>
              <w:bottom w:val="single" w:sz="4" w:space="0" w:color="293F5B"/>
              <w:right w:val="nil"/>
            </w:tcBorders>
            <w:shd w:val="clear" w:color="000000" w:fill="FFFFFF"/>
            <w:noWrap/>
            <w:vAlign w:val="center"/>
            <w:hideMark/>
          </w:tcPr>
          <w:p w14:paraId="76655660"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203</w:t>
            </w:r>
          </w:p>
        </w:tc>
        <w:tc>
          <w:tcPr>
            <w:tcW w:w="737" w:type="pct"/>
            <w:tcBorders>
              <w:top w:val="single" w:sz="4" w:space="0" w:color="293F5B"/>
              <w:left w:val="nil"/>
              <w:bottom w:val="single" w:sz="4" w:space="0" w:color="293F5B"/>
              <w:right w:val="nil"/>
            </w:tcBorders>
            <w:shd w:val="clear" w:color="000000" w:fill="FFFFFF"/>
            <w:noWrap/>
            <w:vAlign w:val="center"/>
            <w:hideMark/>
          </w:tcPr>
          <w:p w14:paraId="28AF9637"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0.1</w:t>
            </w:r>
          </w:p>
        </w:tc>
      </w:tr>
      <w:tr w:rsidR="003B54EA" w:rsidRPr="00673C1F" w14:paraId="7AA9A8F9" w14:textId="77777777" w:rsidTr="003B54EA">
        <w:trPr>
          <w:trHeight w:hRule="exact" w:val="225"/>
        </w:trPr>
        <w:tc>
          <w:tcPr>
            <w:tcW w:w="1993" w:type="pct"/>
            <w:tcBorders>
              <w:top w:val="nil"/>
              <w:left w:val="nil"/>
              <w:bottom w:val="nil"/>
              <w:right w:val="nil"/>
            </w:tcBorders>
            <w:shd w:val="clear" w:color="000000" w:fill="FFFFFF"/>
            <w:noWrap/>
            <w:vAlign w:val="center"/>
            <w:hideMark/>
          </w:tcPr>
          <w:p w14:paraId="0DB58F2D" w14:textId="77777777" w:rsidR="003B54EA" w:rsidRPr="00673C1F" w:rsidRDefault="003B54EA" w:rsidP="003B54EA">
            <w:pPr>
              <w:spacing w:before="0" w:after="0" w:line="240" w:lineRule="auto"/>
              <w:rPr>
                <w:rFonts w:ascii="Arial" w:hAnsi="Arial" w:cs="Arial"/>
                <w:b/>
                <w:bCs/>
                <w:sz w:val="16"/>
                <w:szCs w:val="16"/>
              </w:rPr>
            </w:pPr>
            <w:r w:rsidRPr="00673C1F">
              <w:rPr>
                <w:rFonts w:ascii="Arial" w:hAnsi="Arial" w:cs="Arial"/>
                <w:b/>
                <w:bCs/>
                <w:sz w:val="16"/>
                <w:szCs w:val="16"/>
              </w:rPr>
              <w:t>Taxation revenue</w:t>
            </w:r>
          </w:p>
        </w:tc>
        <w:tc>
          <w:tcPr>
            <w:tcW w:w="737" w:type="pct"/>
            <w:tcBorders>
              <w:top w:val="nil"/>
              <w:left w:val="nil"/>
              <w:bottom w:val="single" w:sz="4" w:space="0" w:color="293F5B"/>
              <w:right w:val="nil"/>
            </w:tcBorders>
            <w:shd w:val="clear" w:color="000000" w:fill="FFFFFF"/>
            <w:noWrap/>
            <w:vAlign w:val="center"/>
            <w:hideMark/>
          </w:tcPr>
          <w:p w14:paraId="09426786"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649,256</w:t>
            </w:r>
          </w:p>
        </w:tc>
        <w:tc>
          <w:tcPr>
            <w:tcW w:w="737" w:type="pct"/>
            <w:tcBorders>
              <w:top w:val="nil"/>
              <w:left w:val="nil"/>
              <w:bottom w:val="single" w:sz="4" w:space="0" w:color="293F5B"/>
              <w:right w:val="nil"/>
            </w:tcBorders>
            <w:shd w:val="clear" w:color="000000" w:fill="E6F2FF"/>
            <w:noWrap/>
            <w:vAlign w:val="center"/>
            <w:hideMark/>
          </w:tcPr>
          <w:p w14:paraId="538A3FAB"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656,039</w:t>
            </w:r>
          </w:p>
        </w:tc>
        <w:tc>
          <w:tcPr>
            <w:tcW w:w="58" w:type="pct"/>
            <w:tcBorders>
              <w:top w:val="nil"/>
              <w:left w:val="nil"/>
              <w:bottom w:val="nil"/>
              <w:right w:val="nil"/>
            </w:tcBorders>
            <w:shd w:val="clear" w:color="000000" w:fill="FFFFFF"/>
            <w:noWrap/>
            <w:vAlign w:val="center"/>
            <w:hideMark/>
          </w:tcPr>
          <w:p w14:paraId="79B9619A"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737" w:type="pct"/>
            <w:tcBorders>
              <w:top w:val="nil"/>
              <w:left w:val="nil"/>
              <w:bottom w:val="single" w:sz="4" w:space="0" w:color="293F5B"/>
              <w:right w:val="nil"/>
            </w:tcBorders>
            <w:shd w:val="clear" w:color="000000" w:fill="FFFFFF"/>
            <w:noWrap/>
            <w:vAlign w:val="center"/>
            <w:hideMark/>
          </w:tcPr>
          <w:p w14:paraId="57E25305"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6,783</w:t>
            </w:r>
          </w:p>
        </w:tc>
        <w:tc>
          <w:tcPr>
            <w:tcW w:w="737" w:type="pct"/>
            <w:tcBorders>
              <w:top w:val="nil"/>
              <w:left w:val="nil"/>
              <w:bottom w:val="single" w:sz="4" w:space="0" w:color="293F5B"/>
              <w:right w:val="nil"/>
            </w:tcBorders>
            <w:shd w:val="clear" w:color="000000" w:fill="FFFFFF"/>
            <w:noWrap/>
            <w:vAlign w:val="center"/>
            <w:hideMark/>
          </w:tcPr>
          <w:p w14:paraId="2097CD3F"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1.0</w:t>
            </w:r>
          </w:p>
        </w:tc>
      </w:tr>
      <w:tr w:rsidR="003B54EA" w:rsidRPr="00673C1F" w14:paraId="0FCDBF07" w14:textId="77777777" w:rsidTr="003B54EA">
        <w:trPr>
          <w:trHeight w:hRule="exact" w:val="60"/>
        </w:trPr>
        <w:tc>
          <w:tcPr>
            <w:tcW w:w="1993" w:type="pct"/>
            <w:tcBorders>
              <w:top w:val="nil"/>
              <w:left w:val="nil"/>
              <w:bottom w:val="nil"/>
              <w:right w:val="nil"/>
            </w:tcBorders>
            <w:shd w:val="clear" w:color="000000" w:fill="FFFFFF"/>
            <w:noWrap/>
            <w:vAlign w:val="center"/>
            <w:hideMark/>
          </w:tcPr>
          <w:p w14:paraId="59C45669" w14:textId="77777777" w:rsidR="003B54EA" w:rsidRPr="00673C1F" w:rsidRDefault="003B54EA" w:rsidP="003B54EA">
            <w:pPr>
              <w:spacing w:before="0" w:after="0" w:line="240" w:lineRule="auto"/>
              <w:rPr>
                <w:rFonts w:ascii="Arial" w:hAnsi="Arial" w:cs="Arial"/>
                <w:b/>
                <w:bCs/>
                <w:sz w:val="16"/>
                <w:szCs w:val="16"/>
              </w:rPr>
            </w:pPr>
            <w:r w:rsidRPr="00673C1F">
              <w:rPr>
                <w:rFonts w:ascii="Arial" w:hAnsi="Arial" w:cs="Arial"/>
                <w:b/>
                <w:bCs/>
                <w:sz w:val="16"/>
                <w:szCs w:val="16"/>
              </w:rPr>
              <w:t> </w:t>
            </w:r>
          </w:p>
        </w:tc>
        <w:tc>
          <w:tcPr>
            <w:tcW w:w="737" w:type="pct"/>
            <w:tcBorders>
              <w:top w:val="nil"/>
              <w:left w:val="nil"/>
              <w:bottom w:val="nil"/>
              <w:right w:val="nil"/>
            </w:tcBorders>
            <w:shd w:val="clear" w:color="000000" w:fill="FFFFFF"/>
            <w:noWrap/>
            <w:vAlign w:val="center"/>
            <w:hideMark/>
          </w:tcPr>
          <w:p w14:paraId="5C33E105"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737" w:type="pct"/>
            <w:tcBorders>
              <w:top w:val="nil"/>
              <w:left w:val="nil"/>
              <w:bottom w:val="nil"/>
              <w:right w:val="nil"/>
            </w:tcBorders>
            <w:shd w:val="clear" w:color="000000" w:fill="E6F2FF"/>
            <w:noWrap/>
            <w:vAlign w:val="center"/>
            <w:hideMark/>
          </w:tcPr>
          <w:p w14:paraId="4D4C65B7"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58" w:type="pct"/>
            <w:tcBorders>
              <w:top w:val="nil"/>
              <w:left w:val="nil"/>
              <w:bottom w:val="nil"/>
              <w:right w:val="nil"/>
            </w:tcBorders>
            <w:shd w:val="clear" w:color="000000" w:fill="FFFFFF"/>
            <w:noWrap/>
            <w:vAlign w:val="center"/>
            <w:hideMark/>
          </w:tcPr>
          <w:p w14:paraId="06E702B6"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737" w:type="pct"/>
            <w:tcBorders>
              <w:top w:val="nil"/>
              <w:left w:val="nil"/>
              <w:bottom w:val="nil"/>
              <w:right w:val="nil"/>
            </w:tcBorders>
            <w:shd w:val="clear" w:color="000000" w:fill="FFFFFF"/>
            <w:noWrap/>
            <w:vAlign w:val="center"/>
            <w:hideMark/>
          </w:tcPr>
          <w:p w14:paraId="675FC2CD"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737" w:type="pct"/>
            <w:tcBorders>
              <w:top w:val="nil"/>
              <w:left w:val="nil"/>
              <w:bottom w:val="nil"/>
              <w:right w:val="nil"/>
            </w:tcBorders>
            <w:shd w:val="clear" w:color="000000" w:fill="FFFFFF"/>
            <w:noWrap/>
            <w:vAlign w:val="center"/>
            <w:hideMark/>
          </w:tcPr>
          <w:p w14:paraId="5FC125A3"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 </w:t>
            </w:r>
          </w:p>
        </w:tc>
      </w:tr>
      <w:tr w:rsidR="003B54EA" w:rsidRPr="00673C1F" w14:paraId="2B4E6A68" w14:textId="77777777" w:rsidTr="003B54EA">
        <w:trPr>
          <w:trHeight w:hRule="exact" w:val="225"/>
        </w:trPr>
        <w:tc>
          <w:tcPr>
            <w:tcW w:w="1993" w:type="pct"/>
            <w:tcBorders>
              <w:top w:val="nil"/>
              <w:left w:val="nil"/>
              <w:bottom w:val="nil"/>
              <w:right w:val="nil"/>
            </w:tcBorders>
            <w:shd w:val="clear" w:color="000000" w:fill="FFFFFF"/>
            <w:noWrap/>
            <w:vAlign w:val="center"/>
            <w:hideMark/>
          </w:tcPr>
          <w:p w14:paraId="632616BB"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Sales of goods and services</w:t>
            </w:r>
          </w:p>
        </w:tc>
        <w:tc>
          <w:tcPr>
            <w:tcW w:w="737" w:type="pct"/>
            <w:tcBorders>
              <w:top w:val="nil"/>
              <w:left w:val="nil"/>
              <w:bottom w:val="nil"/>
              <w:right w:val="nil"/>
            </w:tcBorders>
            <w:shd w:val="clear" w:color="000000" w:fill="FFFFFF"/>
            <w:noWrap/>
            <w:vAlign w:val="center"/>
            <w:hideMark/>
          </w:tcPr>
          <w:p w14:paraId="4742DDB3"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20,058</w:t>
            </w:r>
          </w:p>
        </w:tc>
        <w:tc>
          <w:tcPr>
            <w:tcW w:w="737" w:type="pct"/>
            <w:tcBorders>
              <w:top w:val="nil"/>
              <w:left w:val="nil"/>
              <w:bottom w:val="nil"/>
              <w:right w:val="nil"/>
            </w:tcBorders>
            <w:shd w:val="clear" w:color="000000" w:fill="E6F2FF"/>
            <w:noWrap/>
            <w:vAlign w:val="center"/>
            <w:hideMark/>
          </w:tcPr>
          <w:p w14:paraId="6B3FE6BB"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20,274</w:t>
            </w:r>
          </w:p>
        </w:tc>
        <w:tc>
          <w:tcPr>
            <w:tcW w:w="58" w:type="pct"/>
            <w:tcBorders>
              <w:top w:val="nil"/>
              <w:left w:val="nil"/>
              <w:bottom w:val="nil"/>
              <w:right w:val="nil"/>
            </w:tcBorders>
            <w:shd w:val="clear" w:color="000000" w:fill="FFFFFF"/>
            <w:noWrap/>
            <w:vAlign w:val="center"/>
            <w:hideMark/>
          </w:tcPr>
          <w:p w14:paraId="0D837173"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737" w:type="pct"/>
            <w:tcBorders>
              <w:top w:val="nil"/>
              <w:left w:val="nil"/>
              <w:bottom w:val="nil"/>
              <w:right w:val="nil"/>
            </w:tcBorders>
            <w:shd w:val="clear" w:color="000000" w:fill="FFFFFF"/>
            <w:noWrap/>
            <w:vAlign w:val="center"/>
            <w:hideMark/>
          </w:tcPr>
          <w:p w14:paraId="06A3F045"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216</w:t>
            </w:r>
          </w:p>
        </w:tc>
        <w:tc>
          <w:tcPr>
            <w:tcW w:w="737" w:type="pct"/>
            <w:tcBorders>
              <w:top w:val="nil"/>
              <w:left w:val="nil"/>
              <w:bottom w:val="nil"/>
              <w:right w:val="nil"/>
            </w:tcBorders>
            <w:shd w:val="clear" w:color="000000" w:fill="FFFFFF"/>
            <w:noWrap/>
            <w:vAlign w:val="center"/>
            <w:hideMark/>
          </w:tcPr>
          <w:p w14:paraId="5A452FFA"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1.1</w:t>
            </w:r>
          </w:p>
        </w:tc>
      </w:tr>
      <w:tr w:rsidR="003B54EA" w:rsidRPr="00673C1F" w14:paraId="67C60396" w14:textId="77777777" w:rsidTr="003B54EA">
        <w:trPr>
          <w:trHeight w:hRule="exact" w:val="225"/>
        </w:trPr>
        <w:tc>
          <w:tcPr>
            <w:tcW w:w="1993" w:type="pct"/>
            <w:tcBorders>
              <w:top w:val="nil"/>
              <w:left w:val="nil"/>
              <w:bottom w:val="nil"/>
              <w:right w:val="nil"/>
            </w:tcBorders>
            <w:shd w:val="clear" w:color="000000" w:fill="FFFFFF"/>
            <w:noWrap/>
            <w:vAlign w:val="center"/>
            <w:hideMark/>
          </w:tcPr>
          <w:p w14:paraId="7A54D06C"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Interest</w:t>
            </w:r>
          </w:p>
        </w:tc>
        <w:tc>
          <w:tcPr>
            <w:tcW w:w="737" w:type="pct"/>
            <w:tcBorders>
              <w:top w:val="nil"/>
              <w:left w:val="nil"/>
              <w:bottom w:val="nil"/>
              <w:right w:val="nil"/>
            </w:tcBorders>
            <w:shd w:val="clear" w:color="000000" w:fill="FFFFFF"/>
            <w:noWrap/>
            <w:vAlign w:val="center"/>
            <w:hideMark/>
          </w:tcPr>
          <w:p w14:paraId="22CCCBBA"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10,034</w:t>
            </w:r>
          </w:p>
        </w:tc>
        <w:tc>
          <w:tcPr>
            <w:tcW w:w="737" w:type="pct"/>
            <w:tcBorders>
              <w:top w:val="nil"/>
              <w:left w:val="nil"/>
              <w:bottom w:val="nil"/>
              <w:right w:val="nil"/>
            </w:tcBorders>
            <w:shd w:val="clear" w:color="000000" w:fill="E6F2FF"/>
            <w:noWrap/>
            <w:vAlign w:val="center"/>
            <w:hideMark/>
          </w:tcPr>
          <w:p w14:paraId="25B0683A"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11,131</w:t>
            </w:r>
          </w:p>
        </w:tc>
        <w:tc>
          <w:tcPr>
            <w:tcW w:w="58" w:type="pct"/>
            <w:tcBorders>
              <w:top w:val="nil"/>
              <w:left w:val="nil"/>
              <w:bottom w:val="nil"/>
              <w:right w:val="nil"/>
            </w:tcBorders>
            <w:shd w:val="clear" w:color="000000" w:fill="FFFFFF"/>
            <w:noWrap/>
            <w:vAlign w:val="center"/>
            <w:hideMark/>
          </w:tcPr>
          <w:p w14:paraId="7B9B41BF"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7" w:type="pct"/>
            <w:tcBorders>
              <w:top w:val="nil"/>
              <w:left w:val="nil"/>
              <w:bottom w:val="nil"/>
              <w:right w:val="nil"/>
            </w:tcBorders>
            <w:shd w:val="clear" w:color="000000" w:fill="FFFFFF"/>
            <w:noWrap/>
            <w:vAlign w:val="center"/>
            <w:hideMark/>
          </w:tcPr>
          <w:p w14:paraId="0E3643EF"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1,097</w:t>
            </w:r>
          </w:p>
        </w:tc>
        <w:tc>
          <w:tcPr>
            <w:tcW w:w="737" w:type="pct"/>
            <w:tcBorders>
              <w:top w:val="nil"/>
              <w:left w:val="nil"/>
              <w:bottom w:val="nil"/>
              <w:right w:val="nil"/>
            </w:tcBorders>
            <w:shd w:val="clear" w:color="000000" w:fill="FFFFFF"/>
            <w:noWrap/>
            <w:vAlign w:val="center"/>
            <w:hideMark/>
          </w:tcPr>
          <w:p w14:paraId="52D8F1ED"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10.9</w:t>
            </w:r>
          </w:p>
        </w:tc>
      </w:tr>
      <w:tr w:rsidR="003B54EA" w:rsidRPr="00673C1F" w14:paraId="4FD1BEF2" w14:textId="77777777" w:rsidTr="003B54EA">
        <w:trPr>
          <w:trHeight w:hRule="exact" w:val="225"/>
        </w:trPr>
        <w:tc>
          <w:tcPr>
            <w:tcW w:w="1993" w:type="pct"/>
            <w:tcBorders>
              <w:top w:val="nil"/>
              <w:left w:val="nil"/>
              <w:bottom w:val="nil"/>
              <w:right w:val="nil"/>
            </w:tcBorders>
            <w:shd w:val="clear" w:color="000000" w:fill="FFFFFF"/>
            <w:noWrap/>
            <w:vAlign w:val="center"/>
            <w:hideMark/>
          </w:tcPr>
          <w:p w14:paraId="32848050"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Dividends and distributions</w:t>
            </w:r>
          </w:p>
        </w:tc>
        <w:tc>
          <w:tcPr>
            <w:tcW w:w="737" w:type="pct"/>
            <w:tcBorders>
              <w:top w:val="nil"/>
              <w:left w:val="nil"/>
              <w:bottom w:val="nil"/>
              <w:right w:val="nil"/>
            </w:tcBorders>
            <w:shd w:val="clear" w:color="000000" w:fill="FFFFFF"/>
            <w:noWrap/>
            <w:vAlign w:val="center"/>
            <w:hideMark/>
          </w:tcPr>
          <w:p w14:paraId="203B4957"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6,866</w:t>
            </w:r>
          </w:p>
        </w:tc>
        <w:tc>
          <w:tcPr>
            <w:tcW w:w="737" w:type="pct"/>
            <w:tcBorders>
              <w:top w:val="nil"/>
              <w:left w:val="nil"/>
              <w:bottom w:val="nil"/>
              <w:right w:val="nil"/>
            </w:tcBorders>
            <w:shd w:val="clear" w:color="000000" w:fill="E6F2FF"/>
            <w:noWrap/>
            <w:vAlign w:val="center"/>
            <w:hideMark/>
          </w:tcPr>
          <w:p w14:paraId="1D796500"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5,798</w:t>
            </w:r>
          </w:p>
        </w:tc>
        <w:tc>
          <w:tcPr>
            <w:tcW w:w="58" w:type="pct"/>
            <w:tcBorders>
              <w:top w:val="nil"/>
              <w:left w:val="nil"/>
              <w:bottom w:val="nil"/>
              <w:right w:val="nil"/>
            </w:tcBorders>
            <w:shd w:val="clear" w:color="000000" w:fill="FFFFFF"/>
            <w:noWrap/>
            <w:vAlign w:val="center"/>
            <w:hideMark/>
          </w:tcPr>
          <w:p w14:paraId="55247509"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737" w:type="pct"/>
            <w:tcBorders>
              <w:top w:val="nil"/>
              <w:left w:val="nil"/>
              <w:bottom w:val="nil"/>
              <w:right w:val="nil"/>
            </w:tcBorders>
            <w:shd w:val="clear" w:color="000000" w:fill="FFFFFF"/>
            <w:noWrap/>
            <w:vAlign w:val="center"/>
            <w:hideMark/>
          </w:tcPr>
          <w:p w14:paraId="72AAB169" w14:textId="024E365B"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1,068</w:t>
            </w:r>
          </w:p>
        </w:tc>
        <w:tc>
          <w:tcPr>
            <w:tcW w:w="737" w:type="pct"/>
            <w:tcBorders>
              <w:top w:val="nil"/>
              <w:left w:val="nil"/>
              <w:bottom w:val="nil"/>
              <w:right w:val="nil"/>
            </w:tcBorders>
            <w:shd w:val="clear" w:color="000000" w:fill="FFFFFF"/>
            <w:noWrap/>
            <w:vAlign w:val="center"/>
            <w:hideMark/>
          </w:tcPr>
          <w:p w14:paraId="1964EC81" w14:textId="32868B69"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15.6</w:t>
            </w:r>
          </w:p>
        </w:tc>
      </w:tr>
      <w:tr w:rsidR="003B54EA" w:rsidRPr="00673C1F" w14:paraId="1FD37F28" w14:textId="77777777" w:rsidTr="003B54EA">
        <w:trPr>
          <w:trHeight w:hRule="exact" w:val="225"/>
        </w:trPr>
        <w:tc>
          <w:tcPr>
            <w:tcW w:w="1993" w:type="pct"/>
            <w:tcBorders>
              <w:top w:val="nil"/>
              <w:left w:val="nil"/>
              <w:bottom w:val="nil"/>
              <w:right w:val="nil"/>
            </w:tcBorders>
            <w:shd w:val="clear" w:color="000000" w:fill="FFFFFF"/>
            <w:noWrap/>
            <w:vAlign w:val="center"/>
            <w:hideMark/>
          </w:tcPr>
          <w:p w14:paraId="3C971897" w14:textId="690BACAC"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Other non</w:t>
            </w:r>
            <w:r w:rsidR="006D727E" w:rsidRPr="00673C1F">
              <w:rPr>
                <w:rFonts w:ascii="Arial" w:hAnsi="Arial" w:cs="Arial"/>
                <w:sz w:val="16"/>
                <w:szCs w:val="16"/>
              </w:rPr>
              <w:noBreakHyphen/>
            </w:r>
            <w:r w:rsidRPr="00673C1F">
              <w:rPr>
                <w:rFonts w:ascii="Arial" w:hAnsi="Arial" w:cs="Arial"/>
                <w:sz w:val="16"/>
                <w:szCs w:val="16"/>
              </w:rPr>
              <w:t>taxation revenue</w:t>
            </w:r>
          </w:p>
        </w:tc>
        <w:tc>
          <w:tcPr>
            <w:tcW w:w="737" w:type="pct"/>
            <w:tcBorders>
              <w:top w:val="nil"/>
              <w:left w:val="nil"/>
              <w:bottom w:val="single" w:sz="4" w:space="0" w:color="293F5B"/>
              <w:right w:val="nil"/>
            </w:tcBorders>
            <w:shd w:val="clear" w:color="000000" w:fill="FFFFFF"/>
            <w:noWrap/>
            <w:vAlign w:val="center"/>
            <w:hideMark/>
          </w:tcPr>
          <w:p w14:paraId="0B97280F"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14,408</w:t>
            </w:r>
          </w:p>
        </w:tc>
        <w:tc>
          <w:tcPr>
            <w:tcW w:w="737" w:type="pct"/>
            <w:tcBorders>
              <w:top w:val="nil"/>
              <w:left w:val="nil"/>
              <w:bottom w:val="single" w:sz="4" w:space="0" w:color="293F5B"/>
              <w:right w:val="nil"/>
            </w:tcBorders>
            <w:shd w:val="clear" w:color="000000" w:fill="E6F2FF"/>
            <w:noWrap/>
            <w:vAlign w:val="center"/>
            <w:hideMark/>
          </w:tcPr>
          <w:p w14:paraId="40E87AB3"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13,635</w:t>
            </w:r>
          </w:p>
        </w:tc>
        <w:tc>
          <w:tcPr>
            <w:tcW w:w="58" w:type="pct"/>
            <w:tcBorders>
              <w:top w:val="nil"/>
              <w:left w:val="nil"/>
              <w:bottom w:val="nil"/>
              <w:right w:val="nil"/>
            </w:tcBorders>
            <w:shd w:val="clear" w:color="000000" w:fill="FFFFFF"/>
            <w:noWrap/>
            <w:vAlign w:val="center"/>
            <w:hideMark/>
          </w:tcPr>
          <w:p w14:paraId="31B80829"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7" w:type="pct"/>
            <w:tcBorders>
              <w:top w:val="nil"/>
              <w:left w:val="nil"/>
              <w:bottom w:val="single" w:sz="4" w:space="0" w:color="293F5B"/>
              <w:right w:val="nil"/>
            </w:tcBorders>
            <w:shd w:val="clear" w:color="000000" w:fill="FFFFFF"/>
            <w:noWrap/>
            <w:vAlign w:val="center"/>
            <w:hideMark/>
          </w:tcPr>
          <w:p w14:paraId="7C1DCC48" w14:textId="234EC810"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773</w:t>
            </w:r>
          </w:p>
        </w:tc>
        <w:tc>
          <w:tcPr>
            <w:tcW w:w="737" w:type="pct"/>
            <w:tcBorders>
              <w:top w:val="nil"/>
              <w:left w:val="nil"/>
              <w:bottom w:val="single" w:sz="4" w:space="0" w:color="293F5B"/>
              <w:right w:val="nil"/>
            </w:tcBorders>
            <w:shd w:val="clear" w:color="000000" w:fill="FFFFFF"/>
            <w:noWrap/>
            <w:vAlign w:val="center"/>
            <w:hideMark/>
          </w:tcPr>
          <w:p w14:paraId="1E32D9A0" w14:textId="4B64DC2C"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5.4</w:t>
            </w:r>
          </w:p>
        </w:tc>
      </w:tr>
      <w:tr w:rsidR="003B54EA" w:rsidRPr="00673C1F" w14:paraId="240CC178" w14:textId="77777777" w:rsidTr="003B54EA">
        <w:trPr>
          <w:trHeight w:hRule="exact" w:val="225"/>
        </w:trPr>
        <w:tc>
          <w:tcPr>
            <w:tcW w:w="1993" w:type="pct"/>
            <w:tcBorders>
              <w:top w:val="nil"/>
              <w:left w:val="nil"/>
              <w:bottom w:val="nil"/>
              <w:right w:val="nil"/>
            </w:tcBorders>
            <w:shd w:val="clear" w:color="000000" w:fill="FFFFFF"/>
            <w:noWrap/>
            <w:vAlign w:val="center"/>
            <w:hideMark/>
          </w:tcPr>
          <w:p w14:paraId="0FC1E592" w14:textId="1E6612EF" w:rsidR="003B54EA" w:rsidRPr="00673C1F" w:rsidRDefault="003B54EA" w:rsidP="003B54EA">
            <w:pPr>
              <w:spacing w:before="0" w:after="0" w:line="240" w:lineRule="auto"/>
              <w:rPr>
                <w:rFonts w:ascii="Arial" w:hAnsi="Arial" w:cs="Arial"/>
                <w:b/>
                <w:bCs/>
                <w:sz w:val="16"/>
                <w:szCs w:val="16"/>
              </w:rPr>
            </w:pPr>
            <w:r w:rsidRPr="00673C1F">
              <w:rPr>
                <w:rFonts w:ascii="Arial" w:hAnsi="Arial" w:cs="Arial"/>
                <w:b/>
                <w:bCs/>
                <w:sz w:val="16"/>
                <w:szCs w:val="16"/>
              </w:rPr>
              <w:t>Non</w:t>
            </w:r>
            <w:r w:rsidR="006D727E" w:rsidRPr="00673C1F">
              <w:rPr>
                <w:rFonts w:ascii="Arial" w:hAnsi="Arial" w:cs="Arial"/>
                <w:b/>
                <w:bCs/>
                <w:sz w:val="16"/>
                <w:szCs w:val="16"/>
              </w:rPr>
              <w:noBreakHyphen/>
            </w:r>
            <w:r w:rsidRPr="00673C1F">
              <w:rPr>
                <w:rFonts w:ascii="Arial" w:hAnsi="Arial" w:cs="Arial"/>
                <w:b/>
                <w:bCs/>
                <w:sz w:val="16"/>
                <w:szCs w:val="16"/>
              </w:rPr>
              <w:t>taxation revenue</w:t>
            </w:r>
          </w:p>
        </w:tc>
        <w:tc>
          <w:tcPr>
            <w:tcW w:w="737" w:type="pct"/>
            <w:tcBorders>
              <w:top w:val="nil"/>
              <w:left w:val="nil"/>
              <w:bottom w:val="single" w:sz="4" w:space="0" w:color="293F5B"/>
              <w:right w:val="nil"/>
            </w:tcBorders>
            <w:shd w:val="clear" w:color="000000" w:fill="FFFFFF"/>
            <w:noWrap/>
            <w:vAlign w:val="center"/>
            <w:hideMark/>
          </w:tcPr>
          <w:p w14:paraId="1C90C2D2"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51,365</w:t>
            </w:r>
          </w:p>
        </w:tc>
        <w:tc>
          <w:tcPr>
            <w:tcW w:w="737" w:type="pct"/>
            <w:tcBorders>
              <w:top w:val="nil"/>
              <w:left w:val="nil"/>
              <w:bottom w:val="single" w:sz="4" w:space="0" w:color="293F5B"/>
              <w:right w:val="nil"/>
            </w:tcBorders>
            <w:shd w:val="clear" w:color="000000" w:fill="E6F2FF"/>
            <w:noWrap/>
            <w:vAlign w:val="center"/>
            <w:hideMark/>
          </w:tcPr>
          <w:p w14:paraId="788EAF47"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50,838</w:t>
            </w:r>
          </w:p>
        </w:tc>
        <w:tc>
          <w:tcPr>
            <w:tcW w:w="58" w:type="pct"/>
            <w:tcBorders>
              <w:top w:val="nil"/>
              <w:left w:val="nil"/>
              <w:bottom w:val="nil"/>
              <w:right w:val="nil"/>
            </w:tcBorders>
            <w:shd w:val="clear" w:color="000000" w:fill="FFFFFF"/>
            <w:noWrap/>
            <w:vAlign w:val="center"/>
            <w:hideMark/>
          </w:tcPr>
          <w:p w14:paraId="14E73174"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737" w:type="pct"/>
            <w:tcBorders>
              <w:top w:val="nil"/>
              <w:left w:val="nil"/>
              <w:bottom w:val="single" w:sz="4" w:space="0" w:color="293F5B"/>
              <w:right w:val="nil"/>
            </w:tcBorders>
            <w:shd w:val="clear" w:color="000000" w:fill="FFFFFF"/>
            <w:noWrap/>
            <w:vAlign w:val="center"/>
            <w:hideMark/>
          </w:tcPr>
          <w:p w14:paraId="0460EFF5" w14:textId="5839E093" w:rsidR="003B54EA" w:rsidRPr="00673C1F" w:rsidRDefault="006D727E" w:rsidP="003B54EA">
            <w:pPr>
              <w:spacing w:before="0" w:after="0" w:line="240" w:lineRule="auto"/>
              <w:jc w:val="right"/>
              <w:rPr>
                <w:rFonts w:ascii="Arial" w:hAnsi="Arial" w:cs="Arial"/>
                <w:b/>
                <w:bCs/>
                <w:sz w:val="16"/>
                <w:szCs w:val="16"/>
              </w:rPr>
            </w:pPr>
            <w:r w:rsidRPr="00673C1F">
              <w:rPr>
                <w:rFonts w:ascii="Arial" w:hAnsi="Arial" w:cs="Arial"/>
                <w:b/>
                <w:bCs/>
                <w:sz w:val="16"/>
                <w:szCs w:val="16"/>
              </w:rPr>
              <w:noBreakHyphen/>
            </w:r>
            <w:r w:rsidR="003B54EA" w:rsidRPr="00673C1F">
              <w:rPr>
                <w:rFonts w:ascii="Arial" w:hAnsi="Arial" w:cs="Arial"/>
                <w:b/>
                <w:bCs/>
                <w:sz w:val="16"/>
                <w:szCs w:val="16"/>
              </w:rPr>
              <w:t>527</w:t>
            </w:r>
          </w:p>
        </w:tc>
        <w:tc>
          <w:tcPr>
            <w:tcW w:w="737" w:type="pct"/>
            <w:tcBorders>
              <w:top w:val="nil"/>
              <w:left w:val="nil"/>
              <w:bottom w:val="single" w:sz="4" w:space="0" w:color="293F5B"/>
              <w:right w:val="nil"/>
            </w:tcBorders>
            <w:shd w:val="clear" w:color="000000" w:fill="FFFFFF"/>
            <w:noWrap/>
            <w:vAlign w:val="center"/>
            <w:hideMark/>
          </w:tcPr>
          <w:p w14:paraId="15E2420E" w14:textId="42DF05DF" w:rsidR="003B54EA" w:rsidRPr="00673C1F" w:rsidRDefault="006D727E" w:rsidP="003B54EA">
            <w:pPr>
              <w:spacing w:before="0" w:after="0" w:line="240" w:lineRule="auto"/>
              <w:jc w:val="right"/>
              <w:rPr>
                <w:rFonts w:ascii="Arial" w:hAnsi="Arial" w:cs="Arial"/>
                <w:b/>
                <w:bCs/>
                <w:sz w:val="16"/>
                <w:szCs w:val="16"/>
              </w:rPr>
            </w:pPr>
            <w:r w:rsidRPr="00673C1F">
              <w:rPr>
                <w:rFonts w:ascii="Arial" w:hAnsi="Arial" w:cs="Arial"/>
                <w:b/>
                <w:bCs/>
                <w:sz w:val="16"/>
                <w:szCs w:val="16"/>
              </w:rPr>
              <w:noBreakHyphen/>
            </w:r>
            <w:r w:rsidR="003B54EA" w:rsidRPr="00673C1F">
              <w:rPr>
                <w:rFonts w:ascii="Arial" w:hAnsi="Arial" w:cs="Arial"/>
                <w:b/>
                <w:bCs/>
                <w:sz w:val="16"/>
                <w:szCs w:val="16"/>
              </w:rPr>
              <w:t>1.0</w:t>
            </w:r>
          </w:p>
        </w:tc>
      </w:tr>
      <w:tr w:rsidR="003B54EA" w:rsidRPr="00673C1F" w14:paraId="2818F873" w14:textId="77777777" w:rsidTr="003B54EA">
        <w:trPr>
          <w:trHeight w:hRule="exact" w:val="225"/>
        </w:trPr>
        <w:tc>
          <w:tcPr>
            <w:tcW w:w="1993" w:type="pct"/>
            <w:tcBorders>
              <w:top w:val="nil"/>
              <w:left w:val="nil"/>
              <w:bottom w:val="single" w:sz="4" w:space="0" w:color="293F5B"/>
              <w:right w:val="nil"/>
            </w:tcBorders>
            <w:shd w:val="clear" w:color="000000" w:fill="FFFFFF"/>
            <w:noWrap/>
            <w:vAlign w:val="center"/>
            <w:hideMark/>
          </w:tcPr>
          <w:p w14:paraId="1866DCC8" w14:textId="77777777" w:rsidR="003B54EA" w:rsidRPr="00673C1F" w:rsidRDefault="003B54EA" w:rsidP="003B54EA">
            <w:pPr>
              <w:spacing w:before="0" w:after="0" w:line="240" w:lineRule="auto"/>
              <w:rPr>
                <w:rFonts w:ascii="Arial" w:hAnsi="Arial" w:cs="Arial"/>
                <w:b/>
                <w:bCs/>
                <w:sz w:val="16"/>
                <w:szCs w:val="16"/>
              </w:rPr>
            </w:pPr>
            <w:r w:rsidRPr="00673C1F">
              <w:rPr>
                <w:rFonts w:ascii="Arial" w:hAnsi="Arial" w:cs="Arial"/>
                <w:b/>
                <w:bCs/>
                <w:sz w:val="16"/>
                <w:szCs w:val="16"/>
              </w:rPr>
              <w:t>Total revenue</w:t>
            </w:r>
          </w:p>
        </w:tc>
        <w:tc>
          <w:tcPr>
            <w:tcW w:w="737" w:type="pct"/>
            <w:tcBorders>
              <w:top w:val="nil"/>
              <w:left w:val="nil"/>
              <w:bottom w:val="single" w:sz="4" w:space="0" w:color="293F5B"/>
              <w:right w:val="nil"/>
            </w:tcBorders>
            <w:shd w:val="clear" w:color="000000" w:fill="FFFFFF"/>
            <w:noWrap/>
            <w:vAlign w:val="center"/>
            <w:hideMark/>
          </w:tcPr>
          <w:p w14:paraId="3D30A35F"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700,622</w:t>
            </w:r>
          </w:p>
        </w:tc>
        <w:tc>
          <w:tcPr>
            <w:tcW w:w="737" w:type="pct"/>
            <w:tcBorders>
              <w:top w:val="nil"/>
              <w:left w:val="nil"/>
              <w:bottom w:val="single" w:sz="4" w:space="0" w:color="293F5B"/>
              <w:right w:val="nil"/>
            </w:tcBorders>
            <w:shd w:val="clear" w:color="000000" w:fill="E6F2FF"/>
            <w:noWrap/>
            <w:vAlign w:val="center"/>
            <w:hideMark/>
          </w:tcPr>
          <w:p w14:paraId="0DF84EA1"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706,877</w:t>
            </w:r>
          </w:p>
        </w:tc>
        <w:tc>
          <w:tcPr>
            <w:tcW w:w="58" w:type="pct"/>
            <w:tcBorders>
              <w:top w:val="nil"/>
              <w:left w:val="nil"/>
              <w:bottom w:val="single" w:sz="4" w:space="0" w:color="293F5B"/>
              <w:right w:val="nil"/>
            </w:tcBorders>
            <w:shd w:val="clear" w:color="000000" w:fill="FFFFFF"/>
            <w:noWrap/>
            <w:vAlign w:val="center"/>
            <w:hideMark/>
          </w:tcPr>
          <w:p w14:paraId="09ED252C"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737" w:type="pct"/>
            <w:tcBorders>
              <w:top w:val="nil"/>
              <w:left w:val="nil"/>
              <w:bottom w:val="single" w:sz="4" w:space="0" w:color="293F5B"/>
              <w:right w:val="nil"/>
            </w:tcBorders>
            <w:shd w:val="clear" w:color="000000" w:fill="FFFFFF"/>
            <w:noWrap/>
            <w:vAlign w:val="center"/>
            <w:hideMark/>
          </w:tcPr>
          <w:p w14:paraId="69B7C2AD"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6,255</w:t>
            </w:r>
          </w:p>
        </w:tc>
        <w:tc>
          <w:tcPr>
            <w:tcW w:w="737" w:type="pct"/>
            <w:tcBorders>
              <w:top w:val="nil"/>
              <w:left w:val="nil"/>
              <w:bottom w:val="single" w:sz="4" w:space="0" w:color="293F5B"/>
              <w:right w:val="nil"/>
            </w:tcBorders>
            <w:shd w:val="clear" w:color="000000" w:fill="FFFFFF"/>
            <w:noWrap/>
            <w:vAlign w:val="center"/>
            <w:hideMark/>
          </w:tcPr>
          <w:p w14:paraId="49B461CE"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0.9</w:t>
            </w:r>
          </w:p>
        </w:tc>
      </w:tr>
      <w:tr w:rsidR="003B54EA" w:rsidRPr="00673C1F" w14:paraId="3C90B5C1" w14:textId="77777777" w:rsidTr="003B54EA">
        <w:trPr>
          <w:trHeight w:hRule="exact" w:val="225"/>
        </w:trPr>
        <w:tc>
          <w:tcPr>
            <w:tcW w:w="1993" w:type="pct"/>
            <w:tcBorders>
              <w:top w:val="nil"/>
              <w:left w:val="nil"/>
              <w:bottom w:val="nil"/>
              <w:right w:val="nil"/>
            </w:tcBorders>
            <w:shd w:val="clear" w:color="000000" w:fill="FFFFFF"/>
            <w:noWrap/>
            <w:vAlign w:val="center"/>
            <w:hideMark/>
          </w:tcPr>
          <w:p w14:paraId="61001ABC" w14:textId="77777777" w:rsidR="003B54EA" w:rsidRPr="00673C1F" w:rsidRDefault="003B54EA" w:rsidP="003B54EA">
            <w:pPr>
              <w:spacing w:before="0" w:after="0" w:line="240" w:lineRule="auto"/>
              <w:rPr>
                <w:rFonts w:ascii="Arial" w:hAnsi="Arial" w:cs="Arial"/>
                <w:i/>
                <w:iCs/>
                <w:sz w:val="16"/>
                <w:szCs w:val="16"/>
              </w:rPr>
            </w:pPr>
            <w:r w:rsidRPr="00673C1F">
              <w:rPr>
                <w:rFonts w:ascii="Arial" w:hAnsi="Arial" w:cs="Arial"/>
                <w:i/>
                <w:iCs/>
                <w:sz w:val="16"/>
                <w:szCs w:val="16"/>
              </w:rPr>
              <w:t>Memorandum:</w:t>
            </w:r>
          </w:p>
        </w:tc>
        <w:tc>
          <w:tcPr>
            <w:tcW w:w="737" w:type="pct"/>
            <w:tcBorders>
              <w:top w:val="nil"/>
              <w:left w:val="nil"/>
              <w:bottom w:val="nil"/>
              <w:right w:val="nil"/>
            </w:tcBorders>
            <w:shd w:val="clear" w:color="000000" w:fill="FFFFFF"/>
            <w:noWrap/>
            <w:vAlign w:val="center"/>
            <w:hideMark/>
          </w:tcPr>
          <w:p w14:paraId="5C0E78A9"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 </w:t>
            </w:r>
          </w:p>
        </w:tc>
        <w:tc>
          <w:tcPr>
            <w:tcW w:w="737" w:type="pct"/>
            <w:tcBorders>
              <w:top w:val="nil"/>
              <w:left w:val="nil"/>
              <w:bottom w:val="nil"/>
              <w:right w:val="nil"/>
            </w:tcBorders>
            <w:shd w:val="clear" w:color="000000" w:fill="E6F2FF"/>
            <w:noWrap/>
            <w:vAlign w:val="center"/>
            <w:hideMark/>
          </w:tcPr>
          <w:p w14:paraId="3237C77C"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 </w:t>
            </w:r>
          </w:p>
        </w:tc>
        <w:tc>
          <w:tcPr>
            <w:tcW w:w="58" w:type="pct"/>
            <w:tcBorders>
              <w:top w:val="nil"/>
              <w:left w:val="nil"/>
              <w:bottom w:val="nil"/>
              <w:right w:val="nil"/>
            </w:tcBorders>
            <w:shd w:val="clear" w:color="000000" w:fill="FFFFFF"/>
            <w:noWrap/>
            <w:vAlign w:val="center"/>
            <w:hideMark/>
          </w:tcPr>
          <w:p w14:paraId="20EC9C97"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 </w:t>
            </w:r>
          </w:p>
        </w:tc>
        <w:tc>
          <w:tcPr>
            <w:tcW w:w="737" w:type="pct"/>
            <w:tcBorders>
              <w:top w:val="nil"/>
              <w:left w:val="nil"/>
              <w:bottom w:val="nil"/>
              <w:right w:val="nil"/>
            </w:tcBorders>
            <w:shd w:val="clear" w:color="000000" w:fill="FFFFFF"/>
            <w:noWrap/>
            <w:vAlign w:val="center"/>
            <w:hideMark/>
          </w:tcPr>
          <w:p w14:paraId="30401DB4"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 </w:t>
            </w:r>
          </w:p>
        </w:tc>
        <w:tc>
          <w:tcPr>
            <w:tcW w:w="737" w:type="pct"/>
            <w:tcBorders>
              <w:top w:val="nil"/>
              <w:left w:val="nil"/>
              <w:bottom w:val="nil"/>
              <w:right w:val="nil"/>
            </w:tcBorders>
            <w:shd w:val="clear" w:color="000000" w:fill="FFFFFF"/>
            <w:noWrap/>
            <w:vAlign w:val="center"/>
            <w:hideMark/>
          </w:tcPr>
          <w:p w14:paraId="26C05BDB"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 </w:t>
            </w:r>
          </w:p>
        </w:tc>
      </w:tr>
      <w:tr w:rsidR="003B54EA" w:rsidRPr="00673C1F" w14:paraId="5689108A" w14:textId="77777777" w:rsidTr="003B54EA">
        <w:trPr>
          <w:trHeight w:hRule="exact" w:val="225"/>
        </w:trPr>
        <w:tc>
          <w:tcPr>
            <w:tcW w:w="1993" w:type="pct"/>
            <w:tcBorders>
              <w:top w:val="nil"/>
              <w:left w:val="nil"/>
              <w:bottom w:val="nil"/>
              <w:right w:val="nil"/>
            </w:tcBorders>
            <w:shd w:val="clear" w:color="000000" w:fill="FFFFFF"/>
            <w:noWrap/>
            <w:vAlign w:val="center"/>
            <w:hideMark/>
          </w:tcPr>
          <w:p w14:paraId="169974BF" w14:textId="77777777" w:rsidR="003B54EA" w:rsidRPr="00673C1F" w:rsidRDefault="003B54EA" w:rsidP="003B54EA">
            <w:pPr>
              <w:spacing w:before="0" w:after="0" w:line="240" w:lineRule="auto"/>
              <w:ind w:left="170"/>
              <w:rPr>
                <w:rFonts w:ascii="Arial" w:hAnsi="Arial" w:cs="Arial"/>
                <w:i/>
                <w:iCs/>
                <w:sz w:val="16"/>
                <w:szCs w:val="16"/>
              </w:rPr>
            </w:pPr>
            <w:r w:rsidRPr="00673C1F">
              <w:rPr>
                <w:rFonts w:ascii="Arial" w:hAnsi="Arial" w:cs="Arial"/>
                <w:i/>
                <w:iCs/>
                <w:sz w:val="16"/>
                <w:szCs w:val="16"/>
              </w:rPr>
              <w:t>Total excise</w:t>
            </w:r>
          </w:p>
        </w:tc>
        <w:tc>
          <w:tcPr>
            <w:tcW w:w="737" w:type="pct"/>
            <w:tcBorders>
              <w:top w:val="nil"/>
              <w:left w:val="nil"/>
              <w:bottom w:val="nil"/>
              <w:right w:val="nil"/>
            </w:tcBorders>
            <w:shd w:val="clear" w:color="000000" w:fill="FFFFFF"/>
            <w:noWrap/>
            <w:vAlign w:val="center"/>
            <w:hideMark/>
          </w:tcPr>
          <w:p w14:paraId="18208FBE"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30,080</w:t>
            </w:r>
          </w:p>
        </w:tc>
        <w:tc>
          <w:tcPr>
            <w:tcW w:w="737" w:type="pct"/>
            <w:tcBorders>
              <w:top w:val="nil"/>
              <w:left w:val="nil"/>
              <w:bottom w:val="nil"/>
              <w:right w:val="nil"/>
            </w:tcBorders>
            <w:shd w:val="clear" w:color="000000" w:fill="E6F2FF"/>
            <w:noWrap/>
            <w:vAlign w:val="center"/>
            <w:hideMark/>
          </w:tcPr>
          <w:p w14:paraId="34372306"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30,020</w:t>
            </w:r>
          </w:p>
        </w:tc>
        <w:tc>
          <w:tcPr>
            <w:tcW w:w="58" w:type="pct"/>
            <w:tcBorders>
              <w:top w:val="nil"/>
              <w:left w:val="nil"/>
              <w:bottom w:val="nil"/>
              <w:right w:val="nil"/>
            </w:tcBorders>
            <w:shd w:val="clear" w:color="000000" w:fill="FFFFFF"/>
            <w:noWrap/>
            <w:vAlign w:val="center"/>
            <w:hideMark/>
          </w:tcPr>
          <w:p w14:paraId="42475D18"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 </w:t>
            </w:r>
          </w:p>
        </w:tc>
        <w:tc>
          <w:tcPr>
            <w:tcW w:w="737" w:type="pct"/>
            <w:tcBorders>
              <w:top w:val="nil"/>
              <w:left w:val="nil"/>
              <w:bottom w:val="nil"/>
              <w:right w:val="nil"/>
            </w:tcBorders>
            <w:shd w:val="clear" w:color="000000" w:fill="FFFFFF"/>
            <w:noWrap/>
            <w:vAlign w:val="center"/>
            <w:hideMark/>
          </w:tcPr>
          <w:p w14:paraId="46CB393C" w14:textId="39173DF1" w:rsidR="003B54EA" w:rsidRPr="00673C1F" w:rsidRDefault="006D727E" w:rsidP="003B54EA">
            <w:pPr>
              <w:spacing w:before="0" w:after="0" w:line="240" w:lineRule="auto"/>
              <w:jc w:val="right"/>
              <w:rPr>
                <w:rFonts w:ascii="Arial" w:hAnsi="Arial" w:cs="Arial"/>
                <w:i/>
                <w:iCs/>
                <w:sz w:val="16"/>
                <w:szCs w:val="16"/>
              </w:rPr>
            </w:pPr>
            <w:r w:rsidRPr="00673C1F">
              <w:rPr>
                <w:rFonts w:ascii="Arial" w:hAnsi="Arial" w:cs="Arial"/>
                <w:i/>
                <w:iCs/>
                <w:sz w:val="16"/>
                <w:szCs w:val="16"/>
              </w:rPr>
              <w:noBreakHyphen/>
            </w:r>
            <w:r w:rsidR="003B54EA" w:rsidRPr="00673C1F">
              <w:rPr>
                <w:rFonts w:ascii="Arial" w:hAnsi="Arial" w:cs="Arial"/>
                <w:i/>
                <w:iCs/>
                <w:sz w:val="16"/>
                <w:szCs w:val="16"/>
              </w:rPr>
              <w:t>60</w:t>
            </w:r>
          </w:p>
        </w:tc>
        <w:tc>
          <w:tcPr>
            <w:tcW w:w="737" w:type="pct"/>
            <w:tcBorders>
              <w:top w:val="nil"/>
              <w:left w:val="nil"/>
              <w:bottom w:val="nil"/>
              <w:right w:val="nil"/>
            </w:tcBorders>
            <w:shd w:val="clear" w:color="000000" w:fill="FFFFFF"/>
            <w:noWrap/>
            <w:vAlign w:val="center"/>
            <w:hideMark/>
          </w:tcPr>
          <w:p w14:paraId="7D5F92A0" w14:textId="3CB55209" w:rsidR="003B54EA" w:rsidRPr="00673C1F" w:rsidRDefault="006D727E" w:rsidP="003B54EA">
            <w:pPr>
              <w:spacing w:before="0" w:after="0" w:line="240" w:lineRule="auto"/>
              <w:jc w:val="right"/>
              <w:rPr>
                <w:rFonts w:ascii="Arial" w:hAnsi="Arial" w:cs="Arial"/>
                <w:i/>
                <w:iCs/>
                <w:sz w:val="16"/>
                <w:szCs w:val="16"/>
              </w:rPr>
            </w:pPr>
            <w:r w:rsidRPr="00673C1F">
              <w:rPr>
                <w:rFonts w:ascii="Arial" w:hAnsi="Arial" w:cs="Arial"/>
                <w:i/>
                <w:iCs/>
                <w:sz w:val="16"/>
                <w:szCs w:val="16"/>
              </w:rPr>
              <w:noBreakHyphen/>
            </w:r>
            <w:r w:rsidR="003B54EA" w:rsidRPr="00673C1F">
              <w:rPr>
                <w:rFonts w:ascii="Arial" w:hAnsi="Arial" w:cs="Arial"/>
                <w:i/>
                <w:iCs/>
                <w:sz w:val="16"/>
                <w:szCs w:val="16"/>
              </w:rPr>
              <w:t>0.2</w:t>
            </w:r>
          </w:p>
        </w:tc>
      </w:tr>
      <w:tr w:rsidR="003B54EA" w:rsidRPr="00673C1F" w14:paraId="1AA80F13" w14:textId="77777777" w:rsidTr="003B54EA">
        <w:trPr>
          <w:trHeight w:hRule="exact" w:val="225"/>
        </w:trPr>
        <w:tc>
          <w:tcPr>
            <w:tcW w:w="1993" w:type="pct"/>
            <w:tcBorders>
              <w:top w:val="nil"/>
              <w:left w:val="nil"/>
              <w:bottom w:val="nil"/>
              <w:right w:val="nil"/>
            </w:tcBorders>
            <w:shd w:val="clear" w:color="000000" w:fill="FFFFFF"/>
            <w:noWrap/>
            <w:vAlign w:val="center"/>
            <w:hideMark/>
          </w:tcPr>
          <w:p w14:paraId="634C6741" w14:textId="77777777" w:rsidR="003B54EA" w:rsidRPr="00673C1F" w:rsidRDefault="003B54EA" w:rsidP="003B54EA">
            <w:pPr>
              <w:spacing w:before="0" w:after="0" w:line="240" w:lineRule="auto"/>
              <w:ind w:left="170"/>
              <w:rPr>
                <w:rFonts w:ascii="Arial" w:hAnsi="Arial" w:cs="Arial"/>
                <w:i/>
                <w:iCs/>
                <w:sz w:val="16"/>
                <w:szCs w:val="16"/>
              </w:rPr>
            </w:pPr>
            <w:r w:rsidRPr="00673C1F">
              <w:rPr>
                <w:rFonts w:ascii="Arial" w:hAnsi="Arial" w:cs="Arial"/>
                <w:i/>
                <w:iCs/>
                <w:sz w:val="16"/>
                <w:szCs w:val="16"/>
              </w:rPr>
              <w:t>Total customs duty</w:t>
            </w:r>
          </w:p>
        </w:tc>
        <w:tc>
          <w:tcPr>
            <w:tcW w:w="737" w:type="pct"/>
            <w:tcBorders>
              <w:top w:val="nil"/>
              <w:left w:val="nil"/>
              <w:bottom w:val="nil"/>
              <w:right w:val="nil"/>
            </w:tcBorders>
            <w:shd w:val="clear" w:color="000000" w:fill="FFFFFF"/>
            <w:noWrap/>
            <w:vAlign w:val="center"/>
            <w:hideMark/>
          </w:tcPr>
          <w:p w14:paraId="052222C0"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17,310</w:t>
            </w:r>
          </w:p>
        </w:tc>
        <w:tc>
          <w:tcPr>
            <w:tcW w:w="737" w:type="pct"/>
            <w:tcBorders>
              <w:top w:val="nil"/>
              <w:left w:val="nil"/>
              <w:bottom w:val="nil"/>
              <w:right w:val="nil"/>
            </w:tcBorders>
            <w:shd w:val="clear" w:color="000000" w:fill="E6F2FF"/>
            <w:noWrap/>
            <w:vAlign w:val="center"/>
            <w:hideMark/>
          </w:tcPr>
          <w:p w14:paraId="099BD614"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14,640</w:t>
            </w:r>
          </w:p>
        </w:tc>
        <w:tc>
          <w:tcPr>
            <w:tcW w:w="58" w:type="pct"/>
            <w:tcBorders>
              <w:top w:val="nil"/>
              <w:left w:val="nil"/>
              <w:bottom w:val="nil"/>
              <w:right w:val="nil"/>
            </w:tcBorders>
            <w:shd w:val="clear" w:color="000000" w:fill="FFFFFF"/>
            <w:noWrap/>
            <w:vAlign w:val="center"/>
            <w:hideMark/>
          </w:tcPr>
          <w:p w14:paraId="3A7064D4"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 </w:t>
            </w:r>
          </w:p>
        </w:tc>
        <w:tc>
          <w:tcPr>
            <w:tcW w:w="737" w:type="pct"/>
            <w:tcBorders>
              <w:top w:val="nil"/>
              <w:left w:val="nil"/>
              <w:bottom w:val="nil"/>
              <w:right w:val="nil"/>
            </w:tcBorders>
            <w:shd w:val="clear" w:color="000000" w:fill="FFFFFF"/>
            <w:noWrap/>
            <w:vAlign w:val="center"/>
            <w:hideMark/>
          </w:tcPr>
          <w:p w14:paraId="04D8EF43" w14:textId="41C9C04D" w:rsidR="003B54EA" w:rsidRPr="00673C1F" w:rsidRDefault="006D727E" w:rsidP="003B54EA">
            <w:pPr>
              <w:spacing w:before="0" w:after="0" w:line="240" w:lineRule="auto"/>
              <w:jc w:val="right"/>
              <w:rPr>
                <w:rFonts w:ascii="Arial" w:hAnsi="Arial" w:cs="Arial"/>
                <w:i/>
                <w:iCs/>
                <w:sz w:val="16"/>
                <w:szCs w:val="16"/>
              </w:rPr>
            </w:pPr>
            <w:r w:rsidRPr="00673C1F">
              <w:rPr>
                <w:rFonts w:ascii="Arial" w:hAnsi="Arial" w:cs="Arial"/>
                <w:i/>
                <w:iCs/>
                <w:sz w:val="16"/>
                <w:szCs w:val="16"/>
              </w:rPr>
              <w:noBreakHyphen/>
            </w:r>
            <w:r w:rsidR="003B54EA" w:rsidRPr="00673C1F">
              <w:rPr>
                <w:rFonts w:ascii="Arial" w:hAnsi="Arial" w:cs="Arial"/>
                <w:i/>
                <w:iCs/>
                <w:sz w:val="16"/>
                <w:szCs w:val="16"/>
              </w:rPr>
              <w:t>2,670</w:t>
            </w:r>
          </w:p>
        </w:tc>
        <w:tc>
          <w:tcPr>
            <w:tcW w:w="737" w:type="pct"/>
            <w:tcBorders>
              <w:top w:val="nil"/>
              <w:left w:val="nil"/>
              <w:bottom w:val="nil"/>
              <w:right w:val="nil"/>
            </w:tcBorders>
            <w:shd w:val="clear" w:color="000000" w:fill="FFFFFF"/>
            <w:noWrap/>
            <w:vAlign w:val="center"/>
            <w:hideMark/>
          </w:tcPr>
          <w:p w14:paraId="115F9371" w14:textId="696670D0" w:rsidR="003B54EA" w:rsidRPr="00673C1F" w:rsidRDefault="006D727E" w:rsidP="003B54EA">
            <w:pPr>
              <w:spacing w:before="0" w:after="0" w:line="240" w:lineRule="auto"/>
              <w:jc w:val="right"/>
              <w:rPr>
                <w:rFonts w:ascii="Arial" w:hAnsi="Arial" w:cs="Arial"/>
                <w:i/>
                <w:iCs/>
                <w:sz w:val="16"/>
                <w:szCs w:val="16"/>
              </w:rPr>
            </w:pPr>
            <w:r w:rsidRPr="00673C1F">
              <w:rPr>
                <w:rFonts w:ascii="Arial" w:hAnsi="Arial" w:cs="Arial"/>
                <w:i/>
                <w:iCs/>
                <w:sz w:val="16"/>
                <w:szCs w:val="16"/>
              </w:rPr>
              <w:noBreakHyphen/>
            </w:r>
            <w:r w:rsidR="003B54EA" w:rsidRPr="00673C1F">
              <w:rPr>
                <w:rFonts w:ascii="Arial" w:hAnsi="Arial" w:cs="Arial"/>
                <w:i/>
                <w:iCs/>
                <w:sz w:val="16"/>
                <w:szCs w:val="16"/>
              </w:rPr>
              <w:t>15.4</w:t>
            </w:r>
          </w:p>
        </w:tc>
      </w:tr>
      <w:tr w:rsidR="003B54EA" w:rsidRPr="00673C1F" w14:paraId="004A3B33" w14:textId="77777777" w:rsidTr="003B54EA">
        <w:trPr>
          <w:trHeight w:hRule="exact" w:val="225"/>
        </w:trPr>
        <w:tc>
          <w:tcPr>
            <w:tcW w:w="1993" w:type="pct"/>
            <w:tcBorders>
              <w:top w:val="nil"/>
              <w:left w:val="nil"/>
              <w:bottom w:val="single" w:sz="4" w:space="0" w:color="293F5B"/>
              <w:right w:val="nil"/>
            </w:tcBorders>
            <w:shd w:val="clear" w:color="000000" w:fill="FFFFFF"/>
            <w:noWrap/>
            <w:vAlign w:val="center"/>
            <w:hideMark/>
          </w:tcPr>
          <w:p w14:paraId="3C570825" w14:textId="77777777" w:rsidR="003B54EA" w:rsidRPr="00673C1F" w:rsidRDefault="003B54EA" w:rsidP="003B54EA">
            <w:pPr>
              <w:spacing w:before="0" w:after="0" w:line="240" w:lineRule="auto"/>
              <w:ind w:left="170"/>
              <w:rPr>
                <w:rFonts w:ascii="Arial" w:hAnsi="Arial" w:cs="Arial"/>
                <w:i/>
                <w:iCs/>
                <w:sz w:val="16"/>
                <w:szCs w:val="16"/>
              </w:rPr>
            </w:pPr>
            <w:r w:rsidRPr="00673C1F">
              <w:rPr>
                <w:rFonts w:ascii="Arial" w:hAnsi="Arial" w:cs="Arial"/>
                <w:i/>
                <w:iCs/>
                <w:sz w:val="16"/>
                <w:szCs w:val="16"/>
              </w:rPr>
              <w:t>Capital gains tax(b)</w:t>
            </w:r>
          </w:p>
        </w:tc>
        <w:tc>
          <w:tcPr>
            <w:tcW w:w="737" w:type="pct"/>
            <w:tcBorders>
              <w:top w:val="nil"/>
              <w:left w:val="nil"/>
              <w:bottom w:val="single" w:sz="4" w:space="0" w:color="293F5B"/>
              <w:right w:val="nil"/>
            </w:tcBorders>
            <w:shd w:val="clear" w:color="000000" w:fill="FFFFFF"/>
            <w:noWrap/>
            <w:vAlign w:val="center"/>
            <w:hideMark/>
          </w:tcPr>
          <w:p w14:paraId="71E04EC7"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25,000</w:t>
            </w:r>
          </w:p>
        </w:tc>
        <w:tc>
          <w:tcPr>
            <w:tcW w:w="737" w:type="pct"/>
            <w:tcBorders>
              <w:top w:val="nil"/>
              <w:left w:val="nil"/>
              <w:bottom w:val="single" w:sz="4" w:space="0" w:color="293F5B"/>
              <w:right w:val="nil"/>
            </w:tcBorders>
            <w:shd w:val="clear" w:color="000000" w:fill="E6F2FF"/>
            <w:noWrap/>
            <w:vAlign w:val="center"/>
            <w:hideMark/>
          </w:tcPr>
          <w:p w14:paraId="453B123E"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26,400</w:t>
            </w:r>
          </w:p>
        </w:tc>
        <w:tc>
          <w:tcPr>
            <w:tcW w:w="58" w:type="pct"/>
            <w:tcBorders>
              <w:top w:val="nil"/>
              <w:left w:val="nil"/>
              <w:bottom w:val="single" w:sz="4" w:space="0" w:color="293F5B"/>
              <w:right w:val="nil"/>
            </w:tcBorders>
            <w:shd w:val="clear" w:color="000000" w:fill="FFFFFF"/>
            <w:noWrap/>
            <w:vAlign w:val="center"/>
            <w:hideMark/>
          </w:tcPr>
          <w:p w14:paraId="0637A85F"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 </w:t>
            </w:r>
          </w:p>
        </w:tc>
        <w:tc>
          <w:tcPr>
            <w:tcW w:w="737" w:type="pct"/>
            <w:tcBorders>
              <w:top w:val="nil"/>
              <w:left w:val="nil"/>
              <w:bottom w:val="single" w:sz="4" w:space="0" w:color="293F5B"/>
              <w:right w:val="nil"/>
            </w:tcBorders>
            <w:shd w:val="clear" w:color="000000" w:fill="FFFFFF"/>
            <w:noWrap/>
            <w:vAlign w:val="center"/>
            <w:hideMark/>
          </w:tcPr>
          <w:p w14:paraId="204301CE"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1,400</w:t>
            </w:r>
          </w:p>
        </w:tc>
        <w:tc>
          <w:tcPr>
            <w:tcW w:w="737" w:type="pct"/>
            <w:tcBorders>
              <w:top w:val="nil"/>
              <w:left w:val="nil"/>
              <w:bottom w:val="single" w:sz="4" w:space="0" w:color="293F5B"/>
              <w:right w:val="nil"/>
            </w:tcBorders>
            <w:shd w:val="clear" w:color="000000" w:fill="FFFFFF"/>
            <w:noWrap/>
            <w:vAlign w:val="center"/>
            <w:hideMark/>
          </w:tcPr>
          <w:p w14:paraId="45A905A4"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5.6</w:t>
            </w:r>
          </w:p>
        </w:tc>
      </w:tr>
    </w:tbl>
    <w:p w14:paraId="67C0FD0C" w14:textId="502255EB" w:rsidR="00356E70" w:rsidRPr="00673C1F" w:rsidRDefault="006D727E" w:rsidP="00EE6B97">
      <w:pPr>
        <w:pStyle w:val="ChartandTableFootnoteAlpha"/>
        <w:numPr>
          <w:ilvl w:val="0"/>
          <w:numId w:val="35"/>
        </w:numPr>
        <w:rPr>
          <w:rFonts w:eastAsiaTheme="minorHAnsi"/>
          <w:color w:val="auto"/>
        </w:rPr>
      </w:pPr>
      <w:r w:rsidRPr="00673C1F">
        <w:rPr>
          <w:color w:val="auto"/>
        </w:rPr>
        <w:t>‘</w:t>
      </w:r>
      <w:r w:rsidR="00356E70" w:rsidRPr="00673C1F">
        <w:rPr>
          <w:color w:val="auto"/>
        </w:rPr>
        <w:t>Other alcoholic beverages</w:t>
      </w:r>
      <w:r w:rsidRPr="00673C1F">
        <w:rPr>
          <w:color w:val="auto"/>
        </w:rPr>
        <w:t>’</w:t>
      </w:r>
      <w:r w:rsidR="00356E70" w:rsidRPr="00673C1F">
        <w:rPr>
          <w:color w:val="auto"/>
        </w:rPr>
        <w:t xml:space="preserve"> are those not exceeding 10</w:t>
      </w:r>
      <w:r w:rsidR="000134EB" w:rsidRPr="00673C1F">
        <w:rPr>
          <w:color w:val="auto"/>
        </w:rPr>
        <w:t> </w:t>
      </w:r>
      <w:r w:rsidR="00356E70" w:rsidRPr="00673C1F">
        <w:rPr>
          <w:color w:val="auto"/>
        </w:rPr>
        <w:t>per</w:t>
      </w:r>
      <w:r w:rsidR="000134EB" w:rsidRPr="00673C1F">
        <w:rPr>
          <w:color w:val="auto"/>
        </w:rPr>
        <w:t> </w:t>
      </w:r>
      <w:r w:rsidR="00356E70" w:rsidRPr="00673C1F">
        <w:rPr>
          <w:color w:val="auto"/>
        </w:rPr>
        <w:t xml:space="preserve">cent by volume of alcohol (excluding beer, brandy and wine). </w:t>
      </w:r>
    </w:p>
    <w:p w14:paraId="3C9D20CA" w14:textId="001F9ED2" w:rsidR="00112017" w:rsidRDefault="006D727E" w:rsidP="00112017">
      <w:pPr>
        <w:pStyle w:val="ChartandTableFootnoteAlpha"/>
        <w:rPr>
          <w:color w:val="auto"/>
        </w:rPr>
      </w:pPr>
      <w:r w:rsidRPr="00673C1F">
        <w:rPr>
          <w:color w:val="auto"/>
        </w:rPr>
        <w:t>‘</w:t>
      </w:r>
      <w:r w:rsidR="00356E70" w:rsidRPr="00673C1F">
        <w:rPr>
          <w:color w:val="auto"/>
        </w:rPr>
        <w:t>Capital gains tax</w:t>
      </w:r>
      <w:r w:rsidRPr="00673C1F">
        <w:rPr>
          <w:color w:val="auto"/>
        </w:rPr>
        <w:t>’</w:t>
      </w:r>
      <w:r w:rsidR="00356E70" w:rsidRPr="00673C1F">
        <w:rPr>
          <w:color w:val="auto"/>
        </w:rPr>
        <w:t xml:space="preserve"> is part of gross other individuals, company tax and superannuation fund taxes.</w:t>
      </w:r>
    </w:p>
    <w:p w14:paraId="0BFB1706" w14:textId="77777777" w:rsidR="00112017" w:rsidRPr="00112017" w:rsidRDefault="00112017" w:rsidP="00112017">
      <w:pPr>
        <w:pStyle w:val="TableLine"/>
      </w:pPr>
    </w:p>
    <w:p w14:paraId="380D5453" w14:textId="6E305B10" w:rsidR="003B54EA" w:rsidRPr="00673C1F" w:rsidRDefault="00356E70" w:rsidP="003B54EA">
      <w:pPr>
        <w:pStyle w:val="TableHeading"/>
        <w:rPr>
          <w:rFonts w:asciiTheme="minorHAnsi" w:eastAsiaTheme="minorHAnsi" w:hAnsiTheme="minorHAnsi" w:cstheme="minorBidi"/>
          <w:b w:val="0"/>
          <w:sz w:val="22"/>
          <w:szCs w:val="22"/>
          <w:lang w:eastAsia="en-US"/>
        </w:rPr>
      </w:pPr>
      <w:r w:rsidRPr="00673C1F">
        <w:lastRenderedPageBreak/>
        <w:t>Table 5.10: Reconciliation of 202</w:t>
      </w:r>
      <w:r w:rsidR="00341278" w:rsidRPr="00673C1F">
        <w:t>4</w:t>
      </w:r>
      <w:r w:rsidRPr="00673C1F">
        <w:t>–2</w:t>
      </w:r>
      <w:r w:rsidR="00341278" w:rsidRPr="00673C1F">
        <w:t>5</w:t>
      </w:r>
      <w:r w:rsidRPr="00673C1F">
        <w:t xml:space="preserve"> general government (accrual) revenue</w:t>
      </w:r>
    </w:p>
    <w:tbl>
      <w:tblPr>
        <w:tblW w:w="5000" w:type="pct"/>
        <w:tblCellMar>
          <w:left w:w="0" w:type="dxa"/>
          <w:right w:w="28" w:type="dxa"/>
        </w:tblCellMar>
        <w:tblLook w:val="04A0" w:firstRow="1" w:lastRow="0" w:firstColumn="1" w:lastColumn="0" w:noHBand="0" w:noVBand="1"/>
      </w:tblPr>
      <w:tblGrid>
        <w:gridCol w:w="3101"/>
        <w:gridCol w:w="1119"/>
        <w:gridCol w:w="1121"/>
        <w:gridCol w:w="89"/>
        <w:gridCol w:w="1140"/>
        <w:gridCol w:w="1140"/>
      </w:tblGrid>
      <w:tr w:rsidR="003B54EA" w:rsidRPr="00673C1F" w14:paraId="3CEB99E7" w14:textId="77777777" w:rsidTr="003B54EA">
        <w:trPr>
          <w:trHeight w:hRule="exact" w:val="225"/>
        </w:trPr>
        <w:tc>
          <w:tcPr>
            <w:tcW w:w="2011" w:type="pct"/>
            <w:tcBorders>
              <w:top w:val="single" w:sz="4" w:space="0" w:color="293F5B"/>
              <w:left w:val="nil"/>
              <w:bottom w:val="nil"/>
              <w:right w:val="nil"/>
            </w:tcBorders>
            <w:shd w:val="clear" w:color="000000" w:fill="FFFFFF"/>
            <w:noWrap/>
            <w:vAlign w:val="center"/>
            <w:hideMark/>
          </w:tcPr>
          <w:p w14:paraId="026FB4F4" w14:textId="417B7391"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 </w:t>
            </w:r>
          </w:p>
        </w:tc>
        <w:tc>
          <w:tcPr>
            <w:tcW w:w="1453" w:type="pct"/>
            <w:gridSpan w:val="2"/>
            <w:tcBorders>
              <w:top w:val="single" w:sz="4" w:space="0" w:color="293F5B"/>
              <w:left w:val="nil"/>
              <w:bottom w:val="single" w:sz="4" w:space="0" w:color="293F5B"/>
              <w:right w:val="nil"/>
            </w:tcBorders>
            <w:shd w:val="clear" w:color="000000" w:fill="FFFFFF"/>
            <w:noWrap/>
            <w:vAlign w:val="center"/>
            <w:hideMark/>
          </w:tcPr>
          <w:p w14:paraId="127DB8E7" w14:textId="77777777" w:rsidR="003B54EA" w:rsidRPr="00673C1F" w:rsidRDefault="003B54EA" w:rsidP="003B54EA">
            <w:pPr>
              <w:spacing w:before="0" w:after="0" w:line="240" w:lineRule="auto"/>
              <w:jc w:val="center"/>
              <w:rPr>
                <w:rFonts w:ascii="Arial" w:hAnsi="Arial" w:cs="Arial"/>
                <w:sz w:val="16"/>
                <w:szCs w:val="16"/>
              </w:rPr>
            </w:pPr>
            <w:r w:rsidRPr="00673C1F">
              <w:rPr>
                <w:rFonts w:ascii="Arial" w:hAnsi="Arial" w:cs="Arial"/>
                <w:sz w:val="16"/>
                <w:szCs w:val="16"/>
              </w:rPr>
              <w:t>Estimates</w:t>
            </w:r>
          </w:p>
        </w:tc>
        <w:tc>
          <w:tcPr>
            <w:tcW w:w="58" w:type="pct"/>
            <w:tcBorders>
              <w:top w:val="single" w:sz="4" w:space="0" w:color="293F5B"/>
              <w:left w:val="nil"/>
              <w:bottom w:val="nil"/>
              <w:right w:val="nil"/>
            </w:tcBorders>
            <w:shd w:val="clear" w:color="000000" w:fill="FFFFFF"/>
            <w:noWrap/>
            <w:vAlign w:val="center"/>
            <w:hideMark/>
          </w:tcPr>
          <w:p w14:paraId="7C2B3B9A"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1479" w:type="pct"/>
            <w:gridSpan w:val="2"/>
            <w:tcBorders>
              <w:top w:val="single" w:sz="4" w:space="0" w:color="293F5B"/>
              <w:left w:val="nil"/>
              <w:bottom w:val="single" w:sz="4" w:space="0" w:color="293F5B"/>
              <w:right w:val="nil"/>
            </w:tcBorders>
            <w:shd w:val="clear" w:color="000000" w:fill="FFFFFF"/>
            <w:noWrap/>
            <w:vAlign w:val="center"/>
            <w:hideMark/>
          </w:tcPr>
          <w:p w14:paraId="219A70F1" w14:textId="77777777" w:rsidR="003B54EA" w:rsidRPr="00673C1F" w:rsidRDefault="003B54EA" w:rsidP="003B54EA">
            <w:pPr>
              <w:spacing w:before="0" w:after="0" w:line="240" w:lineRule="auto"/>
              <w:jc w:val="center"/>
              <w:rPr>
                <w:rFonts w:ascii="Arial" w:hAnsi="Arial" w:cs="Arial"/>
                <w:sz w:val="16"/>
                <w:szCs w:val="16"/>
              </w:rPr>
            </w:pPr>
            <w:r w:rsidRPr="00673C1F">
              <w:rPr>
                <w:rFonts w:ascii="Arial" w:hAnsi="Arial" w:cs="Arial"/>
                <w:sz w:val="16"/>
                <w:szCs w:val="16"/>
              </w:rPr>
              <w:t>Change on MYEFO</w:t>
            </w:r>
          </w:p>
        </w:tc>
      </w:tr>
      <w:tr w:rsidR="003B54EA" w:rsidRPr="00673C1F" w14:paraId="33376515" w14:textId="77777777" w:rsidTr="003B54EA">
        <w:trPr>
          <w:trHeight w:hRule="exact" w:val="225"/>
        </w:trPr>
        <w:tc>
          <w:tcPr>
            <w:tcW w:w="2011" w:type="pct"/>
            <w:tcBorders>
              <w:top w:val="nil"/>
              <w:left w:val="nil"/>
              <w:bottom w:val="nil"/>
              <w:right w:val="nil"/>
            </w:tcBorders>
            <w:shd w:val="clear" w:color="000000" w:fill="FFFFFF"/>
            <w:noWrap/>
            <w:vAlign w:val="center"/>
            <w:hideMark/>
          </w:tcPr>
          <w:p w14:paraId="357C1048"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 </w:t>
            </w:r>
          </w:p>
        </w:tc>
        <w:tc>
          <w:tcPr>
            <w:tcW w:w="726" w:type="pct"/>
            <w:tcBorders>
              <w:top w:val="nil"/>
              <w:left w:val="nil"/>
              <w:bottom w:val="nil"/>
              <w:right w:val="nil"/>
            </w:tcBorders>
            <w:shd w:val="clear" w:color="000000" w:fill="FFFFFF"/>
            <w:noWrap/>
            <w:vAlign w:val="center"/>
            <w:hideMark/>
          </w:tcPr>
          <w:p w14:paraId="73895A11"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MYEFO</w:t>
            </w:r>
          </w:p>
        </w:tc>
        <w:tc>
          <w:tcPr>
            <w:tcW w:w="726" w:type="pct"/>
            <w:tcBorders>
              <w:top w:val="nil"/>
              <w:left w:val="nil"/>
              <w:bottom w:val="nil"/>
              <w:right w:val="nil"/>
            </w:tcBorders>
            <w:shd w:val="clear" w:color="000000" w:fill="E6F2FF"/>
            <w:noWrap/>
            <w:vAlign w:val="center"/>
            <w:hideMark/>
          </w:tcPr>
          <w:p w14:paraId="77513C0D"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Budget</w:t>
            </w:r>
          </w:p>
        </w:tc>
        <w:tc>
          <w:tcPr>
            <w:tcW w:w="58" w:type="pct"/>
            <w:tcBorders>
              <w:top w:val="nil"/>
              <w:left w:val="nil"/>
              <w:bottom w:val="nil"/>
              <w:right w:val="nil"/>
            </w:tcBorders>
            <w:shd w:val="clear" w:color="000000" w:fill="FFFFFF"/>
            <w:noWrap/>
            <w:vAlign w:val="center"/>
            <w:hideMark/>
          </w:tcPr>
          <w:p w14:paraId="0279C4EC"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1479" w:type="pct"/>
            <w:gridSpan w:val="2"/>
            <w:tcBorders>
              <w:top w:val="single" w:sz="4" w:space="0" w:color="293F5B"/>
              <w:left w:val="nil"/>
              <w:bottom w:val="nil"/>
              <w:right w:val="nil"/>
            </w:tcBorders>
            <w:shd w:val="clear" w:color="000000" w:fill="FFFFFF"/>
            <w:noWrap/>
            <w:vAlign w:val="center"/>
            <w:hideMark/>
          </w:tcPr>
          <w:p w14:paraId="14845180" w14:textId="77777777" w:rsidR="003B54EA" w:rsidRPr="00673C1F" w:rsidRDefault="003B54EA" w:rsidP="003B54EA">
            <w:pPr>
              <w:spacing w:before="0" w:after="0" w:line="240" w:lineRule="auto"/>
              <w:jc w:val="center"/>
              <w:rPr>
                <w:rFonts w:ascii="Arial" w:hAnsi="Arial" w:cs="Arial"/>
                <w:sz w:val="16"/>
                <w:szCs w:val="16"/>
              </w:rPr>
            </w:pPr>
            <w:r w:rsidRPr="00673C1F">
              <w:rPr>
                <w:rFonts w:ascii="Arial" w:hAnsi="Arial" w:cs="Arial"/>
                <w:sz w:val="16"/>
                <w:szCs w:val="16"/>
              </w:rPr>
              <w:t xml:space="preserve"> </w:t>
            </w:r>
          </w:p>
        </w:tc>
      </w:tr>
      <w:tr w:rsidR="003B54EA" w:rsidRPr="00673C1F" w14:paraId="456C5904" w14:textId="77777777" w:rsidTr="003B54EA">
        <w:trPr>
          <w:trHeight w:hRule="exact" w:val="225"/>
        </w:trPr>
        <w:tc>
          <w:tcPr>
            <w:tcW w:w="2011" w:type="pct"/>
            <w:tcBorders>
              <w:top w:val="nil"/>
              <w:left w:val="nil"/>
              <w:bottom w:val="nil"/>
              <w:right w:val="nil"/>
            </w:tcBorders>
            <w:shd w:val="clear" w:color="000000" w:fill="FFFFFF"/>
            <w:vAlign w:val="center"/>
            <w:hideMark/>
          </w:tcPr>
          <w:p w14:paraId="6F2DAF57"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 </w:t>
            </w:r>
          </w:p>
        </w:tc>
        <w:tc>
          <w:tcPr>
            <w:tcW w:w="726" w:type="pct"/>
            <w:tcBorders>
              <w:top w:val="nil"/>
              <w:left w:val="nil"/>
              <w:bottom w:val="single" w:sz="4" w:space="0" w:color="293F5B"/>
              <w:right w:val="nil"/>
            </w:tcBorders>
            <w:shd w:val="clear" w:color="000000" w:fill="FFFFFF"/>
            <w:vAlign w:val="center"/>
            <w:hideMark/>
          </w:tcPr>
          <w:p w14:paraId="46AC9F35"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$m</w:t>
            </w:r>
          </w:p>
        </w:tc>
        <w:tc>
          <w:tcPr>
            <w:tcW w:w="726" w:type="pct"/>
            <w:tcBorders>
              <w:top w:val="nil"/>
              <w:left w:val="nil"/>
              <w:bottom w:val="single" w:sz="4" w:space="0" w:color="293F5B"/>
              <w:right w:val="nil"/>
            </w:tcBorders>
            <w:shd w:val="clear" w:color="000000" w:fill="E6F2FF"/>
            <w:vAlign w:val="center"/>
            <w:hideMark/>
          </w:tcPr>
          <w:p w14:paraId="67647ECE"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$m</w:t>
            </w:r>
          </w:p>
        </w:tc>
        <w:tc>
          <w:tcPr>
            <w:tcW w:w="58" w:type="pct"/>
            <w:tcBorders>
              <w:top w:val="nil"/>
              <w:left w:val="nil"/>
              <w:bottom w:val="nil"/>
              <w:right w:val="nil"/>
            </w:tcBorders>
            <w:shd w:val="clear" w:color="000000" w:fill="FFFFFF"/>
            <w:vAlign w:val="center"/>
            <w:hideMark/>
          </w:tcPr>
          <w:p w14:paraId="15619AC7"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9" w:type="pct"/>
            <w:tcBorders>
              <w:top w:val="nil"/>
              <w:left w:val="nil"/>
              <w:bottom w:val="single" w:sz="4" w:space="0" w:color="293F5B"/>
              <w:right w:val="nil"/>
            </w:tcBorders>
            <w:shd w:val="clear" w:color="000000" w:fill="FFFFFF"/>
            <w:vAlign w:val="center"/>
            <w:hideMark/>
          </w:tcPr>
          <w:p w14:paraId="5C7B7405"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$m</w:t>
            </w:r>
          </w:p>
        </w:tc>
        <w:tc>
          <w:tcPr>
            <w:tcW w:w="739" w:type="pct"/>
            <w:tcBorders>
              <w:top w:val="nil"/>
              <w:left w:val="nil"/>
              <w:bottom w:val="single" w:sz="4" w:space="0" w:color="293F5B"/>
              <w:right w:val="nil"/>
            </w:tcBorders>
            <w:shd w:val="clear" w:color="000000" w:fill="FFFFFF"/>
            <w:vAlign w:val="center"/>
            <w:hideMark/>
          </w:tcPr>
          <w:p w14:paraId="071ED8B5"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w:t>
            </w:r>
          </w:p>
        </w:tc>
      </w:tr>
      <w:tr w:rsidR="003B54EA" w:rsidRPr="00673C1F" w14:paraId="691441FC" w14:textId="77777777" w:rsidTr="003B54EA">
        <w:trPr>
          <w:trHeight w:hRule="exact" w:val="225"/>
        </w:trPr>
        <w:tc>
          <w:tcPr>
            <w:tcW w:w="2011" w:type="pct"/>
            <w:tcBorders>
              <w:top w:val="nil"/>
              <w:left w:val="nil"/>
              <w:bottom w:val="nil"/>
              <w:right w:val="nil"/>
            </w:tcBorders>
            <w:shd w:val="clear" w:color="000000" w:fill="FFFFFF"/>
            <w:noWrap/>
            <w:vAlign w:val="center"/>
            <w:hideMark/>
          </w:tcPr>
          <w:p w14:paraId="689FD04F"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Individuals and other withholding taxes</w:t>
            </w:r>
          </w:p>
        </w:tc>
        <w:tc>
          <w:tcPr>
            <w:tcW w:w="726" w:type="pct"/>
            <w:tcBorders>
              <w:top w:val="nil"/>
              <w:left w:val="nil"/>
              <w:bottom w:val="nil"/>
              <w:right w:val="nil"/>
            </w:tcBorders>
            <w:shd w:val="clear" w:color="000000" w:fill="FFFFFF"/>
            <w:noWrap/>
            <w:vAlign w:val="center"/>
            <w:hideMark/>
          </w:tcPr>
          <w:p w14:paraId="56074914"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26" w:type="pct"/>
            <w:tcBorders>
              <w:top w:val="nil"/>
              <w:left w:val="nil"/>
              <w:bottom w:val="nil"/>
              <w:right w:val="nil"/>
            </w:tcBorders>
            <w:shd w:val="clear" w:color="000000" w:fill="E6F2FF"/>
            <w:noWrap/>
            <w:vAlign w:val="center"/>
            <w:hideMark/>
          </w:tcPr>
          <w:p w14:paraId="708B710F"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58" w:type="pct"/>
            <w:tcBorders>
              <w:top w:val="nil"/>
              <w:left w:val="nil"/>
              <w:bottom w:val="nil"/>
              <w:right w:val="nil"/>
            </w:tcBorders>
            <w:shd w:val="clear" w:color="000000" w:fill="FFFFFF"/>
            <w:noWrap/>
            <w:vAlign w:val="center"/>
            <w:hideMark/>
          </w:tcPr>
          <w:p w14:paraId="307D42C3"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9" w:type="pct"/>
            <w:tcBorders>
              <w:top w:val="nil"/>
              <w:left w:val="nil"/>
              <w:bottom w:val="nil"/>
              <w:right w:val="nil"/>
            </w:tcBorders>
            <w:shd w:val="clear" w:color="000000" w:fill="FFFFFF"/>
            <w:noWrap/>
            <w:vAlign w:val="center"/>
            <w:hideMark/>
          </w:tcPr>
          <w:p w14:paraId="5077057C"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9" w:type="pct"/>
            <w:tcBorders>
              <w:top w:val="nil"/>
              <w:left w:val="nil"/>
              <w:bottom w:val="nil"/>
              <w:right w:val="nil"/>
            </w:tcBorders>
            <w:shd w:val="clear" w:color="000000" w:fill="FFFFFF"/>
            <w:noWrap/>
            <w:vAlign w:val="center"/>
            <w:hideMark/>
          </w:tcPr>
          <w:p w14:paraId="011A4D4D"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r>
      <w:tr w:rsidR="003B54EA" w:rsidRPr="00673C1F" w14:paraId="3804DEC7" w14:textId="77777777" w:rsidTr="003B54EA">
        <w:trPr>
          <w:trHeight w:hRule="exact" w:val="225"/>
        </w:trPr>
        <w:tc>
          <w:tcPr>
            <w:tcW w:w="2011" w:type="pct"/>
            <w:tcBorders>
              <w:top w:val="nil"/>
              <w:left w:val="nil"/>
              <w:bottom w:val="nil"/>
              <w:right w:val="nil"/>
            </w:tcBorders>
            <w:shd w:val="clear" w:color="000000" w:fill="FFFFFF"/>
            <w:noWrap/>
            <w:vAlign w:val="center"/>
            <w:hideMark/>
          </w:tcPr>
          <w:p w14:paraId="49345789" w14:textId="77777777" w:rsidR="003B54EA" w:rsidRPr="00673C1F" w:rsidRDefault="003B54EA" w:rsidP="003B54EA">
            <w:pPr>
              <w:spacing w:before="0" w:after="0" w:line="240" w:lineRule="auto"/>
              <w:ind w:left="170"/>
              <w:rPr>
                <w:rFonts w:ascii="Arial" w:hAnsi="Arial" w:cs="Arial"/>
                <w:sz w:val="16"/>
                <w:szCs w:val="16"/>
              </w:rPr>
            </w:pPr>
            <w:r w:rsidRPr="00673C1F">
              <w:rPr>
                <w:rFonts w:ascii="Arial" w:hAnsi="Arial" w:cs="Arial"/>
                <w:sz w:val="16"/>
                <w:szCs w:val="16"/>
              </w:rPr>
              <w:t>Gross income tax withholding</w:t>
            </w:r>
          </w:p>
        </w:tc>
        <w:tc>
          <w:tcPr>
            <w:tcW w:w="726" w:type="pct"/>
            <w:tcBorders>
              <w:top w:val="nil"/>
              <w:left w:val="nil"/>
              <w:bottom w:val="nil"/>
              <w:right w:val="nil"/>
            </w:tcBorders>
            <w:shd w:val="clear" w:color="000000" w:fill="FFFFFF"/>
            <w:noWrap/>
            <w:vAlign w:val="center"/>
            <w:hideMark/>
          </w:tcPr>
          <w:p w14:paraId="780EF2CA"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287,100</w:t>
            </w:r>
          </w:p>
        </w:tc>
        <w:tc>
          <w:tcPr>
            <w:tcW w:w="726" w:type="pct"/>
            <w:tcBorders>
              <w:top w:val="nil"/>
              <w:left w:val="nil"/>
              <w:bottom w:val="nil"/>
              <w:right w:val="nil"/>
            </w:tcBorders>
            <w:shd w:val="clear" w:color="000000" w:fill="E6F2FF"/>
            <w:noWrap/>
            <w:vAlign w:val="center"/>
            <w:hideMark/>
          </w:tcPr>
          <w:p w14:paraId="70852F48"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293,700</w:t>
            </w:r>
          </w:p>
        </w:tc>
        <w:tc>
          <w:tcPr>
            <w:tcW w:w="58" w:type="pct"/>
            <w:tcBorders>
              <w:top w:val="nil"/>
              <w:left w:val="nil"/>
              <w:bottom w:val="nil"/>
              <w:right w:val="nil"/>
            </w:tcBorders>
            <w:shd w:val="clear" w:color="000000" w:fill="FFFFFF"/>
            <w:noWrap/>
            <w:vAlign w:val="center"/>
            <w:hideMark/>
          </w:tcPr>
          <w:p w14:paraId="4073DFC2"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9" w:type="pct"/>
            <w:tcBorders>
              <w:top w:val="nil"/>
              <w:left w:val="nil"/>
              <w:bottom w:val="nil"/>
              <w:right w:val="nil"/>
            </w:tcBorders>
            <w:shd w:val="clear" w:color="000000" w:fill="FFFFFF"/>
            <w:noWrap/>
            <w:vAlign w:val="center"/>
            <w:hideMark/>
          </w:tcPr>
          <w:p w14:paraId="385BE008"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6,600</w:t>
            </w:r>
          </w:p>
        </w:tc>
        <w:tc>
          <w:tcPr>
            <w:tcW w:w="739" w:type="pct"/>
            <w:tcBorders>
              <w:top w:val="nil"/>
              <w:left w:val="nil"/>
              <w:bottom w:val="nil"/>
              <w:right w:val="nil"/>
            </w:tcBorders>
            <w:shd w:val="clear" w:color="000000" w:fill="FFFFFF"/>
            <w:noWrap/>
            <w:vAlign w:val="center"/>
            <w:hideMark/>
          </w:tcPr>
          <w:p w14:paraId="37AE627B"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2.3</w:t>
            </w:r>
          </w:p>
        </w:tc>
      </w:tr>
      <w:tr w:rsidR="003B54EA" w:rsidRPr="00673C1F" w14:paraId="429F52AD" w14:textId="77777777" w:rsidTr="003B54EA">
        <w:trPr>
          <w:trHeight w:hRule="exact" w:val="225"/>
        </w:trPr>
        <w:tc>
          <w:tcPr>
            <w:tcW w:w="2011" w:type="pct"/>
            <w:tcBorders>
              <w:top w:val="nil"/>
              <w:left w:val="nil"/>
              <w:bottom w:val="nil"/>
              <w:right w:val="nil"/>
            </w:tcBorders>
            <w:shd w:val="clear" w:color="000000" w:fill="FFFFFF"/>
            <w:noWrap/>
            <w:vAlign w:val="center"/>
            <w:hideMark/>
          </w:tcPr>
          <w:p w14:paraId="2DE346D2" w14:textId="77777777" w:rsidR="003B54EA" w:rsidRPr="00673C1F" w:rsidRDefault="003B54EA" w:rsidP="003B54EA">
            <w:pPr>
              <w:spacing w:before="0" w:after="0" w:line="240" w:lineRule="auto"/>
              <w:ind w:left="170"/>
              <w:rPr>
                <w:rFonts w:ascii="Arial" w:hAnsi="Arial" w:cs="Arial"/>
                <w:sz w:val="16"/>
                <w:szCs w:val="16"/>
              </w:rPr>
            </w:pPr>
            <w:r w:rsidRPr="00673C1F">
              <w:rPr>
                <w:rFonts w:ascii="Arial" w:hAnsi="Arial" w:cs="Arial"/>
                <w:sz w:val="16"/>
                <w:szCs w:val="16"/>
              </w:rPr>
              <w:t>Gross other individuals</w:t>
            </w:r>
          </w:p>
        </w:tc>
        <w:tc>
          <w:tcPr>
            <w:tcW w:w="726" w:type="pct"/>
            <w:tcBorders>
              <w:top w:val="nil"/>
              <w:left w:val="nil"/>
              <w:bottom w:val="nil"/>
              <w:right w:val="nil"/>
            </w:tcBorders>
            <w:shd w:val="clear" w:color="000000" w:fill="FFFFFF"/>
            <w:noWrap/>
            <w:vAlign w:val="center"/>
            <w:hideMark/>
          </w:tcPr>
          <w:p w14:paraId="0320A78E"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78,800</w:t>
            </w:r>
          </w:p>
        </w:tc>
        <w:tc>
          <w:tcPr>
            <w:tcW w:w="726" w:type="pct"/>
            <w:tcBorders>
              <w:top w:val="nil"/>
              <w:left w:val="nil"/>
              <w:bottom w:val="nil"/>
              <w:right w:val="nil"/>
            </w:tcBorders>
            <w:shd w:val="clear" w:color="000000" w:fill="E6F2FF"/>
            <w:noWrap/>
            <w:vAlign w:val="center"/>
            <w:hideMark/>
          </w:tcPr>
          <w:p w14:paraId="16C8AE15"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82,500</w:t>
            </w:r>
          </w:p>
        </w:tc>
        <w:tc>
          <w:tcPr>
            <w:tcW w:w="58" w:type="pct"/>
            <w:tcBorders>
              <w:top w:val="nil"/>
              <w:left w:val="nil"/>
              <w:bottom w:val="nil"/>
              <w:right w:val="nil"/>
            </w:tcBorders>
            <w:shd w:val="clear" w:color="000000" w:fill="FFFFFF"/>
            <w:noWrap/>
            <w:vAlign w:val="center"/>
            <w:hideMark/>
          </w:tcPr>
          <w:p w14:paraId="2BCB17A6"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9" w:type="pct"/>
            <w:tcBorders>
              <w:top w:val="nil"/>
              <w:left w:val="nil"/>
              <w:bottom w:val="nil"/>
              <w:right w:val="nil"/>
            </w:tcBorders>
            <w:shd w:val="clear" w:color="000000" w:fill="FFFFFF"/>
            <w:noWrap/>
            <w:vAlign w:val="center"/>
            <w:hideMark/>
          </w:tcPr>
          <w:p w14:paraId="295718BE"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3,700</w:t>
            </w:r>
          </w:p>
        </w:tc>
        <w:tc>
          <w:tcPr>
            <w:tcW w:w="739" w:type="pct"/>
            <w:tcBorders>
              <w:top w:val="nil"/>
              <w:left w:val="nil"/>
              <w:bottom w:val="nil"/>
              <w:right w:val="nil"/>
            </w:tcBorders>
            <w:shd w:val="clear" w:color="000000" w:fill="FFFFFF"/>
            <w:noWrap/>
            <w:vAlign w:val="center"/>
            <w:hideMark/>
          </w:tcPr>
          <w:p w14:paraId="0D5CF7E9"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4.7</w:t>
            </w:r>
          </w:p>
        </w:tc>
      </w:tr>
      <w:tr w:rsidR="003B54EA" w:rsidRPr="00673C1F" w14:paraId="2FECB8B7" w14:textId="77777777" w:rsidTr="003B54EA">
        <w:trPr>
          <w:trHeight w:hRule="exact" w:val="225"/>
        </w:trPr>
        <w:tc>
          <w:tcPr>
            <w:tcW w:w="2011" w:type="pct"/>
            <w:tcBorders>
              <w:top w:val="nil"/>
              <w:left w:val="nil"/>
              <w:bottom w:val="nil"/>
              <w:right w:val="nil"/>
            </w:tcBorders>
            <w:shd w:val="clear" w:color="000000" w:fill="FFFFFF"/>
            <w:noWrap/>
            <w:vAlign w:val="center"/>
            <w:hideMark/>
          </w:tcPr>
          <w:p w14:paraId="7533970D" w14:textId="77777777" w:rsidR="003B54EA" w:rsidRPr="00673C1F" w:rsidRDefault="003B54EA" w:rsidP="003B54EA">
            <w:pPr>
              <w:spacing w:before="0" w:after="0" w:line="240" w:lineRule="auto"/>
              <w:ind w:left="170"/>
              <w:rPr>
                <w:rFonts w:ascii="Arial" w:hAnsi="Arial" w:cs="Arial"/>
                <w:i/>
                <w:iCs/>
                <w:sz w:val="16"/>
                <w:szCs w:val="16"/>
              </w:rPr>
            </w:pPr>
            <w:r w:rsidRPr="00673C1F">
              <w:rPr>
                <w:rFonts w:ascii="Arial" w:hAnsi="Arial" w:cs="Arial"/>
                <w:i/>
                <w:iCs/>
                <w:sz w:val="16"/>
                <w:szCs w:val="16"/>
              </w:rPr>
              <w:t>less:</w:t>
            </w:r>
            <w:r w:rsidRPr="00673C1F">
              <w:rPr>
                <w:rFonts w:ascii="Arial" w:hAnsi="Arial" w:cs="Arial"/>
                <w:sz w:val="16"/>
                <w:szCs w:val="16"/>
              </w:rPr>
              <w:t xml:space="preserve"> Refunds</w:t>
            </w:r>
          </w:p>
        </w:tc>
        <w:tc>
          <w:tcPr>
            <w:tcW w:w="726" w:type="pct"/>
            <w:tcBorders>
              <w:top w:val="nil"/>
              <w:left w:val="nil"/>
              <w:bottom w:val="single" w:sz="4" w:space="0" w:color="293F5B"/>
              <w:right w:val="nil"/>
            </w:tcBorders>
            <w:shd w:val="clear" w:color="000000" w:fill="FFFFFF"/>
            <w:noWrap/>
            <w:vAlign w:val="center"/>
            <w:hideMark/>
          </w:tcPr>
          <w:p w14:paraId="5736D69E"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39,100</w:t>
            </w:r>
          </w:p>
        </w:tc>
        <w:tc>
          <w:tcPr>
            <w:tcW w:w="726" w:type="pct"/>
            <w:tcBorders>
              <w:top w:val="nil"/>
              <w:left w:val="nil"/>
              <w:bottom w:val="single" w:sz="4" w:space="0" w:color="293F5B"/>
              <w:right w:val="nil"/>
            </w:tcBorders>
            <w:shd w:val="clear" w:color="000000" w:fill="E6F2FF"/>
            <w:noWrap/>
            <w:vAlign w:val="center"/>
            <w:hideMark/>
          </w:tcPr>
          <w:p w14:paraId="6DD43FD7"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40,600</w:t>
            </w:r>
          </w:p>
        </w:tc>
        <w:tc>
          <w:tcPr>
            <w:tcW w:w="58" w:type="pct"/>
            <w:tcBorders>
              <w:top w:val="nil"/>
              <w:left w:val="nil"/>
              <w:bottom w:val="nil"/>
              <w:right w:val="nil"/>
            </w:tcBorders>
            <w:shd w:val="clear" w:color="000000" w:fill="FFFFFF"/>
            <w:noWrap/>
            <w:vAlign w:val="center"/>
            <w:hideMark/>
          </w:tcPr>
          <w:p w14:paraId="02A21026"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9" w:type="pct"/>
            <w:tcBorders>
              <w:top w:val="nil"/>
              <w:left w:val="nil"/>
              <w:bottom w:val="single" w:sz="4" w:space="0" w:color="293F5B"/>
              <w:right w:val="nil"/>
            </w:tcBorders>
            <w:shd w:val="clear" w:color="000000" w:fill="FFFFFF"/>
            <w:noWrap/>
            <w:vAlign w:val="center"/>
            <w:hideMark/>
          </w:tcPr>
          <w:p w14:paraId="1E522ACB"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1,500</w:t>
            </w:r>
          </w:p>
        </w:tc>
        <w:tc>
          <w:tcPr>
            <w:tcW w:w="739" w:type="pct"/>
            <w:tcBorders>
              <w:top w:val="nil"/>
              <w:left w:val="nil"/>
              <w:bottom w:val="single" w:sz="4" w:space="0" w:color="293F5B"/>
              <w:right w:val="nil"/>
            </w:tcBorders>
            <w:shd w:val="clear" w:color="000000" w:fill="FFFFFF"/>
            <w:noWrap/>
            <w:vAlign w:val="center"/>
            <w:hideMark/>
          </w:tcPr>
          <w:p w14:paraId="51406EEF"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3.8</w:t>
            </w:r>
          </w:p>
        </w:tc>
      </w:tr>
      <w:tr w:rsidR="003B54EA" w:rsidRPr="00673C1F" w14:paraId="7B95A5AA" w14:textId="77777777" w:rsidTr="003B54EA">
        <w:trPr>
          <w:trHeight w:hRule="exact" w:val="225"/>
        </w:trPr>
        <w:tc>
          <w:tcPr>
            <w:tcW w:w="2011" w:type="pct"/>
            <w:tcBorders>
              <w:top w:val="nil"/>
              <w:left w:val="nil"/>
              <w:bottom w:val="nil"/>
              <w:right w:val="nil"/>
            </w:tcBorders>
            <w:shd w:val="clear" w:color="000000" w:fill="FFFFFF"/>
            <w:noWrap/>
            <w:vAlign w:val="center"/>
            <w:hideMark/>
          </w:tcPr>
          <w:p w14:paraId="277721EB"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Total individuals and other withholding tax</w:t>
            </w:r>
          </w:p>
        </w:tc>
        <w:tc>
          <w:tcPr>
            <w:tcW w:w="726" w:type="pct"/>
            <w:tcBorders>
              <w:top w:val="nil"/>
              <w:left w:val="nil"/>
              <w:bottom w:val="nil"/>
              <w:right w:val="nil"/>
            </w:tcBorders>
            <w:shd w:val="clear" w:color="000000" w:fill="FFFFFF"/>
            <w:noWrap/>
            <w:vAlign w:val="center"/>
            <w:hideMark/>
          </w:tcPr>
          <w:p w14:paraId="205CFB41"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326,800</w:t>
            </w:r>
          </w:p>
        </w:tc>
        <w:tc>
          <w:tcPr>
            <w:tcW w:w="726" w:type="pct"/>
            <w:tcBorders>
              <w:top w:val="nil"/>
              <w:left w:val="nil"/>
              <w:bottom w:val="nil"/>
              <w:right w:val="nil"/>
            </w:tcBorders>
            <w:shd w:val="clear" w:color="000000" w:fill="E6F2FF"/>
            <w:noWrap/>
            <w:vAlign w:val="center"/>
            <w:hideMark/>
          </w:tcPr>
          <w:p w14:paraId="2A1FC003"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335,600</w:t>
            </w:r>
          </w:p>
        </w:tc>
        <w:tc>
          <w:tcPr>
            <w:tcW w:w="58" w:type="pct"/>
            <w:tcBorders>
              <w:top w:val="nil"/>
              <w:left w:val="nil"/>
              <w:bottom w:val="nil"/>
              <w:right w:val="nil"/>
            </w:tcBorders>
            <w:shd w:val="clear" w:color="000000" w:fill="FFFFFF"/>
            <w:noWrap/>
            <w:vAlign w:val="center"/>
            <w:hideMark/>
          </w:tcPr>
          <w:p w14:paraId="1F15ECF0"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9" w:type="pct"/>
            <w:tcBorders>
              <w:top w:val="nil"/>
              <w:left w:val="nil"/>
              <w:bottom w:val="nil"/>
              <w:right w:val="nil"/>
            </w:tcBorders>
            <w:shd w:val="clear" w:color="000000" w:fill="FFFFFF"/>
            <w:noWrap/>
            <w:vAlign w:val="center"/>
            <w:hideMark/>
          </w:tcPr>
          <w:p w14:paraId="272F6F5B"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8,800</w:t>
            </w:r>
          </w:p>
        </w:tc>
        <w:tc>
          <w:tcPr>
            <w:tcW w:w="739" w:type="pct"/>
            <w:tcBorders>
              <w:top w:val="nil"/>
              <w:left w:val="nil"/>
              <w:bottom w:val="nil"/>
              <w:right w:val="nil"/>
            </w:tcBorders>
            <w:shd w:val="clear" w:color="000000" w:fill="FFFFFF"/>
            <w:noWrap/>
            <w:vAlign w:val="center"/>
            <w:hideMark/>
          </w:tcPr>
          <w:p w14:paraId="61CFCA6D"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2.7</w:t>
            </w:r>
          </w:p>
        </w:tc>
      </w:tr>
      <w:tr w:rsidR="003B54EA" w:rsidRPr="00673C1F" w14:paraId="779F0CD4" w14:textId="77777777" w:rsidTr="003B54EA">
        <w:trPr>
          <w:trHeight w:hRule="exact" w:val="225"/>
        </w:trPr>
        <w:tc>
          <w:tcPr>
            <w:tcW w:w="2011" w:type="pct"/>
            <w:tcBorders>
              <w:top w:val="nil"/>
              <w:left w:val="nil"/>
              <w:bottom w:val="nil"/>
              <w:right w:val="nil"/>
            </w:tcBorders>
            <w:shd w:val="clear" w:color="000000" w:fill="FFFFFF"/>
            <w:noWrap/>
            <w:vAlign w:val="center"/>
            <w:hideMark/>
          </w:tcPr>
          <w:p w14:paraId="37016471"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Fringe benefits tax</w:t>
            </w:r>
          </w:p>
        </w:tc>
        <w:tc>
          <w:tcPr>
            <w:tcW w:w="726" w:type="pct"/>
            <w:tcBorders>
              <w:top w:val="nil"/>
              <w:left w:val="nil"/>
              <w:bottom w:val="nil"/>
              <w:right w:val="nil"/>
            </w:tcBorders>
            <w:shd w:val="clear" w:color="000000" w:fill="FFFFFF"/>
            <w:noWrap/>
            <w:vAlign w:val="center"/>
            <w:hideMark/>
          </w:tcPr>
          <w:p w14:paraId="4B771C4A"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4,050</w:t>
            </w:r>
          </w:p>
        </w:tc>
        <w:tc>
          <w:tcPr>
            <w:tcW w:w="726" w:type="pct"/>
            <w:tcBorders>
              <w:top w:val="nil"/>
              <w:left w:val="nil"/>
              <w:bottom w:val="nil"/>
              <w:right w:val="nil"/>
            </w:tcBorders>
            <w:shd w:val="clear" w:color="000000" w:fill="E6F2FF"/>
            <w:noWrap/>
            <w:vAlign w:val="center"/>
            <w:hideMark/>
          </w:tcPr>
          <w:p w14:paraId="33852989"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4,130</w:t>
            </w:r>
          </w:p>
        </w:tc>
        <w:tc>
          <w:tcPr>
            <w:tcW w:w="58" w:type="pct"/>
            <w:tcBorders>
              <w:top w:val="nil"/>
              <w:left w:val="nil"/>
              <w:bottom w:val="nil"/>
              <w:right w:val="nil"/>
            </w:tcBorders>
            <w:shd w:val="clear" w:color="000000" w:fill="FFFFFF"/>
            <w:noWrap/>
            <w:vAlign w:val="center"/>
            <w:hideMark/>
          </w:tcPr>
          <w:p w14:paraId="169740C4"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9" w:type="pct"/>
            <w:tcBorders>
              <w:top w:val="nil"/>
              <w:left w:val="nil"/>
              <w:bottom w:val="nil"/>
              <w:right w:val="nil"/>
            </w:tcBorders>
            <w:shd w:val="clear" w:color="000000" w:fill="FFFFFF"/>
            <w:noWrap/>
            <w:vAlign w:val="center"/>
            <w:hideMark/>
          </w:tcPr>
          <w:p w14:paraId="439C6A6E"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80</w:t>
            </w:r>
          </w:p>
        </w:tc>
        <w:tc>
          <w:tcPr>
            <w:tcW w:w="739" w:type="pct"/>
            <w:tcBorders>
              <w:top w:val="nil"/>
              <w:left w:val="nil"/>
              <w:bottom w:val="nil"/>
              <w:right w:val="nil"/>
            </w:tcBorders>
            <w:shd w:val="clear" w:color="000000" w:fill="FFFFFF"/>
            <w:noWrap/>
            <w:vAlign w:val="center"/>
            <w:hideMark/>
          </w:tcPr>
          <w:p w14:paraId="62ABE5E2"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2.0</w:t>
            </w:r>
          </w:p>
        </w:tc>
      </w:tr>
      <w:tr w:rsidR="003B54EA" w:rsidRPr="00673C1F" w14:paraId="00167941" w14:textId="77777777" w:rsidTr="003B54EA">
        <w:trPr>
          <w:trHeight w:hRule="exact" w:val="225"/>
        </w:trPr>
        <w:tc>
          <w:tcPr>
            <w:tcW w:w="2011" w:type="pct"/>
            <w:tcBorders>
              <w:top w:val="nil"/>
              <w:left w:val="nil"/>
              <w:bottom w:val="nil"/>
              <w:right w:val="nil"/>
            </w:tcBorders>
            <w:shd w:val="clear" w:color="000000" w:fill="FFFFFF"/>
            <w:noWrap/>
            <w:vAlign w:val="center"/>
            <w:hideMark/>
          </w:tcPr>
          <w:p w14:paraId="2BBC1947"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Company tax</w:t>
            </w:r>
          </w:p>
        </w:tc>
        <w:tc>
          <w:tcPr>
            <w:tcW w:w="726" w:type="pct"/>
            <w:tcBorders>
              <w:top w:val="nil"/>
              <w:left w:val="nil"/>
              <w:bottom w:val="nil"/>
              <w:right w:val="nil"/>
            </w:tcBorders>
            <w:shd w:val="clear" w:color="000000" w:fill="FFFFFF"/>
            <w:noWrap/>
            <w:vAlign w:val="center"/>
            <w:hideMark/>
          </w:tcPr>
          <w:p w14:paraId="6A2280CC"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136,000</w:t>
            </w:r>
          </w:p>
        </w:tc>
        <w:tc>
          <w:tcPr>
            <w:tcW w:w="726" w:type="pct"/>
            <w:tcBorders>
              <w:top w:val="nil"/>
              <w:left w:val="nil"/>
              <w:bottom w:val="nil"/>
              <w:right w:val="nil"/>
            </w:tcBorders>
            <w:shd w:val="clear" w:color="000000" w:fill="E6F2FF"/>
            <w:noWrap/>
            <w:vAlign w:val="center"/>
            <w:hideMark/>
          </w:tcPr>
          <w:p w14:paraId="48B4014E"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141,200</w:t>
            </w:r>
          </w:p>
        </w:tc>
        <w:tc>
          <w:tcPr>
            <w:tcW w:w="58" w:type="pct"/>
            <w:tcBorders>
              <w:top w:val="nil"/>
              <w:left w:val="nil"/>
              <w:bottom w:val="nil"/>
              <w:right w:val="nil"/>
            </w:tcBorders>
            <w:shd w:val="clear" w:color="000000" w:fill="FFFFFF"/>
            <w:noWrap/>
            <w:vAlign w:val="center"/>
            <w:hideMark/>
          </w:tcPr>
          <w:p w14:paraId="3CA2D618"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9" w:type="pct"/>
            <w:tcBorders>
              <w:top w:val="nil"/>
              <w:left w:val="nil"/>
              <w:bottom w:val="nil"/>
              <w:right w:val="nil"/>
            </w:tcBorders>
            <w:shd w:val="clear" w:color="000000" w:fill="FFFFFF"/>
            <w:noWrap/>
            <w:vAlign w:val="center"/>
            <w:hideMark/>
          </w:tcPr>
          <w:p w14:paraId="4DFC1881"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5,200</w:t>
            </w:r>
          </w:p>
        </w:tc>
        <w:tc>
          <w:tcPr>
            <w:tcW w:w="739" w:type="pct"/>
            <w:tcBorders>
              <w:top w:val="nil"/>
              <w:left w:val="nil"/>
              <w:bottom w:val="nil"/>
              <w:right w:val="nil"/>
            </w:tcBorders>
            <w:shd w:val="clear" w:color="000000" w:fill="FFFFFF"/>
            <w:noWrap/>
            <w:vAlign w:val="center"/>
            <w:hideMark/>
          </w:tcPr>
          <w:p w14:paraId="5B44F922"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3.8</w:t>
            </w:r>
          </w:p>
        </w:tc>
      </w:tr>
      <w:tr w:rsidR="003B54EA" w:rsidRPr="00673C1F" w14:paraId="247B59CA" w14:textId="77777777" w:rsidTr="003B54EA">
        <w:trPr>
          <w:trHeight w:hRule="exact" w:val="225"/>
        </w:trPr>
        <w:tc>
          <w:tcPr>
            <w:tcW w:w="2011" w:type="pct"/>
            <w:tcBorders>
              <w:top w:val="nil"/>
              <w:left w:val="nil"/>
              <w:bottom w:val="nil"/>
              <w:right w:val="nil"/>
            </w:tcBorders>
            <w:shd w:val="clear" w:color="000000" w:fill="FFFFFF"/>
            <w:noWrap/>
            <w:vAlign w:val="center"/>
            <w:hideMark/>
          </w:tcPr>
          <w:p w14:paraId="7936554D"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Superannuation fund taxes</w:t>
            </w:r>
          </w:p>
        </w:tc>
        <w:tc>
          <w:tcPr>
            <w:tcW w:w="726" w:type="pct"/>
            <w:tcBorders>
              <w:top w:val="nil"/>
              <w:left w:val="nil"/>
              <w:bottom w:val="nil"/>
              <w:right w:val="nil"/>
            </w:tcBorders>
            <w:shd w:val="clear" w:color="000000" w:fill="FFFFFF"/>
            <w:noWrap/>
            <w:vAlign w:val="center"/>
            <w:hideMark/>
          </w:tcPr>
          <w:p w14:paraId="34736F00"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23,190</w:t>
            </w:r>
          </w:p>
        </w:tc>
        <w:tc>
          <w:tcPr>
            <w:tcW w:w="726" w:type="pct"/>
            <w:tcBorders>
              <w:top w:val="nil"/>
              <w:left w:val="nil"/>
              <w:bottom w:val="nil"/>
              <w:right w:val="nil"/>
            </w:tcBorders>
            <w:shd w:val="clear" w:color="000000" w:fill="E6F2FF"/>
            <w:noWrap/>
            <w:vAlign w:val="center"/>
            <w:hideMark/>
          </w:tcPr>
          <w:p w14:paraId="4B761636"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19,830</w:t>
            </w:r>
          </w:p>
        </w:tc>
        <w:tc>
          <w:tcPr>
            <w:tcW w:w="58" w:type="pct"/>
            <w:tcBorders>
              <w:top w:val="nil"/>
              <w:left w:val="nil"/>
              <w:bottom w:val="nil"/>
              <w:right w:val="nil"/>
            </w:tcBorders>
            <w:shd w:val="clear" w:color="000000" w:fill="FFFFFF"/>
            <w:noWrap/>
            <w:vAlign w:val="center"/>
            <w:hideMark/>
          </w:tcPr>
          <w:p w14:paraId="0C3EECD6"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9" w:type="pct"/>
            <w:tcBorders>
              <w:top w:val="nil"/>
              <w:left w:val="nil"/>
              <w:bottom w:val="nil"/>
              <w:right w:val="nil"/>
            </w:tcBorders>
            <w:shd w:val="clear" w:color="000000" w:fill="FFFFFF"/>
            <w:noWrap/>
            <w:vAlign w:val="center"/>
            <w:hideMark/>
          </w:tcPr>
          <w:p w14:paraId="651091B3" w14:textId="792911B8"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3,360</w:t>
            </w:r>
          </w:p>
        </w:tc>
        <w:tc>
          <w:tcPr>
            <w:tcW w:w="739" w:type="pct"/>
            <w:tcBorders>
              <w:top w:val="nil"/>
              <w:left w:val="nil"/>
              <w:bottom w:val="nil"/>
              <w:right w:val="nil"/>
            </w:tcBorders>
            <w:shd w:val="clear" w:color="000000" w:fill="FFFFFF"/>
            <w:noWrap/>
            <w:vAlign w:val="center"/>
            <w:hideMark/>
          </w:tcPr>
          <w:p w14:paraId="47B27690" w14:textId="1F556A86"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14.5</w:t>
            </w:r>
          </w:p>
        </w:tc>
      </w:tr>
      <w:tr w:rsidR="003B54EA" w:rsidRPr="00673C1F" w14:paraId="1AD0C5C2" w14:textId="77777777" w:rsidTr="003B54EA">
        <w:trPr>
          <w:trHeight w:hRule="exact" w:val="225"/>
        </w:trPr>
        <w:tc>
          <w:tcPr>
            <w:tcW w:w="2011" w:type="pct"/>
            <w:tcBorders>
              <w:top w:val="nil"/>
              <w:left w:val="nil"/>
              <w:bottom w:val="nil"/>
              <w:right w:val="nil"/>
            </w:tcBorders>
            <w:shd w:val="clear" w:color="000000" w:fill="FFFFFF"/>
            <w:noWrap/>
            <w:vAlign w:val="center"/>
            <w:hideMark/>
          </w:tcPr>
          <w:p w14:paraId="2B306E4E"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Petroleum resource rent tax</w:t>
            </w:r>
          </w:p>
        </w:tc>
        <w:tc>
          <w:tcPr>
            <w:tcW w:w="726" w:type="pct"/>
            <w:tcBorders>
              <w:top w:val="nil"/>
              <w:left w:val="nil"/>
              <w:bottom w:val="single" w:sz="4" w:space="0" w:color="293F5B"/>
              <w:right w:val="nil"/>
            </w:tcBorders>
            <w:shd w:val="clear" w:color="000000" w:fill="FFFFFF"/>
            <w:noWrap/>
            <w:vAlign w:val="center"/>
            <w:hideMark/>
          </w:tcPr>
          <w:p w14:paraId="7C046A98"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2,290</w:t>
            </w:r>
          </w:p>
        </w:tc>
        <w:tc>
          <w:tcPr>
            <w:tcW w:w="726" w:type="pct"/>
            <w:tcBorders>
              <w:top w:val="nil"/>
              <w:left w:val="nil"/>
              <w:bottom w:val="single" w:sz="4" w:space="0" w:color="293F5B"/>
              <w:right w:val="nil"/>
            </w:tcBorders>
            <w:shd w:val="clear" w:color="000000" w:fill="E6F2FF"/>
            <w:noWrap/>
            <w:vAlign w:val="center"/>
            <w:hideMark/>
          </w:tcPr>
          <w:p w14:paraId="507A3544"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2,590</w:t>
            </w:r>
          </w:p>
        </w:tc>
        <w:tc>
          <w:tcPr>
            <w:tcW w:w="58" w:type="pct"/>
            <w:tcBorders>
              <w:top w:val="nil"/>
              <w:left w:val="nil"/>
              <w:bottom w:val="nil"/>
              <w:right w:val="nil"/>
            </w:tcBorders>
            <w:shd w:val="clear" w:color="000000" w:fill="FFFFFF"/>
            <w:noWrap/>
            <w:vAlign w:val="center"/>
            <w:hideMark/>
          </w:tcPr>
          <w:p w14:paraId="7B5A48D7"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9" w:type="pct"/>
            <w:tcBorders>
              <w:top w:val="nil"/>
              <w:left w:val="nil"/>
              <w:bottom w:val="single" w:sz="4" w:space="0" w:color="293F5B"/>
              <w:right w:val="nil"/>
            </w:tcBorders>
            <w:shd w:val="clear" w:color="000000" w:fill="FFFFFF"/>
            <w:noWrap/>
            <w:vAlign w:val="center"/>
            <w:hideMark/>
          </w:tcPr>
          <w:p w14:paraId="51A969D3"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300</w:t>
            </w:r>
          </w:p>
        </w:tc>
        <w:tc>
          <w:tcPr>
            <w:tcW w:w="739" w:type="pct"/>
            <w:tcBorders>
              <w:top w:val="nil"/>
              <w:left w:val="nil"/>
              <w:bottom w:val="single" w:sz="4" w:space="0" w:color="293F5B"/>
              <w:right w:val="nil"/>
            </w:tcBorders>
            <w:shd w:val="clear" w:color="000000" w:fill="FFFFFF"/>
            <w:noWrap/>
            <w:vAlign w:val="center"/>
            <w:hideMark/>
          </w:tcPr>
          <w:p w14:paraId="6B4D9818"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13.1</w:t>
            </w:r>
          </w:p>
        </w:tc>
      </w:tr>
      <w:tr w:rsidR="003B54EA" w:rsidRPr="00673C1F" w14:paraId="0593FF89" w14:textId="77777777" w:rsidTr="003B54EA">
        <w:trPr>
          <w:trHeight w:hRule="exact" w:val="225"/>
        </w:trPr>
        <w:tc>
          <w:tcPr>
            <w:tcW w:w="2011" w:type="pct"/>
            <w:tcBorders>
              <w:top w:val="nil"/>
              <w:left w:val="nil"/>
              <w:bottom w:val="nil"/>
              <w:right w:val="nil"/>
            </w:tcBorders>
            <w:shd w:val="clear" w:color="000000" w:fill="FFFFFF"/>
            <w:noWrap/>
            <w:vAlign w:val="center"/>
            <w:hideMark/>
          </w:tcPr>
          <w:p w14:paraId="563F72D3" w14:textId="77777777" w:rsidR="003B54EA" w:rsidRPr="00673C1F" w:rsidRDefault="003B54EA" w:rsidP="003B54EA">
            <w:pPr>
              <w:spacing w:before="0" w:after="0" w:line="240" w:lineRule="auto"/>
              <w:rPr>
                <w:rFonts w:ascii="Arial" w:hAnsi="Arial" w:cs="Arial"/>
                <w:b/>
                <w:bCs/>
                <w:sz w:val="16"/>
                <w:szCs w:val="16"/>
              </w:rPr>
            </w:pPr>
            <w:r w:rsidRPr="00673C1F">
              <w:rPr>
                <w:rFonts w:ascii="Arial" w:hAnsi="Arial" w:cs="Arial"/>
                <w:b/>
                <w:bCs/>
                <w:sz w:val="16"/>
                <w:szCs w:val="16"/>
              </w:rPr>
              <w:t>Income taxation revenue</w:t>
            </w:r>
          </w:p>
        </w:tc>
        <w:tc>
          <w:tcPr>
            <w:tcW w:w="726" w:type="pct"/>
            <w:tcBorders>
              <w:top w:val="nil"/>
              <w:left w:val="nil"/>
              <w:bottom w:val="single" w:sz="4" w:space="0" w:color="293F5B"/>
              <w:right w:val="nil"/>
            </w:tcBorders>
            <w:shd w:val="clear" w:color="000000" w:fill="FFFFFF"/>
            <w:noWrap/>
            <w:vAlign w:val="center"/>
            <w:hideMark/>
          </w:tcPr>
          <w:p w14:paraId="5B24F034"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492,330</w:t>
            </w:r>
          </w:p>
        </w:tc>
        <w:tc>
          <w:tcPr>
            <w:tcW w:w="726" w:type="pct"/>
            <w:tcBorders>
              <w:top w:val="nil"/>
              <w:left w:val="nil"/>
              <w:bottom w:val="single" w:sz="4" w:space="0" w:color="293F5B"/>
              <w:right w:val="nil"/>
            </w:tcBorders>
            <w:shd w:val="clear" w:color="000000" w:fill="E6F2FF"/>
            <w:noWrap/>
            <w:vAlign w:val="center"/>
            <w:hideMark/>
          </w:tcPr>
          <w:p w14:paraId="331FD5C8"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503,350</w:t>
            </w:r>
          </w:p>
        </w:tc>
        <w:tc>
          <w:tcPr>
            <w:tcW w:w="58" w:type="pct"/>
            <w:tcBorders>
              <w:top w:val="nil"/>
              <w:left w:val="nil"/>
              <w:bottom w:val="nil"/>
              <w:right w:val="nil"/>
            </w:tcBorders>
            <w:shd w:val="clear" w:color="000000" w:fill="FFFFFF"/>
            <w:noWrap/>
            <w:vAlign w:val="center"/>
            <w:hideMark/>
          </w:tcPr>
          <w:p w14:paraId="675919CB"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739" w:type="pct"/>
            <w:tcBorders>
              <w:top w:val="single" w:sz="4" w:space="0" w:color="auto"/>
              <w:left w:val="nil"/>
              <w:bottom w:val="single" w:sz="4" w:space="0" w:color="293F5B"/>
              <w:right w:val="nil"/>
            </w:tcBorders>
            <w:shd w:val="clear" w:color="000000" w:fill="FFFFFF"/>
            <w:noWrap/>
            <w:vAlign w:val="center"/>
            <w:hideMark/>
          </w:tcPr>
          <w:p w14:paraId="603F6D2A"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11,020</w:t>
            </w:r>
          </w:p>
        </w:tc>
        <w:tc>
          <w:tcPr>
            <w:tcW w:w="739" w:type="pct"/>
            <w:tcBorders>
              <w:top w:val="single" w:sz="4" w:space="0" w:color="auto"/>
              <w:left w:val="nil"/>
              <w:bottom w:val="single" w:sz="4" w:space="0" w:color="293F5B"/>
              <w:right w:val="nil"/>
            </w:tcBorders>
            <w:shd w:val="clear" w:color="000000" w:fill="FFFFFF"/>
            <w:noWrap/>
            <w:vAlign w:val="center"/>
            <w:hideMark/>
          </w:tcPr>
          <w:p w14:paraId="7C4BDE16"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2.2</w:t>
            </w:r>
          </w:p>
        </w:tc>
      </w:tr>
      <w:tr w:rsidR="003B54EA" w:rsidRPr="00673C1F" w14:paraId="3DCB75FA" w14:textId="77777777" w:rsidTr="003B54EA">
        <w:trPr>
          <w:trHeight w:hRule="exact" w:val="225"/>
        </w:trPr>
        <w:tc>
          <w:tcPr>
            <w:tcW w:w="2011" w:type="pct"/>
            <w:tcBorders>
              <w:top w:val="nil"/>
              <w:left w:val="nil"/>
              <w:bottom w:val="nil"/>
              <w:right w:val="nil"/>
            </w:tcBorders>
            <w:shd w:val="clear" w:color="000000" w:fill="FFFFFF"/>
            <w:noWrap/>
            <w:vAlign w:val="center"/>
            <w:hideMark/>
          </w:tcPr>
          <w:p w14:paraId="19BEE2E5"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Goods and services tax</w:t>
            </w:r>
          </w:p>
        </w:tc>
        <w:tc>
          <w:tcPr>
            <w:tcW w:w="726" w:type="pct"/>
            <w:tcBorders>
              <w:top w:val="nil"/>
              <w:left w:val="nil"/>
              <w:bottom w:val="nil"/>
              <w:right w:val="nil"/>
            </w:tcBorders>
            <w:shd w:val="clear" w:color="000000" w:fill="FFFFFF"/>
            <w:noWrap/>
            <w:vAlign w:val="center"/>
            <w:hideMark/>
          </w:tcPr>
          <w:p w14:paraId="4B13208A"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92,580</w:t>
            </w:r>
          </w:p>
        </w:tc>
        <w:tc>
          <w:tcPr>
            <w:tcW w:w="726" w:type="pct"/>
            <w:tcBorders>
              <w:top w:val="nil"/>
              <w:left w:val="nil"/>
              <w:bottom w:val="nil"/>
              <w:right w:val="nil"/>
            </w:tcBorders>
            <w:shd w:val="clear" w:color="000000" w:fill="E6F2FF"/>
            <w:noWrap/>
            <w:vAlign w:val="center"/>
            <w:hideMark/>
          </w:tcPr>
          <w:p w14:paraId="37D43490"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92,070</w:t>
            </w:r>
          </w:p>
        </w:tc>
        <w:tc>
          <w:tcPr>
            <w:tcW w:w="58" w:type="pct"/>
            <w:tcBorders>
              <w:top w:val="nil"/>
              <w:left w:val="nil"/>
              <w:bottom w:val="nil"/>
              <w:right w:val="nil"/>
            </w:tcBorders>
            <w:shd w:val="clear" w:color="000000" w:fill="FFFFFF"/>
            <w:noWrap/>
            <w:vAlign w:val="center"/>
            <w:hideMark/>
          </w:tcPr>
          <w:p w14:paraId="62F13766"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739" w:type="pct"/>
            <w:tcBorders>
              <w:top w:val="nil"/>
              <w:left w:val="nil"/>
              <w:bottom w:val="nil"/>
              <w:right w:val="nil"/>
            </w:tcBorders>
            <w:shd w:val="clear" w:color="000000" w:fill="FFFFFF"/>
            <w:noWrap/>
            <w:vAlign w:val="center"/>
            <w:hideMark/>
          </w:tcPr>
          <w:p w14:paraId="5AE74202" w14:textId="15C3B243"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510</w:t>
            </w:r>
          </w:p>
        </w:tc>
        <w:tc>
          <w:tcPr>
            <w:tcW w:w="739" w:type="pct"/>
            <w:tcBorders>
              <w:top w:val="nil"/>
              <w:left w:val="nil"/>
              <w:bottom w:val="nil"/>
              <w:right w:val="nil"/>
            </w:tcBorders>
            <w:shd w:val="clear" w:color="000000" w:fill="FFFFFF"/>
            <w:noWrap/>
            <w:vAlign w:val="center"/>
            <w:hideMark/>
          </w:tcPr>
          <w:p w14:paraId="74DC2D86" w14:textId="342B5077"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0.6</w:t>
            </w:r>
          </w:p>
        </w:tc>
      </w:tr>
      <w:tr w:rsidR="003B54EA" w:rsidRPr="00673C1F" w14:paraId="6CCD5CE3" w14:textId="77777777" w:rsidTr="003B54EA">
        <w:trPr>
          <w:trHeight w:hRule="exact" w:val="225"/>
        </w:trPr>
        <w:tc>
          <w:tcPr>
            <w:tcW w:w="2011" w:type="pct"/>
            <w:tcBorders>
              <w:top w:val="nil"/>
              <w:left w:val="nil"/>
              <w:bottom w:val="nil"/>
              <w:right w:val="nil"/>
            </w:tcBorders>
            <w:shd w:val="clear" w:color="000000" w:fill="FFFFFF"/>
            <w:noWrap/>
            <w:vAlign w:val="center"/>
            <w:hideMark/>
          </w:tcPr>
          <w:p w14:paraId="4179BAE2"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Wine equalisation tax</w:t>
            </w:r>
          </w:p>
        </w:tc>
        <w:tc>
          <w:tcPr>
            <w:tcW w:w="726" w:type="pct"/>
            <w:tcBorders>
              <w:top w:val="nil"/>
              <w:left w:val="nil"/>
              <w:bottom w:val="nil"/>
              <w:right w:val="nil"/>
            </w:tcBorders>
            <w:shd w:val="clear" w:color="000000" w:fill="FFFFFF"/>
            <w:noWrap/>
            <w:vAlign w:val="center"/>
            <w:hideMark/>
          </w:tcPr>
          <w:p w14:paraId="76033961"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1,180</w:t>
            </w:r>
          </w:p>
        </w:tc>
        <w:tc>
          <w:tcPr>
            <w:tcW w:w="726" w:type="pct"/>
            <w:tcBorders>
              <w:top w:val="nil"/>
              <w:left w:val="nil"/>
              <w:bottom w:val="nil"/>
              <w:right w:val="nil"/>
            </w:tcBorders>
            <w:shd w:val="clear" w:color="000000" w:fill="E6F2FF"/>
            <w:noWrap/>
            <w:vAlign w:val="center"/>
            <w:hideMark/>
          </w:tcPr>
          <w:p w14:paraId="74BD30CD"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1,150</w:t>
            </w:r>
          </w:p>
        </w:tc>
        <w:tc>
          <w:tcPr>
            <w:tcW w:w="58" w:type="pct"/>
            <w:tcBorders>
              <w:top w:val="nil"/>
              <w:left w:val="nil"/>
              <w:bottom w:val="nil"/>
              <w:right w:val="nil"/>
            </w:tcBorders>
            <w:shd w:val="clear" w:color="000000" w:fill="FFFFFF"/>
            <w:noWrap/>
            <w:vAlign w:val="center"/>
            <w:hideMark/>
          </w:tcPr>
          <w:p w14:paraId="19061E56"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739" w:type="pct"/>
            <w:tcBorders>
              <w:top w:val="nil"/>
              <w:left w:val="nil"/>
              <w:bottom w:val="nil"/>
              <w:right w:val="nil"/>
            </w:tcBorders>
            <w:shd w:val="clear" w:color="000000" w:fill="FFFFFF"/>
            <w:noWrap/>
            <w:vAlign w:val="center"/>
            <w:hideMark/>
          </w:tcPr>
          <w:p w14:paraId="1AC69872" w14:textId="230489EE"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30</w:t>
            </w:r>
          </w:p>
        </w:tc>
        <w:tc>
          <w:tcPr>
            <w:tcW w:w="739" w:type="pct"/>
            <w:tcBorders>
              <w:top w:val="nil"/>
              <w:left w:val="nil"/>
              <w:bottom w:val="nil"/>
              <w:right w:val="nil"/>
            </w:tcBorders>
            <w:shd w:val="clear" w:color="000000" w:fill="FFFFFF"/>
            <w:noWrap/>
            <w:vAlign w:val="center"/>
            <w:hideMark/>
          </w:tcPr>
          <w:p w14:paraId="4FD300AA" w14:textId="39AF5291"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2.5</w:t>
            </w:r>
          </w:p>
        </w:tc>
      </w:tr>
      <w:tr w:rsidR="003B54EA" w:rsidRPr="00673C1F" w14:paraId="5D78883C" w14:textId="77777777" w:rsidTr="003B54EA">
        <w:trPr>
          <w:trHeight w:hRule="exact" w:val="225"/>
        </w:trPr>
        <w:tc>
          <w:tcPr>
            <w:tcW w:w="2011" w:type="pct"/>
            <w:tcBorders>
              <w:top w:val="nil"/>
              <w:left w:val="nil"/>
              <w:bottom w:val="nil"/>
              <w:right w:val="nil"/>
            </w:tcBorders>
            <w:shd w:val="clear" w:color="000000" w:fill="FFFFFF"/>
            <w:noWrap/>
            <w:vAlign w:val="center"/>
            <w:hideMark/>
          </w:tcPr>
          <w:p w14:paraId="1D715638"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Luxury car tax</w:t>
            </w:r>
          </w:p>
        </w:tc>
        <w:tc>
          <w:tcPr>
            <w:tcW w:w="726" w:type="pct"/>
            <w:tcBorders>
              <w:top w:val="nil"/>
              <w:left w:val="nil"/>
              <w:bottom w:val="nil"/>
              <w:right w:val="nil"/>
            </w:tcBorders>
            <w:shd w:val="clear" w:color="000000" w:fill="FFFFFF"/>
            <w:noWrap/>
            <w:vAlign w:val="center"/>
            <w:hideMark/>
          </w:tcPr>
          <w:p w14:paraId="20056F99"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1,080</w:t>
            </w:r>
          </w:p>
        </w:tc>
        <w:tc>
          <w:tcPr>
            <w:tcW w:w="726" w:type="pct"/>
            <w:tcBorders>
              <w:top w:val="nil"/>
              <w:left w:val="nil"/>
              <w:bottom w:val="nil"/>
              <w:right w:val="nil"/>
            </w:tcBorders>
            <w:shd w:val="clear" w:color="000000" w:fill="E6F2FF"/>
            <w:noWrap/>
            <w:vAlign w:val="center"/>
            <w:hideMark/>
          </w:tcPr>
          <w:p w14:paraId="0B96FE7A"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1,110</w:t>
            </w:r>
          </w:p>
        </w:tc>
        <w:tc>
          <w:tcPr>
            <w:tcW w:w="58" w:type="pct"/>
            <w:tcBorders>
              <w:top w:val="nil"/>
              <w:left w:val="nil"/>
              <w:bottom w:val="nil"/>
              <w:right w:val="nil"/>
            </w:tcBorders>
            <w:shd w:val="clear" w:color="000000" w:fill="FFFFFF"/>
            <w:noWrap/>
            <w:vAlign w:val="center"/>
            <w:hideMark/>
          </w:tcPr>
          <w:p w14:paraId="3AAD4325"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739" w:type="pct"/>
            <w:tcBorders>
              <w:top w:val="nil"/>
              <w:left w:val="nil"/>
              <w:bottom w:val="nil"/>
              <w:right w:val="nil"/>
            </w:tcBorders>
            <w:shd w:val="clear" w:color="000000" w:fill="FFFFFF"/>
            <w:noWrap/>
            <w:vAlign w:val="center"/>
            <w:hideMark/>
          </w:tcPr>
          <w:p w14:paraId="23F5BE75"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30</w:t>
            </w:r>
          </w:p>
        </w:tc>
        <w:tc>
          <w:tcPr>
            <w:tcW w:w="739" w:type="pct"/>
            <w:tcBorders>
              <w:top w:val="nil"/>
              <w:left w:val="nil"/>
              <w:bottom w:val="nil"/>
              <w:right w:val="nil"/>
            </w:tcBorders>
            <w:shd w:val="clear" w:color="000000" w:fill="FFFFFF"/>
            <w:noWrap/>
            <w:vAlign w:val="center"/>
            <w:hideMark/>
          </w:tcPr>
          <w:p w14:paraId="25984414"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2.8</w:t>
            </w:r>
          </w:p>
        </w:tc>
      </w:tr>
      <w:tr w:rsidR="003B54EA" w:rsidRPr="00673C1F" w14:paraId="09E70D7E" w14:textId="77777777" w:rsidTr="003B54EA">
        <w:trPr>
          <w:trHeight w:hRule="exact" w:val="225"/>
        </w:trPr>
        <w:tc>
          <w:tcPr>
            <w:tcW w:w="2011" w:type="pct"/>
            <w:tcBorders>
              <w:top w:val="nil"/>
              <w:left w:val="nil"/>
              <w:bottom w:val="nil"/>
              <w:right w:val="nil"/>
            </w:tcBorders>
            <w:shd w:val="clear" w:color="000000" w:fill="FFFFFF"/>
            <w:noWrap/>
            <w:vAlign w:val="center"/>
            <w:hideMark/>
          </w:tcPr>
          <w:p w14:paraId="740F3EE2"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 xml:space="preserve">Excise and customs duty  </w:t>
            </w:r>
          </w:p>
        </w:tc>
        <w:tc>
          <w:tcPr>
            <w:tcW w:w="726" w:type="pct"/>
            <w:tcBorders>
              <w:top w:val="nil"/>
              <w:left w:val="nil"/>
              <w:bottom w:val="nil"/>
              <w:right w:val="nil"/>
            </w:tcBorders>
            <w:shd w:val="clear" w:color="000000" w:fill="FFFFFF"/>
            <w:noWrap/>
            <w:vAlign w:val="center"/>
            <w:hideMark/>
          </w:tcPr>
          <w:p w14:paraId="07EC632F"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26" w:type="pct"/>
            <w:tcBorders>
              <w:top w:val="nil"/>
              <w:left w:val="nil"/>
              <w:bottom w:val="nil"/>
              <w:right w:val="nil"/>
            </w:tcBorders>
            <w:shd w:val="clear" w:color="000000" w:fill="E6F2FF"/>
            <w:noWrap/>
            <w:vAlign w:val="center"/>
            <w:hideMark/>
          </w:tcPr>
          <w:p w14:paraId="12A5B7F3"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58" w:type="pct"/>
            <w:tcBorders>
              <w:top w:val="nil"/>
              <w:left w:val="nil"/>
              <w:bottom w:val="nil"/>
              <w:right w:val="nil"/>
            </w:tcBorders>
            <w:shd w:val="clear" w:color="000000" w:fill="FFFFFF"/>
            <w:noWrap/>
            <w:vAlign w:val="center"/>
            <w:hideMark/>
          </w:tcPr>
          <w:p w14:paraId="7A8EAFC1"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9" w:type="pct"/>
            <w:tcBorders>
              <w:top w:val="nil"/>
              <w:left w:val="nil"/>
              <w:bottom w:val="nil"/>
              <w:right w:val="nil"/>
            </w:tcBorders>
            <w:shd w:val="clear" w:color="000000" w:fill="FFFFFF"/>
            <w:noWrap/>
            <w:vAlign w:val="center"/>
            <w:hideMark/>
          </w:tcPr>
          <w:p w14:paraId="4EF96E15"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9" w:type="pct"/>
            <w:tcBorders>
              <w:top w:val="nil"/>
              <w:left w:val="nil"/>
              <w:bottom w:val="nil"/>
              <w:right w:val="nil"/>
            </w:tcBorders>
            <w:shd w:val="clear" w:color="000000" w:fill="FFFFFF"/>
            <w:noWrap/>
            <w:vAlign w:val="center"/>
            <w:hideMark/>
          </w:tcPr>
          <w:p w14:paraId="5200F5EB"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r>
      <w:tr w:rsidR="003B54EA" w:rsidRPr="00673C1F" w14:paraId="4DEC564A" w14:textId="77777777" w:rsidTr="003B54EA">
        <w:trPr>
          <w:trHeight w:hRule="exact" w:val="225"/>
        </w:trPr>
        <w:tc>
          <w:tcPr>
            <w:tcW w:w="2011" w:type="pct"/>
            <w:tcBorders>
              <w:top w:val="nil"/>
              <w:left w:val="nil"/>
              <w:bottom w:val="nil"/>
              <w:right w:val="nil"/>
            </w:tcBorders>
            <w:shd w:val="clear" w:color="000000" w:fill="FFFFFF"/>
            <w:noWrap/>
            <w:vAlign w:val="center"/>
            <w:hideMark/>
          </w:tcPr>
          <w:p w14:paraId="7FFD5B6F" w14:textId="77777777" w:rsidR="003B54EA" w:rsidRPr="00673C1F" w:rsidRDefault="003B54EA" w:rsidP="003B54EA">
            <w:pPr>
              <w:spacing w:before="0" w:after="0" w:line="240" w:lineRule="auto"/>
              <w:ind w:left="170"/>
              <w:rPr>
                <w:rFonts w:ascii="Arial" w:hAnsi="Arial" w:cs="Arial"/>
                <w:sz w:val="16"/>
                <w:szCs w:val="16"/>
              </w:rPr>
            </w:pPr>
            <w:r w:rsidRPr="00673C1F">
              <w:rPr>
                <w:rFonts w:ascii="Arial" w:hAnsi="Arial" w:cs="Arial"/>
                <w:sz w:val="16"/>
                <w:szCs w:val="16"/>
              </w:rPr>
              <w:t>Petrol</w:t>
            </w:r>
          </w:p>
        </w:tc>
        <w:tc>
          <w:tcPr>
            <w:tcW w:w="726" w:type="pct"/>
            <w:tcBorders>
              <w:top w:val="nil"/>
              <w:left w:val="nil"/>
              <w:bottom w:val="nil"/>
              <w:right w:val="nil"/>
            </w:tcBorders>
            <w:shd w:val="clear" w:color="000000" w:fill="FFFFFF"/>
            <w:noWrap/>
            <w:vAlign w:val="center"/>
            <w:hideMark/>
          </w:tcPr>
          <w:p w14:paraId="35A9A829"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7,200</w:t>
            </w:r>
          </w:p>
        </w:tc>
        <w:tc>
          <w:tcPr>
            <w:tcW w:w="726" w:type="pct"/>
            <w:tcBorders>
              <w:top w:val="nil"/>
              <w:left w:val="nil"/>
              <w:bottom w:val="nil"/>
              <w:right w:val="nil"/>
            </w:tcBorders>
            <w:shd w:val="clear" w:color="000000" w:fill="E6F2FF"/>
            <w:noWrap/>
            <w:vAlign w:val="center"/>
            <w:hideMark/>
          </w:tcPr>
          <w:p w14:paraId="48A50A08"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7,150</w:t>
            </w:r>
          </w:p>
        </w:tc>
        <w:tc>
          <w:tcPr>
            <w:tcW w:w="58" w:type="pct"/>
            <w:tcBorders>
              <w:top w:val="nil"/>
              <w:left w:val="nil"/>
              <w:bottom w:val="nil"/>
              <w:right w:val="nil"/>
            </w:tcBorders>
            <w:shd w:val="clear" w:color="000000" w:fill="FFFFFF"/>
            <w:noWrap/>
            <w:vAlign w:val="center"/>
            <w:hideMark/>
          </w:tcPr>
          <w:p w14:paraId="7E7EA646"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9" w:type="pct"/>
            <w:tcBorders>
              <w:top w:val="nil"/>
              <w:left w:val="nil"/>
              <w:bottom w:val="nil"/>
              <w:right w:val="nil"/>
            </w:tcBorders>
            <w:shd w:val="clear" w:color="000000" w:fill="FFFFFF"/>
            <w:noWrap/>
            <w:vAlign w:val="center"/>
            <w:hideMark/>
          </w:tcPr>
          <w:p w14:paraId="5BBDD5AC" w14:textId="7DB4F238"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50</w:t>
            </w:r>
          </w:p>
        </w:tc>
        <w:tc>
          <w:tcPr>
            <w:tcW w:w="739" w:type="pct"/>
            <w:tcBorders>
              <w:top w:val="nil"/>
              <w:left w:val="nil"/>
              <w:bottom w:val="nil"/>
              <w:right w:val="nil"/>
            </w:tcBorders>
            <w:shd w:val="clear" w:color="000000" w:fill="FFFFFF"/>
            <w:noWrap/>
            <w:vAlign w:val="center"/>
            <w:hideMark/>
          </w:tcPr>
          <w:p w14:paraId="1CBB0645" w14:textId="7624E67C"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0.7</w:t>
            </w:r>
          </w:p>
        </w:tc>
      </w:tr>
      <w:tr w:rsidR="003B54EA" w:rsidRPr="00673C1F" w14:paraId="20D76EE4" w14:textId="77777777" w:rsidTr="003B54EA">
        <w:trPr>
          <w:trHeight w:hRule="exact" w:val="225"/>
        </w:trPr>
        <w:tc>
          <w:tcPr>
            <w:tcW w:w="2011" w:type="pct"/>
            <w:tcBorders>
              <w:top w:val="nil"/>
              <w:left w:val="nil"/>
              <w:bottom w:val="nil"/>
              <w:right w:val="nil"/>
            </w:tcBorders>
            <w:shd w:val="clear" w:color="000000" w:fill="FFFFFF"/>
            <w:noWrap/>
            <w:vAlign w:val="center"/>
            <w:hideMark/>
          </w:tcPr>
          <w:p w14:paraId="7EB72AD2" w14:textId="77777777" w:rsidR="003B54EA" w:rsidRPr="00673C1F" w:rsidRDefault="003B54EA" w:rsidP="003B54EA">
            <w:pPr>
              <w:spacing w:before="0" w:after="0" w:line="240" w:lineRule="auto"/>
              <w:ind w:left="170"/>
              <w:rPr>
                <w:rFonts w:ascii="Arial" w:hAnsi="Arial" w:cs="Arial"/>
                <w:sz w:val="16"/>
                <w:szCs w:val="16"/>
              </w:rPr>
            </w:pPr>
            <w:r w:rsidRPr="00673C1F">
              <w:rPr>
                <w:rFonts w:ascii="Arial" w:hAnsi="Arial" w:cs="Arial"/>
                <w:sz w:val="16"/>
                <w:szCs w:val="16"/>
              </w:rPr>
              <w:t>Diesel</w:t>
            </w:r>
          </w:p>
        </w:tc>
        <w:tc>
          <w:tcPr>
            <w:tcW w:w="726" w:type="pct"/>
            <w:tcBorders>
              <w:top w:val="nil"/>
              <w:left w:val="nil"/>
              <w:bottom w:val="nil"/>
              <w:right w:val="nil"/>
            </w:tcBorders>
            <w:shd w:val="clear" w:color="000000" w:fill="FFFFFF"/>
            <w:noWrap/>
            <w:vAlign w:val="center"/>
            <w:hideMark/>
          </w:tcPr>
          <w:p w14:paraId="53F2C79A"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16,790</w:t>
            </w:r>
          </w:p>
        </w:tc>
        <w:tc>
          <w:tcPr>
            <w:tcW w:w="726" w:type="pct"/>
            <w:tcBorders>
              <w:top w:val="nil"/>
              <w:left w:val="nil"/>
              <w:bottom w:val="nil"/>
              <w:right w:val="nil"/>
            </w:tcBorders>
            <w:shd w:val="clear" w:color="000000" w:fill="E6F2FF"/>
            <w:noWrap/>
            <w:vAlign w:val="center"/>
            <w:hideMark/>
          </w:tcPr>
          <w:p w14:paraId="23E04EF7"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17,040</w:t>
            </w:r>
          </w:p>
        </w:tc>
        <w:tc>
          <w:tcPr>
            <w:tcW w:w="58" w:type="pct"/>
            <w:tcBorders>
              <w:top w:val="nil"/>
              <w:left w:val="nil"/>
              <w:bottom w:val="nil"/>
              <w:right w:val="nil"/>
            </w:tcBorders>
            <w:shd w:val="clear" w:color="000000" w:fill="FFFFFF"/>
            <w:noWrap/>
            <w:vAlign w:val="center"/>
            <w:hideMark/>
          </w:tcPr>
          <w:p w14:paraId="6F422269"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9" w:type="pct"/>
            <w:tcBorders>
              <w:top w:val="nil"/>
              <w:left w:val="nil"/>
              <w:bottom w:val="nil"/>
              <w:right w:val="nil"/>
            </w:tcBorders>
            <w:shd w:val="clear" w:color="000000" w:fill="FFFFFF"/>
            <w:noWrap/>
            <w:vAlign w:val="center"/>
            <w:hideMark/>
          </w:tcPr>
          <w:p w14:paraId="572EF753"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250</w:t>
            </w:r>
          </w:p>
        </w:tc>
        <w:tc>
          <w:tcPr>
            <w:tcW w:w="739" w:type="pct"/>
            <w:tcBorders>
              <w:top w:val="nil"/>
              <w:left w:val="nil"/>
              <w:bottom w:val="nil"/>
              <w:right w:val="nil"/>
            </w:tcBorders>
            <w:shd w:val="clear" w:color="000000" w:fill="FFFFFF"/>
            <w:noWrap/>
            <w:vAlign w:val="center"/>
            <w:hideMark/>
          </w:tcPr>
          <w:p w14:paraId="3FD31B9F"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1.5</w:t>
            </w:r>
          </w:p>
        </w:tc>
      </w:tr>
      <w:tr w:rsidR="003B54EA" w:rsidRPr="00673C1F" w14:paraId="59DC4F1C" w14:textId="77777777" w:rsidTr="003B54EA">
        <w:trPr>
          <w:trHeight w:hRule="exact" w:val="225"/>
        </w:trPr>
        <w:tc>
          <w:tcPr>
            <w:tcW w:w="2011" w:type="pct"/>
            <w:tcBorders>
              <w:top w:val="nil"/>
              <w:left w:val="nil"/>
              <w:bottom w:val="nil"/>
              <w:right w:val="nil"/>
            </w:tcBorders>
            <w:shd w:val="clear" w:color="000000" w:fill="FFFFFF"/>
            <w:noWrap/>
            <w:vAlign w:val="center"/>
            <w:hideMark/>
          </w:tcPr>
          <w:p w14:paraId="03C5E94A" w14:textId="77777777" w:rsidR="003B54EA" w:rsidRPr="00673C1F" w:rsidRDefault="003B54EA" w:rsidP="003B54EA">
            <w:pPr>
              <w:spacing w:before="0" w:after="0" w:line="240" w:lineRule="auto"/>
              <w:ind w:left="170"/>
              <w:rPr>
                <w:rFonts w:ascii="Arial" w:hAnsi="Arial" w:cs="Arial"/>
                <w:sz w:val="16"/>
                <w:szCs w:val="16"/>
              </w:rPr>
            </w:pPr>
            <w:r w:rsidRPr="00673C1F">
              <w:rPr>
                <w:rFonts w:ascii="Arial" w:hAnsi="Arial" w:cs="Arial"/>
                <w:sz w:val="16"/>
                <w:szCs w:val="16"/>
              </w:rPr>
              <w:t>Other fuel products</w:t>
            </w:r>
          </w:p>
        </w:tc>
        <w:tc>
          <w:tcPr>
            <w:tcW w:w="726" w:type="pct"/>
            <w:tcBorders>
              <w:top w:val="nil"/>
              <w:left w:val="nil"/>
              <w:bottom w:val="nil"/>
              <w:right w:val="nil"/>
            </w:tcBorders>
            <w:shd w:val="clear" w:color="000000" w:fill="FFFFFF"/>
            <w:noWrap/>
            <w:vAlign w:val="center"/>
            <w:hideMark/>
          </w:tcPr>
          <w:p w14:paraId="5A9361CC"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2,310</w:t>
            </w:r>
          </w:p>
        </w:tc>
        <w:tc>
          <w:tcPr>
            <w:tcW w:w="726" w:type="pct"/>
            <w:tcBorders>
              <w:top w:val="nil"/>
              <w:left w:val="nil"/>
              <w:bottom w:val="nil"/>
              <w:right w:val="nil"/>
            </w:tcBorders>
            <w:shd w:val="clear" w:color="000000" w:fill="E6F2FF"/>
            <w:noWrap/>
            <w:vAlign w:val="center"/>
            <w:hideMark/>
          </w:tcPr>
          <w:p w14:paraId="631BA580"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2,190</w:t>
            </w:r>
          </w:p>
        </w:tc>
        <w:tc>
          <w:tcPr>
            <w:tcW w:w="58" w:type="pct"/>
            <w:tcBorders>
              <w:top w:val="nil"/>
              <w:left w:val="nil"/>
              <w:bottom w:val="nil"/>
              <w:right w:val="nil"/>
            </w:tcBorders>
            <w:shd w:val="clear" w:color="000000" w:fill="FFFFFF"/>
            <w:noWrap/>
            <w:vAlign w:val="center"/>
            <w:hideMark/>
          </w:tcPr>
          <w:p w14:paraId="36A909E6"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9" w:type="pct"/>
            <w:tcBorders>
              <w:top w:val="nil"/>
              <w:left w:val="nil"/>
              <w:bottom w:val="nil"/>
              <w:right w:val="nil"/>
            </w:tcBorders>
            <w:shd w:val="clear" w:color="000000" w:fill="FFFFFF"/>
            <w:noWrap/>
            <w:vAlign w:val="center"/>
            <w:hideMark/>
          </w:tcPr>
          <w:p w14:paraId="0DED93B3" w14:textId="3CF62825"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120</w:t>
            </w:r>
          </w:p>
        </w:tc>
        <w:tc>
          <w:tcPr>
            <w:tcW w:w="739" w:type="pct"/>
            <w:tcBorders>
              <w:top w:val="nil"/>
              <w:left w:val="nil"/>
              <w:bottom w:val="nil"/>
              <w:right w:val="nil"/>
            </w:tcBorders>
            <w:shd w:val="clear" w:color="000000" w:fill="FFFFFF"/>
            <w:noWrap/>
            <w:vAlign w:val="center"/>
            <w:hideMark/>
          </w:tcPr>
          <w:p w14:paraId="6E47F704" w14:textId="19198842"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5.2</w:t>
            </w:r>
          </w:p>
        </w:tc>
      </w:tr>
      <w:tr w:rsidR="003B54EA" w:rsidRPr="00673C1F" w14:paraId="3BAFBB08" w14:textId="77777777" w:rsidTr="003B54EA">
        <w:trPr>
          <w:trHeight w:hRule="exact" w:val="225"/>
        </w:trPr>
        <w:tc>
          <w:tcPr>
            <w:tcW w:w="2011" w:type="pct"/>
            <w:tcBorders>
              <w:top w:val="nil"/>
              <w:left w:val="nil"/>
              <w:bottom w:val="nil"/>
              <w:right w:val="nil"/>
            </w:tcBorders>
            <w:shd w:val="clear" w:color="000000" w:fill="FFFFFF"/>
            <w:noWrap/>
            <w:vAlign w:val="center"/>
            <w:hideMark/>
          </w:tcPr>
          <w:p w14:paraId="73D3CC58" w14:textId="77777777" w:rsidR="003B54EA" w:rsidRPr="00673C1F" w:rsidRDefault="003B54EA" w:rsidP="003B54EA">
            <w:pPr>
              <w:spacing w:before="0" w:after="0" w:line="240" w:lineRule="auto"/>
              <w:ind w:left="170"/>
              <w:rPr>
                <w:rFonts w:ascii="Arial" w:hAnsi="Arial" w:cs="Arial"/>
                <w:sz w:val="16"/>
                <w:szCs w:val="16"/>
              </w:rPr>
            </w:pPr>
            <w:r w:rsidRPr="00673C1F">
              <w:rPr>
                <w:rFonts w:ascii="Arial" w:hAnsi="Arial" w:cs="Arial"/>
                <w:sz w:val="16"/>
                <w:szCs w:val="16"/>
              </w:rPr>
              <w:t>Tobacco</w:t>
            </w:r>
          </w:p>
        </w:tc>
        <w:tc>
          <w:tcPr>
            <w:tcW w:w="726" w:type="pct"/>
            <w:tcBorders>
              <w:top w:val="nil"/>
              <w:left w:val="nil"/>
              <w:bottom w:val="nil"/>
              <w:right w:val="nil"/>
            </w:tcBorders>
            <w:shd w:val="clear" w:color="000000" w:fill="FFFFFF"/>
            <w:noWrap/>
            <w:vAlign w:val="center"/>
            <w:hideMark/>
          </w:tcPr>
          <w:p w14:paraId="1F5350BE"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13,250</w:t>
            </w:r>
          </w:p>
        </w:tc>
        <w:tc>
          <w:tcPr>
            <w:tcW w:w="726" w:type="pct"/>
            <w:tcBorders>
              <w:top w:val="nil"/>
              <w:left w:val="nil"/>
              <w:bottom w:val="nil"/>
              <w:right w:val="nil"/>
            </w:tcBorders>
            <w:shd w:val="clear" w:color="000000" w:fill="E6F2FF"/>
            <w:noWrap/>
            <w:vAlign w:val="center"/>
            <w:hideMark/>
          </w:tcPr>
          <w:p w14:paraId="5A4D5DC4"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11,550</w:t>
            </w:r>
          </w:p>
        </w:tc>
        <w:tc>
          <w:tcPr>
            <w:tcW w:w="58" w:type="pct"/>
            <w:tcBorders>
              <w:top w:val="nil"/>
              <w:left w:val="nil"/>
              <w:bottom w:val="nil"/>
              <w:right w:val="nil"/>
            </w:tcBorders>
            <w:shd w:val="clear" w:color="000000" w:fill="FFFFFF"/>
            <w:noWrap/>
            <w:vAlign w:val="center"/>
            <w:hideMark/>
          </w:tcPr>
          <w:p w14:paraId="651312C0"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9" w:type="pct"/>
            <w:tcBorders>
              <w:top w:val="nil"/>
              <w:left w:val="nil"/>
              <w:bottom w:val="nil"/>
              <w:right w:val="nil"/>
            </w:tcBorders>
            <w:shd w:val="clear" w:color="000000" w:fill="FFFFFF"/>
            <w:noWrap/>
            <w:vAlign w:val="center"/>
            <w:hideMark/>
          </w:tcPr>
          <w:p w14:paraId="27C334D4" w14:textId="5308989F"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1,700</w:t>
            </w:r>
          </w:p>
        </w:tc>
        <w:tc>
          <w:tcPr>
            <w:tcW w:w="739" w:type="pct"/>
            <w:tcBorders>
              <w:top w:val="nil"/>
              <w:left w:val="nil"/>
              <w:bottom w:val="nil"/>
              <w:right w:val="nil"/>
            </w:tcBorders>
            <w:shd w:val="clear" w:color="000000" w:fill="FFFFFF"/>
            <w:noWrap/>
            <w:vAlign w:val="center"/>
            <w:hideMark/>
          </w:tcPr>
          <w:p w14:paraId="06CE8422" w14:textId="5DF07607"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12.8</w:t>
            </w:r>
          </w:p>
        </w:tc>
      </w:tr>
      <w:tr w:rsidR="003B54EA" w:rsidRPr="00673C1F" w14:paraId="15A21AB9" w14:textId="77777777" w:rsidTr="003B54EA">
        <w:trPr>
          <w:trHeight w:hRule="exact" w:val="225"/>
        </w:trPr>
        <w:tc>
          <w:tcPr>
            <w:tcW w:w="2011" w:type="pct"/>
            <w:tcBorders>
              <w:top w:val="nil"/>
              <w:left w:val="nil"/>
              <w:bottom w:val="nil"/>
              <w:right w:val="nil"/>
            </w:tcBorders>
            <w:shd w:val="clear" w:color="000000" w:fill="FFFFFF"/>
            <w:noWrap/>
            <w:vAlign w:val="center"/>
            <w:hideMark/>
          </w:tcPr>
          <w:p w14:paraId="5FA701F6" w14:textId="77777777" w:rsidR="003B54EA" w:rsidRPr="00673C1F" w:rsidRDefault="003B54EA" w:rsidP="003B54EA">
            <w:pPr>
              <w:spacing w:before="0" w:after="0" w:line="240" w:lineRule="auto"/>
              <w:ind w:left="170"/>
              <w:rPr>
                <w:rFonts w:ascii="Arial" w:hAnsi="Arial" w:cs="Arial"/>
                <w:sz w:val="16"/>
                <w:szCs w:val="16"/>
              </w:rPr>
            </w:pPr>
            <w:r w:rsidRPr="00673C1F">
              <w:rPr>
                <w:rFonts w:ascii="Arial" w:hAnsi="Arial" w:cs="Arial"/>
                <w:sz w:val="16"/>
                <w:szCs w:val="16"/>
              </w:rPr>
              <w:t>Beer</w:t>
            </w:r>
          </w:p>
        </w:tc>
        <w:tc>
          <w:tcPr>
            <w:tcW w:w="726" w:type="pct"/>
            <w:tcBorders>
              <w:top w:val="nil"/>
              <w:left w:val="nil"/>
              <w:bottom w:val="nil"/>
              <w:right w:val="nil"/>
            </w:tcBorders>
            <w:shd w:val="clear" w:color="000000" w:fill="FFFFFF"/>
            <w:noWrap/>
            <w:vAlign w:val="center"/>
            <w:hideMark/>
          </w:tcPr>
          <w:p w14:paraId="25033554"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2,760</w:t>
            </w:r>
          </w:p>
        </w:tc>
        <w:tc>
          <w:tcPr>
            <w:tcW w:w="726" w:type="pct"/>
            <w:tcBorders>
              <w:top w:val="nil"/>
              <w:left w:val="nil"/>
              <w:bottom w:val="nil"/>
              <w:right w:val="nil"/>
            </w:tcBorders>
            <w:shd w:val="clear" w:color="000000" w:fill="E6F2FF"/>
            <w:noWrap/>
            <w:vAlign w:val="center"/>
            <w:hideMark/>
          </w:tcPr>
          <w:p w14:paraId="07218DC4"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2,660</w:t>
            </w:r>
          </w:p>
        </w:tc>
        <w:tc>
          <w:tcPr>
            <w:tcW w:w="58" w:type="pct"/>
            <w:tcBorders>
              <w:top w:val="nil"/>
              <w:left w:val="nil"/>
              <w:bottom w:val="nil"/>
              <w:right w:val="nil"/>
            </w:tcBorders>
            <w:shd w:val="clear" w:color="000000" w:fill="FFFFFF"/>
            <w:noWrap/>
            <w:vAlign w:val="center"/>
            <w:hideMark/>
          </w:tcPr>
          <w:p w14:paraId="2D485F29"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9" w:type="pct"/>
            <w:tcBorders>
              <w:top w:val="nil"/>
              <w:left w:val="nil"/>
              <w:bottom w:val="nil"/>
              <w:right w:val="nil"/>
            </w:tcBorders>
            <w:shd w:val="clear" w:color="000000" w:fill="FFFFFF"/>
            <w:noWrap/>
            <w:vAlign w:val="center"/>
            <w:hideMark/>
          </w:tcPr>
          <w:p w14:paraId="4C778242" w14:textId="51BDFAB4"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100</w:t>
            </w:r>
          </w:p>
        </w:tc>
        <w:tc>
          <w:tcPr>
            <w:tcW w:w="739" w:type="pct"/>
            <w:tcBorders>
              <w:top w:val="nil"/>
              <w:left w:val="nil"/>
              <w:bottom w:val="nil"/>
              <w:right w:val="nil"/>
            </w:tcBorders>
            <w:shd w:val="clear" w:color="000000" w:fill="FFFFFF"/>
            <w:noWrap/>
            <w:vAlign w:val="center"/>
            <w:hideMark/>
          </w:tcPr>
          <w:p w14:paraId="1FCCFA11" w14:textId="5A7A78FF"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3.6</w:t>
            </w:r>
          </w:p>
        </w:tc>
      </w:tr>
      <w:tr w:rsidR="003B54EA" w:rsidRPr="00673C1F" w14:paraId="3096E4CD" w14:textId="77777777" w:rsidTr="003B54EA">
        <w:trPr>
          <w:trHeight w:hRule="exact" w:val="225"/>
        </w:trPr>
        <w:tc>
          <w:tcPr>
            <w:tcW w:w="2011" w:type="pct"/>
            <w:tcBorders>
              <w:top w:val="nil"/>
              <w:left w:val="nil"/>
              <w:bottom w:val="nil"/>
              <w:right w:val="nil"/>
            </w:tcBorders>
            <w:shd w:val="clear" w:color="000000" w:fill="FFFFFF"/>
            <w:noWrap/>
            <w:vAlign w:val="center"/>
            <w:hideMark/>
          </w:tcPr>
          <w:p w14:paraId="06E7D5B2" w14:textId="77777777" w:rsidR="003B54EA" w:rsidRPr="00673C1F" w:rsidRDefault="003B54EA" w:rsidP="003B54EA">
            <w:pPr>
              <w:spacing w:before="0" w:after="0" w:line="240" w:lineRule="auto"/>
              <w:ind w:left="170"/>
              <w:rPr>
                <w:rFonts w:ascii="Arial" w:hAnsi="Arial" w:cs="Arial"/>
                <w:sz w:val="16"/>
                <w:szCs w:val="16"/>
              </w:rPr>
            </w:pPr>
            <w:r w:rsidRPr="00673C1F">
              <w:rPr>
                <w:rFonts w:ascii="Arial" w:hAnsi="Arial" w:cs="Arial"/>
                <w:sz w:val="16"/>
                <w:szCs w:val="16"/>
              </w:rPr>
              <w:t>Spirits</w:t>
            </w:r>
          </w:p>
        </w:tc>
        <w:tc>
          <w:tcPr>
            <w:tcW w:w="726" w:type="pct"/>
            <w:tcBorders>
              <w:top w:val="nil"/>
              <w:left w:val="nil"/>
              <w:bottom w:val="nil"/>
              <w:right w:val="nil"/>
            </w:tcBorders>
            <w:shd w:val="clear" w:color="000000" w:fill="FFFFFF"/>
            <w:noWrap/>
            <w:vAlign w:val="center"/>
            <w:hideMark/>
          </w:tcPr>
          <w:p w14:paraId="06FDC0C5"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3,580</w:t>
            </w:r>
          </w:p>
        </w:tc>
        <w:tc>
          <w:tcPr>
            <w:tcW w:w="726" w:type="pct"/>
            <w:tcBorders>
              <w:top w:val="nil"/>
              <w:left w:val="nil"/>
              <w:bottom w:val="nil"/>
              <w:right w:val="nil"/>
            </w:tcBorders>
            <w:shd w:val="clear" w:color="000000" w:fill="E6F2FF"/>
            <w:noWrap/>
            <w:vAlign w:val="center"/>
            <w:hideMark/>
          </w:tcPr>
          <w:p w14:paraId="4FD8F465"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3,590</w:t>
            </w:r>
          </w:p>
        </w:tc>
        <w:tc>
          <w:tcPr>
            <w:tcW w:w="58" w:type="pct"/>
            <w:tcBorders>
              <w:top w:val="nil"/>
              <w:left w:val="nil"/>
              <w:bottom w:val="nil"/>
              <w:right w:val="nil"/>
            </w:tcBorders>
            <w:shd w:val="clear" w:color="000000" w:fill="FFFFFF"/>
            <w:noWrap/>
            <w:vAlign w:val="center"/>
            <w:hideMark/>
          </w:tcPr>
          <w:p w14:paraId="5124B4AF"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9" w:type="pct"/>
            <w:tcBorders>
              <w:top w:val="nil"/>
              <w:left w:val="nil"/>
              <w:bottom w:val="nil"/>
              <w:right w:val="nil"/>
            </w:tcBorders>
            <w:shd w:val="clear" w:color="000000" w:fill="FFFFFF"/>
            <w:noWrap/>
            <w:vAlign w:val="center"/>
            <w:hideMark/>
          </w:tcPr>
          <w:p w14:paraId="0834904B"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10</w:t>
            </w:r>
          </w:p>
        </w:tc>
        <w:tc>
          <w:tcPr>
            <w:tcW w:w="739" w:type="pct"/>
            <w:tcBorders>
              <w:top w:val="nil"/>
              <w:left w:val="nil"/>
              <w:bottom w:val="nil"/>
              <w:right w:val="nil"/>
            </w:tcBorders>
            <w:shd w:val="clear" w:color="000000" w:fill="FFFFFF"/>
            <w:noWrap/>
            <w:vAlign w:val="center"/>
            <w:hideMark/>
          </w:tcPr>
          <w:p w14:paraId="6390443E"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0.3</w:t>
            </w:r>
          </w:p>
        </w:tc>
      </w:tr>
      <w:tr w:rsidR="003B54EA" w:rsidRPr="00673C1F" w14:paraId="11052B2A" w14:textId="77777777" w:rsidTr="003B54EA">
        <w:trPr>
          <w:trHeight w:hRule="exact" w:val="225"/>
        </w:trPr>
        <w:tc>
          <w:tcPr>
            <w:tcW w:w="2011" w:type="pct"/>
            <w:tcBorders>
              <w:top w:val="nil"/>
              <w:left w:val="nil"/>
              <w:bottom w:val="nil"/>
              <w:right w:val="nil"/>
            </w:tcBorders>
            <w:shd w:val="clear" w:color="000000" w:fill="FFFFFF"/>
            <w:noWrap/>
            <w:vAlign w:val="center"/>
            <w:hideMark/>
          </w:tcPr>
          <w:p w14:paraId="27D463FE" w14:textId="77777777" w:rsidR="003B54EA" w:rsidRPr="00673C1F" w:rsidRDefault="003B54EA" w:rsidP="003B54EA">
            <w:pPr>
              <w:spacing w:before="0" w:after="0" w:line="240" w:lineRule="auto"/>
              <w:ind w:left="170"/>
              <w:rPr>
                <w:rFonts w:ascii="Arial" w:hAnsi="Arial" w:cs="Arial"/>
                <w:sz w:val="16"/>
                <w:szCs w:val="16"/>
              </w:rPr>
            </w:pPr>
            <w:r w:rsidRPr="00673C1F">
              <w:rPr>
                <w:rFonts w:ascii="Arial" w:hAnsi="Arial" w:cs="Arial"/>
                <w:sz w:val="16"/>
                <w:szCs w:val="16"/>
              </w:rPr>
              <w:t>Other alcoholic beverages(a)</w:t>
            </w:r>
          </w:p>
        </w:tc>
        <w:tc>
          <w:tcPr>
            <w:tcW w:w="726" w:type="pct"/>
            <w:tcBorders>
              <w:top w:val="nil"/>
              <w:left w:val="nil"/>
              <w:bottom w:val="nil"/>
              <w:right w:val="nil"/>
            </w:tcBorders>
            <w:shd w:val="clear" w:color="000000" w:fill="FFFFFF"/>
            <w:noWrap/>
            <w:vAlign w:val="center"/>
            <w:hideMark/>
          </w:tcPr>
          <w:p w14:paraId="1A0CC0BF"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1,770</w:t>
            </w:r>
          </w:p>
        </w:tc>
        <w:tc>
          <w:tcPr>
            <w:tcW w:w="726" w:type="pct"/>
            <w:tcBorders>
              <w:top w:val="nil"/>
              <w:left w:val="nil"/>
              <w:bottom w:val="nil"/>
              <w:right w:val="nil"/>
            </w:tcBorders>
            <w:shd w:val="clear" w:color="000000" w:fill="E6F2FF"/>
            <w:noWrap/>
            <w:vAlign w:val="center"/>
            <w:hideMark/>
          </w:tcPr>
          <w:p w14:paraId="764B1F13"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1,750</w:t>
            </w:r>
          </w:p>
        </w:tc>
        <w:tc>
          <w:tcPr>
            <w:tcW w:w="58" w:type="pct"/>
            <w:tcBorders>
              <w:top w:val="nil"/>
              <w:left w:val="nil"/>
              <w:bottom w:val="nil"/>
              <w:right w:val="nil"/>
            </w:tcBorders>
            <w:shd w:val="clear" w:color="000000" w:fill="FFFFFF"/>
            <w:noWrap/>
            <w:vAlign w:val="center"/>
            <w:hideMark/>
          </w:tcPr>
          <w:p w14:paraId="3AF404E1"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9" w:type="pct"/>
            <w:tcBorders>
              <w:top w:val="nil"/>
              <w:left w:val="nil"/>
              <w:bottom w:val="nil"/>
              <w:right w:val="nil"/>
            </w:tcBorders>
            <w:shd w:val="clear" w:color="000000" w:fill="FFFFFF"/>
            <w:noWrap/>
            <w:vAlign w:val="center"/>
            <w:hideMark/>
          </w:tcPr>
          <w:p w14:paraId="3E6BF1A6" w14:textId="109AD00D"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20</w:t>
            </w:r>
          </w:p>
        </w:tc>
        <w:tc>
          <w:tcPr>
            <w:tcW w:w="739" w:type="pct"/>
            <w:tcBorders>
              <w:top w:val="nil"/>
              <w:left w:val="nil"/>
              <w:bottom w:val="nil"/>
              <w:right w:val="nil"/>
            </w:tcBorders>
            <w:shd w:val="clear" w:color="000000" w:fill="FFFFFF"/>
            <w:noWrap/>
            <w:vAlign w:val="center"/>
            <w:hideMark/>
          </w:tcPr>
          <w:p w14:paraId="4E2232D6" w14:textId="213393AF"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1.1</w:t>
            </w:r>
          </w:p>
        </w:tc>
      </w:tr>
      <w:tr w:rsidR="003B54EA" w:rsidRPr="00673C1F" w14:paraId="6A2C3739" w14:textId="77777777" w:rsidTr="003B54EA">
        <w:trPr>
          <w:trHeight w:hRule="exact" w:val="225"/>
        </w:trPr>
        <w:tc>
          <w:tcPr>
            <w:tcW w:w="2011" w:type="pct"/>
            <w:tcBorders>
              <w:top w:val="nil"/>
              <w:left w:val="nil"/>
              <w:bottom w:val="nil"/>
              <w:right w:val="nil"/>
            </w:tcBorders>
            <w:shd w:val="clear" w:color="000000" w:fill="FFFFFF"/>
            <w:noWrap/>
            <w:vAlign w:val="center"/>
            <w:hideMark/>
          </w:tcPr>
          <w:p w14:paraId="0E55A18F" w14:textId="77777777" w:rsidR="003B54EA" w:rsidRPr="00673C1F" w:rsidRDefault="003B54EA" w:rsidP="003B54EA">
            <w:pPr>
              <w:spacing w:before="0" w:after="0" w:line="240" w:lineRule="auto"/>
              <w:ind w:left="170"/>
              <w:rPr>
                <w:rFonts w:ascii="Arial" w:hAnsi="Arial" w:cs="Arial"/>
                <w:sz w:val="16"/>
                <w:szCs w:val="16"/>
              </w:rPr>
            </w:pPr>
            <w:r w:rsidRPr="00673C1F">
              <w:rPr>
                <w:rFonts w:ascii="Arial" w:hAnsi="Arial" w:cs="Arial"/>
                <w:sz w:val="16"/>
                <w:szCs w:val="16"/>
              </w:rPr>
              <w:t>Other customs duty</w:t>
            </w:r>
          </w:p>
        </w:tc>
        <w:tc>
          <w:tcPr>
            <w:tcW w:w="726" w:type="pct"/>
            <w:tcBorders>
              <w:top w:val="nil"/>
              <w:left w:val="nil"/>
              <w:bottom w:val="nil"/>
              <w:right w:val="nil"/>
            </w:tcBorders>
            <w:shd w:val="clear" w:color="000000" w:fill="FFFFFF"/>
            <w:noWrap/>
            <w:vAlign w:val="center"/>
            <w:hideMark/>
          </w:tcPr>
          <w:p w14:paraId="0623A060"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26" w:type="pct"/>
            <w:tcBorders>
              <w:top w:val="nil"/>
              <w:left w:val="nil"/>
              <w:bottom w:val="nil"/>
              <w:right w:val="nil"/>
            </w:tcBorders>
            <w:shd w:val="clear" w:color="000000" w:fill="E6F2FF"/>
            <w:noWrap/>
            <w:vAlign w:val="center"/>
            <w:hideMark/>
          </w:tcPr>
          <w:p w14:paraId="1FCC49E9"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58" w:type="pct"/>
            <w:tcBorders>
              <w:top w:val="nil"/>
              <w:left w:val="nil"/>
              <w:bottom w:val="nil"/>
              <w:right w:val="nil"/>
            </w:tcBorders>
            <w:shd w:val="clear" w:color="000000" w:fill="FFFFFF"/>
            <w:noWrap/>
            <w:vAlign w:val="center"/>
            <w:hideMark/>
          </w:tcPr>
          <w:p w14:paraId="7B3C2A9C"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9" w:type="pct"/>
            <w:tcBorders>
              <w:top w:val="nil"/>
              <w:left w:val="nil"/>
              <w:bottom w:val="nil"/>
              <w:right w:val="nil"/>
            </w:tcBorders>
            <w:shd w:val="clear" w:color="000000" w:fill="FFFFFF"/>
            <w:noWrap/>
            <w:vAlign w:val="center"/>
            <w:hideMark/>
          </w:tcPr>
          <w:p w14:paraId="4E3BA100"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9" w:type="pct"/>
            <w:tcBorders>
              <w:top w:val="nil"/>
              <w:left w:val="nil"/>
              <w:bottom w:val="nil"/>
              <w:right w:val="nil"/>
            </w:tcBorders>
            <w:shd w:val="clear" w:color="000000" w:fill="FFFFFF"/>
            <w:noWrap/>
            <w:vAlign w:val="center"/>
            <w:hideMark/>
          </w:tcPr>
          <w:p w14:paraId="609C606E"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r>
      <w:tr w:rsidR="003B54EA" w:rsidRPr="00673C1F" w14:paraId="01D78FA3" w14:textId="77777777" w:rsidTr="003B54EA">
        <w:trPr>
          <w:trHeight w:hRule="exact" w:val="225"/>
        </w:trPr>
        <w:tc>
          <w:tcPr>
            <w:tcW w:w="2011" w:type="pct"/>
            <w:tcBorders>
              <w:top w:val="nil"/>
              <w:left w:val="nil"/>
              <w:bottom w:val="nil"/>
              <w:right w:val="nil"/>
            </w:tcBorders>
            <w:shd w:val="clear" w:color="000000" w:fill="FFFFFF"/>
            <w:noWrap/>
            <w:vAlign w:val="bottom"/>
            <w:hideMark/>
          </w:tcPr>
          <w:p w14:paraId="3D4F68B0" w14:textId="77777777" w:rsidR="003B54EA" w:rsidRPr="00673C1F" w:rsidRDefault="003B54EA" w:rsidP="003B54EA">
            <w:pPr>
              <w:spacing w:before="0" w:after="0" w:line="240" w:lineRule="auto"/>
              <w:ind w:left="340"/>
              <w:rPr>
                <w:rFonts w:ascii="Arial" w:hAnsi="Arial" w:cs="Arial"/>
                <w:sz w:val="16"/>
                <w:szCs w:val="16"/>
              </w:rPr>
            </w:pPr>
            <w:r w:rsidRPr="00673C1F">
              <w:rPr>
                <w:rFonts w:ascii="Arial" w:hAnsi="Arial" w:cs="Arial"/>
                <w:sz w:val="16"/>
                <w:szCs w:val="16"/>
              </w:rPr>
              <w:t>Textiles, clothing and footwear</w:t>
            </w:r>
          </w:p>
        </w:tc>
        <w:tc>
          <w:tcPr>
            <w:tcW w:w="726" w:type="pct"/>
            <w:tcBorders>
              <w:top w:val="nil"/>
              <w:left w:val="nil"/>
              <w:bottom w:val="nil"/>
              <w:right w:val="nil"/>
            </w:tcBorders>
            <w:shd w:val="clear" w:color="000000" w:fill="FFFFFF"/>
            <w:noWrap/>
            <w:vAlign w:val="center"/>
            <w:hideMark/>
          </w:tcPr>
          <w:p w14:paraId="2A6FFFC1"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190</w:t>
            </w:r>
          </w:p>
        </w:tc>
        <w:tc>
          <w:tcPr>
            <w:tcW w:w="726" w:type="pct"/>
            <w:tcBorders>
              <w:top w:val="nil"/>
              <w:left w:val="nil"/>
              <w:bottom w:val="nil"/>
              <w:right w:val="nil"/>
            </w:tcBorders>
            <w:shd w:val="clear" w:color="000000" w:fill="E6F2FF"/>
            <w:noWrap/>
            <w:vAlign w:val="center"/>
            <w:hideMark/>
          </w:tcPr>
          <w:p w14:paraId="25B36475"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170</w:t>
            </w:r>
          </w:p>
        </w:tc>
        <w:tc>
          <w:tcPr>
            <w:tcW w:w="58" w:type="pct"/>
            <w:tcBorders>
              <w:top w:val="nil"/>
              <w:left w:val="nil"/>
              <w:bottom w:val="nil"/>
              <w:right w:val="nil"/>
            </w:tcBorders>
            <w:shd w:val="clear" w:color="000000" w:fill="FFFFFF"/>
            <w:noWrap/>
            <w:vAlign w:val="center"/>
            <w:hideMark/>
          </w:tcPr>
          <w:p w14:paraId="6E21B212"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9" w:type="pct"/>
            <w:tcBorders>
              <w:top w:val="nil"/>
              <w:left w:val="nil"/>
              <w:bottom w:val="nil"/>
              <w:right w:val="nil"/>
            </w:tcBorders>
            <w:shd w:val="clear" w:color="000000" w:fill="FFFFFF"/>
            <w:noWrap/>
            <w:vAlign w:val="center"/>
            <w:hideMark/>
          </w:tcPr>
          <w:p w14:paraId="1DB94704" w14:textId="149C6369"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20</w:t>
            </w:r>
          </w:p>
        </w:tc>
        <w:tc>
          <w:tcPr>
            <w:tcW w:w="739" w:type="pct"/>
            <w:tcBorders>
              <w:top w:val="nil"/>
              <w:left w:val="nil"/>
              <w:bottom w:val="nil"/>
              <w:right w:val="nil"/>
            </w:tcBorders>
            <w:shd w:val="clear" w:color="000000" w:fill="FFFFFF"/>
            <w:noWrap/>
            <w:vAlign w:val="center"/>
            <w:hideMark/>
          </w:tcPr>
          <w:p w14:paraId="67E61C46" w14:textId="2F5AA1D9"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10.5</w:t>
            </w:r>
          </w:p>
        </w:tc>
      </w:tr>
      <w:tr w:rsidR="003B54EA" w:rsidRPr="00673C1F" w14:paraId="059CF7BD" w14:textId="77777777" w:rsidTr="003B54EA">
        <w:trPr>
          <w:trHeight w:hRule="exact" w:val="225"/>
        </w:trPr>
        <w:tc>
          <w:tcPr>
            <w:tcW w:w="2011" w:type="pct"/>
            <w:tcBorders>
              <w:top w:val="nil"/>
              <w:left w:val="nil"/>
              <w:bottom w:val="nil"/>
              <w:right w:val="nil"/>
            </w:tcBorders>
            <w:shd w:val="clear" w:color="000000" w:fill="FFFFFF"/>
            <w:noWrap/>
            <w:vAlign w:val="bottom"/>
            <w:hideMark/>
          </w:tcPr>
          <w:p w14:paraId="45AE0A66" w14:textId="77777777" w:rsidR="003B54EA" w:rsidRPr="00673C1F" w:rsidRDefault="003B54EA" w:rsidP="003B54EA">
            <w:pPr>
              <w:spacing w:before="0" w:after="0" w:line="240" w:lineRule="auto"/>
              <w:ind w:left="340"/>
              <w:rPr>
                <w:rFonts w:ascii="Arial" w:hAnsi="Arial" w:cs="Arial"/>
                <w:sz w:val="16"/>
                <w:szCs w:val="16"/>
              </w:rPr>
            </w:pPr>
            <w:r w:rsidRPr="00673C1F">
              <w:rPr>
                <w:rFonts w:ascii="Arial" w:hAnsi="Arial" w:cs="Arial"/>
                <w:sz w:val="16"/>
                <w:szCs w:val="16"/>
              </w:rPr>
              <w:t>Passenger motor vehicles</w:t>
            </w:r>
          </w:p>
        </w:tc>
        <w:tc>
          <w:tcPr>
            <w:tcW w:w="726" w:type="pct"/>
            <w:tcBorders>
              <w:top w:val="nil"/>
              <w:left w:val="nil"/>
              <w:bottom w:val="nil"/>
              <w:right w:val="nil"/>
            </w:tcBorders>
            <w:shd w:val="clear" w:color="000000" w:fill="FFFFFF"/>
            <w:noWrap/>
            <w:vAlign w:val="center"/>
            <w:hideMark/>
          </w:tcPr>
          <w:p w14:paraId="40D1CF03"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420</w:t>
            </w:r>
          </w:p>
        </w:tc>
        <w:tc>
          <w:tcPr>
            <w:tcW w:w="726" w:type="pct"/>
            <w:tcBorders>
              <w:top w:val="nil"/>
              <w:left w:val="nil"/>
              <w:bottom w:val="nil"/>
              <w:right w:val="nil"/>
            </w:tcBorders>
            <w:shd w:val="clear" w:color="000000" w:fill="E6F2FF"/>
            <w:noWrap/>
            <w:vAlign w:val="center"/>
            <w:hideMark/>
          </w:tcPr>
          <w:p w14:paraId="4BFF7C68"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380</w:t>
            </w:r>
          </w:p>
        </w:tc>
        <w:tc>
          <w:tcPr>
            <w:tcW w:w="58" w:type="pct"/>
            <w:tcBorders>
              <w:top w:val="nil"/>
              <w:left w:val="nil"/>
              <w:bottom w:val="nil"/>
              <w:right w:val="nil"/>
            </w:tcBorders>
            <w:shd w:val="clear" w:color="000000" w:fill="FFFFFF"/>
            <w:noWrap/>
            <w:vAlign w:val="center"/>
            <w:hideMark/>
          </w:tcPr>
          <w:p w14:paraId="23548537"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9" w:type="pct"/>
            <w:tcBorders>
              <w:top w:val="nil"/>
              <w:left w:val="nil"/>
              <w:bottom w:val="nil"/>
              <w:right w:val="nil"/>
            </w:tcBorders>
            <w:shd w:val="clear" w:color="000000" w:fill="FFFFFF"/>
            <w:noWrap/>
            <w:vAlign w:val="center"/>
            <w:hideMark/>
          </w:tcPr>
          <w:p w14:paraId="7C8743E0" w14:textId="69091048"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40</w:t>
            </w:r>
          </w:p>
        </w:tc>
        <w:tc>
          <w:tcPr>
            <w:tcW w:w="739" w:type="pct"/>
            <w:tcBorders>
              <w:top w:val="nil"/>
              <w:left w:val="nil"/>
              <w:bottom w:val="nil"/>
              <w:right w:val="nil"/>
            </w:tcBorders>
            <w:shd w:val="clear" w:color="000000" w:fill="FFFFFF"/>
            <w:noWrap/>
            <w:vAlign w:val="center"/>
            <w:hideMark/>
          </w:tcPr>
          <w:p w14:paraId="6C43F1B7" w14:textId="0EC3457C"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9.5</w:t>
            </w:r>
          </w:p>
        </w:tc>
      </w:tr>
      <w:tr w:rsidR="003B54EA" w:rsidRPr="00673C1F" w14:paraId="7ADAD9E9" w14:textId="77777777" w:rsidTr="003B54EA">
        <w:trPr>
          <w:trHeight w:hRule="exact" w:val="225"/>
        </w:trPr>
        <w:tc>
          <w:tcPr>
            <w:tcW w:w="2011" w:type="pct"/>
            <w:tcBorders>
              <w:top w:val="nil"/>
              <w:left w:val="nil"/>
              <w:bottom w:val="nil"/>
              <w:right w:val="nil"/>
            </w:tcBorders>
            <w:shd w:val="clear" w:color="000000" w:fill="FFFFFF"/>
            <w:noWrap/>
            <w:vAlign w:val="center"/>
            <w:hideMark/>
          </w:tcPr>
          <w:p w14:paraId="71D8C3AE" w14:textId="77777777" w:rsidR="003B54EA" w:rsidRPr="00673C1F" w:rsidRDefault="003B54EA" w:rsidP="003B54EA">
            <w:pPr>
              <w:spacing w:before="0" w:after="0" w:line="240" w:lineRule="auto"/>
              <w:ind w:left="340"/>
              <w:rPr>
                <w:rFonts w:ascii="Arial" w:hAnsi="Arial" w:cs="Arial"/>
                <w:sz w:val="16"/>
                <w:szCs w:val="16"/>
              </w:rPr>
            </w:pPr>
            <w:r w:rsidRPr="00673C1F">
              <w:rPr>
                <w:rFonts w:ascii="Arial" w:hAnsi="Arial" w:cs="Arial"/>
                <w:sz w:val="16"/>
                <w:szCs w:val="16"/>
              </w:rPr>
              <w:t>Other imports</w:t>
            </w:r>
          </w:p>
        </w:tc>
        <w:tc>
          <w:tcPr>
            <w:tcW w:w="726" w:type="pct"/>
            <w:tcBorders>
              <w:top w:val="nil"/>
              <w:left w:val="nil"/>
              <w:bottom w:val="nil"/>
              <w:right w:val="nil"/>
            </w:tcBorders>
            <w:shd w:val="clear" w:color="000000" w:fill="FFFFFF"/>
            <w:noWrap/>
            <w:vAlign w:val="center"/>
            <w:hideMark/>
          </w:tcPr>
          <w:p w14:paraId="23D7E8FE"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1,530</w:t>
            </w:r>
          </w:p>
        </w:tc>
        <w:tc>
          <w:tcPr>
            <w:tcW w:w="726" w:type="pct"/>
            <w:tcBorders>
              <w:top w:val="nil"/>
              <w:left w:val="nil"/>
              <w:bottom w:val="nil"/>
              <w:right w:val="nil"/>
            </w:tcBorders>
            <w:shd w:val="clear" w:color="000000" w:fill="E6F2FF"/>
            <w:noWrap/>
            <w:vAlign w:val="center"/>
            <w:hideMark/>
          </w:tcPr>
          <w:p w14:paraId="2D1218A3"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1,530</w:t>
            </w:r>
          </w:p>
        </w:tc>
        <w:tc>
          <w:tcPr>
            <w:tcW w:w="58" w:type="pct"/>
            <w:tcBorders>
              <w:top w:val="nil"/>
              <w:left w:val="nil"/>
              <w:bottom w:val="nil"/>
              <w:right w:val="nil"/>
            </w:tcBorders>
            <w:shd w:val="clear" w:color="000000" w:fill="FFFFFF"/>
            <w:noWrap/>
            <w:vAlign w:val="center"/>
            <w:hideMark/>
          </w:tcPr>
          <w:p w14:paraId="2A48002E"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9" w:type="pct"/>
            <w:tcBorders>
              <w:top w:val="nil"/>
              <w:left w:val="nil"/>
              <w:bottom w:val="nil"/>
              <w:right w:val="nil"/>
            </w:tcBorders>
            <w:shd w:val="clear" w:color="000000" w:fill="FFFFFF"/>
            <w:noWrap/>
            <w:vAlign w:val="center"/>
            <w:hideMark/>
          </w:tcPr>
          <w:p w14:paraId="273BABD2"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0</w:t>
            </w:r>
          </w:p>
        </w:tc>
        <w:tc>
          <w:tcPr>
            <w:tcW w:w="739" w:type="pct"/>
            <w:tcBorders>
              <w:top w:val="nil"/>
              <w:left w:val="nil"/>
              <w:bottom w:val="nil"/>
              <w:right w:val="nil"/>
            </w:tcBorders>
            <w:shd w:val="clear" w:color="000000" w:fill="FFFFFF"/>
            <w:noWrap/>
            <w:vAlign w:val="center"/>
            <w:hideMark/>
          </w:tcPr>
          <w:p w14:paraId="373B593A"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0.0</w:t>
            </w:r>
          </w:p>
        </w:tc>
      </w:tr>
      <w:tr w:rsidR="003B54EA" w:rsidRPr="00673C1F" w14:paraId="5A63EE7C" w14:textId="77777777" w:rsidTr="003B54EA">
        <w:trPr>
          <w:trHeight w:hRule="exact" w:val="225"/>
        </w:trPr>
        <w:tc>
          <w:tcPr>
            <w:tcW w:w="2011" w:type="pct"/>
            <w:tcBorders>
              <w:top w:val="nil"/>
              <w:left w:val="nil"/>
              <w:bottom w:val="nil"/>
              <w:right w:val="nil"/>
            </w:tcBorders>
            <w:shd w:val="clear" w:color="000000" w:fill="FFFFFF"/>
            <w:noWrap/>
            <w:vAlign w:val="bottom"/>
            <w:hideMark/>
          </w:tcPr>
          <w:p w14:paraId="38E6C9AA" w14:textId="77777777" w:rsidR="003B54EA" w:rsidRPr="00673C1F" w:rsidRDefault="003B54EA" w:rsidP="003B54EA">
            <w:pPr>
              <w:spacing w:before="0" w:after="0" w:line="240" w:lineRule="auto"/>
              <w:ind w:left="170"/>
              <w:rPr>
                <w:rFonts w:ascii="Arial" w:hAnsi="Arial" w:cs="Arial"/>
                <w:i/>
                <w:iCs/>
                <w:sz w:val="16"/>
                <w:szCs w:val="16"/>
              </w:rPr>
            </w:pPr>
            <w:r w:rsidRPr="00673C1F">
              <w:rPr>
                <w:rFonts w:ascii="Arial" w:hAnsi="Arial" w:cs="Arial"/>
                <w:i/>
                <w:iCs/>
                <w:sz w:val="16"/>
                <w:szCs w:val="16"/>
              </w:rPr>
              <w:t>less:</w:t>
            </w:r>
            <w:r w:rsidRPr="00673C1F">
              <w:rPr>
                <w:rFonts w:ascii="Arial" w:hAnsi="Arial" w:cs="Arial"/>
                <w:sz w:val="16"/>
                <w:szCs w:val="16"/>
              </w:rPr>
              <w:t xml:space="preserve"> Refunds and drawbacks</w:t>
            </w:r>
          </w:p>
        </w:tc>
        <w:tc>
          <w:tcPr>
            <w:tcW w:w="726" w:type="pct"/>
            <w:tcBorders>
              <w:top w:val="nil"/>
              <w:left w:val="nil"/>
              <w:bottom w:val="single" w:sz="4" w:space="0" w:color="293F5B"/>
              <w:right w:val="nil"/>
            </w:tcBorders>
            <w:shd w:val="clear" w:color="000000" w:fill="FFFFFF"/>
            <w:noWrap/>
            <w:vAlign w:val="center"/>
            <w:hideMark/>
          </w:tcPr>
          <w:p w14:paraId="08D348B7"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700</w:t>
            </w:r>
          </w:p>
        </w:tc>
        <w:tc>
          <w:tcPr>
            <w:tcW w:w="726" w:type="pct"/>
            <w:tcBorders>
              <w:top w:val="nil"/>
              <w:left w:val="nil"/>
              <w:bottom w:val="single" w:sz="4" w:space="0" w:color="293F5B"/>
              <w:right w:val="nil"/>
            </w:tcBorders>
            <w:shd w:val="clear" w:color="000000" w:fill="E6F2FF"/>
            <w:noWrap/>
            <w:vAlign w:val="center"/>
            <w:hideMark/>
          </w:tcPr>
          <w:p w14:paraId="2C9952AC"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730</w:t>
            </w:r>
          </w:p>
        </w:tc>
        <w:tc>
          <w:tcPr>
            <w:tcW w:w="58" w:type="pct"/>
            <w:tcBorders>
              <w:top w:val="nil"/>
              <w:left w:val="nil"/>
              <w:bottom w:val="nil"/>
              <w:right w:val="nil"/>
            </w:tcBorders>
            <w:shd w:val="clear" w:color="000000" w:fill="FFFFFF"/>
            <w:noWrap/>
            <w:vAlign w:val="center"/>
            <w:hideMark/>
          </w:tcPr>
          <w:p w14:paraId="1105612F"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9" w:type="pct"/>
            <w:tcBorders>
              <w:top w:val="nil"/>
              <w:left w:val="nil"/>
              <w:bottom w:val="single" w:sz="4" w:space="0" w:color="293F5B"/>
              <w:right w:val="nil"/>
            </w:tcBorders>
            <w:shd w:val="clear" w:color="000000" w:fill="FFFFFF"/>
            <w:noWrap/>
            <w:vAlign w:val="center"/>
            <w:hideMark/>
          </w:tcPr>
          <w:p w14:paraId="166E139B"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30</w:t>
            </w:r>
          </w:p>
        </w:tc>
        <w:tc>
          <w:tcPr>
            <w:tcW w:w="739" w:type="pct"/>
            <w:tcBorders>
              <w:top w:val="nil"/>
              <w:left w:val="nil"/>
              <w:bottom w:val="single" w:sz="4" w:space="0" w:color="293F5B"/>
              <w:right w:val="nil"/>
            </w:tcBorders>
            <w:shd w:val="clear" w:color="000000" w:fill="FFFFFF"/>
            <w:noWrap/>
            <w:vAlign w:val="center"/>
            <w:hideMark/>
          </w:tcPr>
          <w:p w14:paraId="17F2D862"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4.3</w:t>
            </w:r>
          </w:p>
        </w:tc>
      </w:tr>
      <w:tr w:rsidR="003B54EA" w:rsidRPr="00673C1F" w14:paraId="352AFF3A" w14:textId="77777777" w:rsidTr="003B54EA">
        <w:trPr>
          <w:trHeight w:hRule="exact" w:val="225"/>
        </w:trPr>
        <w:tc>
          <w:tcPr>
            <w:tcW w:w="2011" w:type="pct"/>
            <w:tcBorders>
              <w:top w:val="nil"/>
              <w:left w:val="nil"/>
              <w:bottom w:val="nil"/>
              <w:right w:val="nil"/>
            </w:tcBorders>
            <w:shd w:val="clear" w:color="000000" w:fill="FFFFFF"/>
            <w:noWrap/>
            <w:vAlign w:val="center"/>
            <w:hideMark/>
          </w:tcPr>
          <w:p w14:paraId="46C0DE71"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Total excise and customs duty</w:t>
            </w:r>
          </w:p>
        </w:tc>
        <w:tc>
          <w:tcPr>
            <w:tcW w:w="726" w:type="pct"/>
            <w:tcBorders>
              <w:top w:val="nil"/>
              <w:left w:val="nil"/>
              <w:bottom w:val="nil"/>
              <w:right w:val="nil"/>
            </w:tcBorders>
            <w:shd w:val="clear" w:color="000000" w:fill="FFFFFF"/>
            <w:noWrap/>
            <w:vAlign w:val="center"/>
            <w:hideMark/>
          </w:tcPr>
          <w:p w14:paraId="70227542"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49,100</w:t>
            </w:r>
          </w:p>
        </w:tc>
        <w:tc>
          <w:tcPr>
            <w:tcW w:w="726" w:type="pct"/>
            <w:tcBorders>
              <w:top w:val="nil"/>
              <w:left w:val="nil"/>
              <w:bottom w:val="nil"/>
              <w:right w:val="nil"/>
            </w:tcBorders>
            <w:shd w:val="clear" w:color="000000" w:fill="E6F2FF"/>
            <w:noWrap/>
            <w:vAlign w:val="center"/>
            <w:hideMark/>
          </w:tcPr>
          <w:p w14:paraId="74F94781"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47,280</w:t>
            </w:r>
          </w:p>
        </w:tc>
        <w:tc>
          <w:tcPr>
            <w:tcW w:w="58" w:type="pct"/>
            <w:tcBorders>
              <w:top w:val="nil"/>
              <w:left w:val="nil"/>
              <w:bottom w:val="nil"/>
              <w:right w:val="nil"/>
            </w:tcBorders>
            <w:shd w:val="clear" w:color="000000" w:fill="FFFFFF"/>
            <w:noWrap/>
            <w:vAlign w:val="center"/>
            <w:hideMark/>
          </w:tcPr>
          <w:p w14:paraId="1A391AAC"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9" w:type="pct"/>
            <w:tcBorders>
              <w:top w:val="single" w:sz="4" w:space="0" w:color="auto"/>
              <w:left w:val="nil"/>
              <w:bottom w:val="nil"/>
              <w:right w:val="nil"/>
            </w:tcBorders>
            <w:shd w:val="clear" w:color="000000" w:fill="FFFFFF"/>
            <w:noWrap/>
            <w:vAlign w:val="center"/>
            <w:hideMark/>
          </w:tcPr>
          <w:p w14:paraId="1BC1073D" w14:textId="556D86FD"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1,820</w:t>
            </w:r>
          </w:p>
        </w:tc>
        <w:tc>
          <w:tcPr>
            <w:tcW w:w="739" w:type="pct"/>
            <w:tcBorders>
              <w:top w:val="single" w:sz="4" w:space="0" w:color="auto"/>
              <w:left w:val="nil"/>
              <w:bottom w:val="nil"/>
              <w:right w:val="nil"/>
            </w:tcBorders>
            <w:shd w:val="clear" w:color="000000" w:fill="FFFFFF"/>
            <w:noWrap/>
            <w:vAlign w:val="center"/>
            <w:hideMark/>
          </w:tcPr>
          <w:p w14:paraId="573F5EF7" w14:textId="723E78F7"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3.7</w:t>
            </w:r>
          </w:p>
        </w:tc>
      </w:tr>
      <w:tr w:rsidR="003B54EA" w:rsidRPr="00673C1F" w14:paraId="260458D8" w14:textId="77777777" w:rsidTr="003B54EA">
        <w:trPr>
          <w:trHeight w:hRule="exact" w:val="225"/>
        </w:trPr>
        <w:tc>
          <w:tcPr>
            <w:tcW w:w="2011" w:type="pct"/>
            <w:tcBorders>
              <w:top w:val="nil"/>
              <w:left w:val="nil"/>
              <w:bottom w:val="nil"/>
              <w:right w:val="nil"/>
            </w:tcBorders>
            <w:shd w:val="clear" w:color="000000" w:fill="FFFFFF"/>
            <w:noWrap/>
            <w:vAlign w:val="center"/>
            <w:hideMark/>
          </w:tcPr>
          <w:p w14:paraId="4D8E1136"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Major bank levy</w:t>
            </w:r>
          </w:p>
        </w:tc>
        <w:tc>
          <w:tcPr>
            <w:tcW w:w="726" w:type="pct"/>
            <w:tcBorders>
              <w:top w:val="nil"/>
              <w:left w:val="nil"/>
              <w:bottom w:val="nil"/>
              <w:right w:val="nil"/>
            </w:tcBorders>
            <w:shd w:val="clear" w:color="000000" w:fill="FFFFFF"/>
            <w:noWrap/>
            <w:vAlign w:val="center"/>
            <w:hideMark/>
          </w:tcPr>
          <w:p w14:paraId="5E3726D9"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1,680</w:t>
            </w:r>
          </w:p>
        </w:tc>
        <w:tc>
          <w:tcPr>
            <w:tcW w:w="726" w:type="pct"/>
            <w:tcBorders>
              <w:top w:val="nil"/>
              <w:left w:val="nil"/>
              <w:bottom w:val="nil"/>
              <w:right w:val="nil"/>
            </w:tcBorders>
            <w:shd w:val="clear" w:color="000000" w:fill="E6F2FF"/>
            <w:noWrap/>
            <w:vAlign w:val="center"/>
            <w:hideMark/>
          </w:tcPr>
          <w:p w14:paraId="04DA31B2"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1,740</w:t>
            </w:r>
          </w:p>
        </w:tc>
        <w:tc>
          <w:tcPr>
            <w:tcW w:w="58" w:type="pct"/>
            <w:tcBorders>
              <w:top w:val="nil"/>
              <w:left w:val="nil"/>
              <w:bottom w:val="nil"/>
              <w:right w:val="nil"/>
            </w:tcBorders>
            <w:shd w:val="clear" w:color="000000" w:fill="FFFFFF"/>
            <w:noWrap/>
            <w:vAlign w:val="center"/>
            <w:hideMark/>
          </w:tcPr>
          <w:p w14:paraId="41B12B7E"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9" w:type="pct"/>
            <w:tcBorders>
              <w:top w:val="nil"/>
              <w:left w:val="nil"/>
              <w:bottom w:val="nil"/>
              <w:right w:val="nil"/>
            </w:tcBorders>
            <w:shd w:val="clear" w:color="000000" w:fill="FFFFFF"/>
            <w:noWrap/>
            <w:vAlign w:val="center"/>
            <w:hideMark/>
          </w:tcPr>
          <w:p w14:paraId="44DE5298"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60</w:t>
            </w:r>
          </w:p>
        </w:tc>
        <w:tc>
          <w:tcPr>
            <w:tcW w:w="739" w:type="pct"/>
            <w:tcBorders>
              <w:top w:val="nil"/>
              <w:left w:val="nil"/>
              <w:bottom w:val="nil"/>
              <w:right w:val="nil"/>
            </w:tcBorders>
            <w:shd w:val="clear" w:color="000000" w:fill="FFFFFF"/>
            <w:noWrap/>
            <w:vAlign w:val="center"/>
            <w:hideMark/>
          </w:tcPr>
          <w:p w14:paraId="2013788C"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3.6</w:t>
            </w:r>
          </w:p>
        </w:tc>
      </w:tr>
      <w:tr w:rsidR="003B54EA" w:rsidRPr="00673C1F" w14:paraId="271E5478" w14:textId="77777777" w:rsidTr="003B54EA">
        <w:trPr>
          <w:trHeight w:hRule="exact" w:val="225"/>
        </w:trPr>
        <w:tc>
          <w:tcPr>
            <w:tcW w:w="2011" w:type="pct"/>
            <w:tcBorders>
              <w:top w:val="nil"/>
              <w:left w:val="nil"/>
              <w:bottom w:val="nil"/>
              <w:right w:val="nil"/>
            </w:tcBorders>
            <w:shd w:val="clear" w:color="000000" w:fill="FFFFFF"/>
            <w:noWrap/>
            <w:vAlign w:val="center"/>
            <w:hideMark/>
          </w:tcPr>
          <w:p w14:paraId="0FD122F9"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Agricultural levies</w:t>
            </w:r>
          </w:p>
        </w:tc>
        <w:tc>
          <w:tcPr>
            <w:tcW w:w="726" w:type="pct"/>
            <w:tcBorders>
              <w:top w:val="nil"/>
              <w:left w:val="nil"/>
              <w:bottom w:val="nil"/>
              <w:right w:val="nil"/>
            </w:tcBorders>
            <w:shd w:val="clear" w:color="000000" w:fill="FFFFFF"/>
            <w:noWrap/>
            <w:vAlign w:val="center"/>
            <w:hideMark/>
          </w:tcPr>
          <w:p w14:paraId="65376F64"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634</w:t>
            </w:r>
          </w:p>
        </w:tc>
        <w:tc>
          <w:tcPr>
            <w:tcW w:w="726" w:type="pct"/>
            <w:tcBorders>
              <w:top w:val="nil"/>
              <w:left w:val="nil"/>
              <w:bottom w:val="nil"/>
              <w:right w:val="nil"/>
            </w:tcBorders>
            <w:shd w:val="clear" w:color="000000" w:fill="E6F2FF"/>
            <w:noWrap/>
            <w:vAlign w:val="center"/>
            <w:hideMark/>
          </w:tcPr>
          <w:p w14:paraId="1AB92D5E"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627</w:t>
            </w:r>
          </w:p>
        </w:tc>
        <w:tc>
          <w:tcPr>
            <w:tcW w:w="58" w:type="pct"/>
            <w:tcBorders>
              <w:top w:val="nil"/>
              <w:left w:val="nil"/>
              <w:bottom w:val="nil"/>
              <w:right w:val="nil"/>
            </w:tcBorders>
            <w:shd w:val="clear" w:color="000000" w:fill="FFFFFF"/>
            <w:noWrap/>
            <w:vAlign w:val="center"/>
            <w:hideMark/>
          </w:tcPr>
          <w:p w14:paraId="4D0E210D"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9" w:type="pct"/>
            <w:tcBorders>
              <w:top w:val="nil"/>
              <w:left w:val="nil"/>
              <w:bottom w:val="nil"/>
              <w:right w:val="nil"/>
            </w:tcBorders>
            <w:shd w:val="clear" w:color="000000" w:fill="FFFFFF"/>
            <w:noWrap/>
            <w:vAlign w:val="center"/>
            <w:hideMark/>
          </w:tcPr>
          <w:p w14:paraId="3216C884" w14:textId="41D6B88E"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6</w:t>
            </w:r>
          </w:p>
        </w:tc>
        <w:tc>
          <w:tcPr>
            <w:tcW w:w="739" w:type="pct"/>
            <w:tcBorders>
              <w:top w:val="nil"/>
              <w:left w:val="nil"/>
              <w:bottom w:val="nil"/>
              <w:right w:val="nil"/>
            </w:tcBorders>
            <w:shd w:val="clear" w:color="000000" w:fill="FFFFFF"/>
            <w:noWrap/>
            <w:vAlign w:val="center"/>
            <w:hideMark/>
          </w:tcPr>
          <w:p w14:paraId="2F172CCC" w14:textId="06AC7E37"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1.0</w:t>
            </w:r>
          </w:p>
        </w:tc>
      </w:tr>
      <w:tr w:rsidR="003B54EA" w:rsidRPr="00673C1F" w14:paraId="1A171156" w14:textId="77777777" w:rsidTr="003B54EA">
        <w:trPr>
          <w:trHeight w:hRule="exact" w:val="225"/>
        </w:trPr>
        <w:tc>
          <w:tcPr>
            <w:tcW w:w="2011" w:type="pct"/>
            <w:tcBorders>
              <w:top w:val="nil"/>
              <w:left w:val="nil"/>
              <w:bottom w:val="nil"/>
              <w:right w:val="nil"/>
            </w:tcBorders>
            <w:shd w:val="clear" w:color="000000" w:fill="FFFFFF"/>
            <w:noWrap/>
            <w:vAlign w:val="center"/>
            <w:hideMark/>
          </w:tcPr>
          <w:p w14:paraId="519B4893"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Visa application charges</w:t>
            </w:r>
          </w:p>
        </w:tc>
        <w:tc>
          <w:tcPr>
            <w:tcW w:w="726" w:type="pct"/>
            <w:tcBorders>
              <w:top w:val="nil"/>
              <w:left w:val="nil"/>
              <w:bottom w:val="nil"/>
              <w:right w:val="nil"/>
            </w:tcBorders>
            <w:shd w:val="clear" w:color="000000" w:fill="FFFFFF"/>
            <w:noWrap/>
            <w:vAlign w:val="center"/>
            <w:hideMark/>
          </w:tcPr>
          <w:p w14:paraId="4D3C0618"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3,435</w:t>
            </w:r>
          </w:p>
        </w:tc>
        <w:tc>
          <w:tcPr>
            <w:tcW w:w="726" w:type="pct"/>
            <w:tcBorders>
              <w:top w:val="nil"/>
              <w:left w:val="nil"/>
              <w:bottom w:val="nil"/>
              <w:right w:val="nil"/>
            </w:tcBorders>
            <w:shd w:val="clear" w:color="000000" w:fill="E6F2FF"/>
            <w:noWrap/>
            <w:vAlign w:val="center"/>
            <w:hideMark/>
          </w:tcPr>
          <w:p w14:paraId="12C2A6A1"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3,882</w:t>
            </w:r>
          </w:p>
        </w:tc>
        <w:tc>
          <w:tcPr>
            <w:tcW w:w="58" w:type="pct"/>
            <w:tcBorders>
              <w:top w:val="nil"/>
              <w:left w:val="nil"/>
              <w:bottom w:val="nil"/>
              <w:right w:val="nil"/>
            </w:tcBorders>
            <w:shd w:val="clear" w:color="000000" w:fill="FFFFFF"/>
            <w:noWrap/>
            <w:vAlign w:val="center"/>
            <w:hideMark/>
          </w:tcPr>
          <w:p w14:paraId="507F3525"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 </w:t>
            </w:r>
          </w:p>
        </w:tc>
        <w:tc>
          <w:tcPr>
            <w:tcW w:w="739" w:type="pct"/>
            <w:tcBorders>
              <w:top w:val="nil"/>
              <w:left w:val="nil"/>
              <w:bottom w:val="nil"/>
              <w:right w:val="nil"/>
            </w:tcBorders>
            <w:shd w:val="clear" w:color="000000" w:fill="FFFFFF"/>
            <w:noWrap/>
            <w:vAlign w:val="center"/>
            <w:hideMark/>
          </w:tcPr>
          <w:p w14:paraId="3B26B14C"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447</w:t>
            </w:r>
          </w:p>
        </w:tc>
        <w:tc>
          <w:tcPr>
            <w:tcW w:w="739" w:type="pct"/>
            <w:tcBorders>
              <w:top w:val="nil"/>
              <w:left w:val="nil"/>
              <w:bottom w:val="nil"/>
              <w:right w:val="nil"/>
            </w:tcBorders>
            <w:shd w:val="clear" w:color="000000" w:fill="FFFFFF"/>
            <w:noWrap/>
            <w:vAlign w:val="center"/>
            <w:hideMark/>
          </w:tcPr>
          <w:p w14:paraId="566C76D1"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13.0</w:t>
            </w:r>
          </w:p>
        </w:tc>
      </w:tr>
      <w:tr w:rsidR="003B54EA" w:rsidRPr="00673C1F" w14:paraId="718ADE0A" w14:textId="77777777" w:rsidTr="003B54EA">
        <w:trPr>
          <w:trHeight w:hRule="exact" w:val="225"/>
        </w:trPr>
        <w:tc>
          <w:tcPr>
            <w:tcW w:w="2011" w:type="pct"/>
            <w:tcBorders>
              <w:top w:val="nil"/>
              <w:left w:val="nil"/>
              <w:bottom w:val="nil"/>
              <w:right w:val="nil"/>
            </w:tcBorders>
            <w:shd w:val="clear" w:color="000000" w:fill="FFFFFF"/>
            <w:noWrap/>
            <w:vAlign w:val="center"/>
            <w:hideMark/>
          </w:tcPr>
          <w:p w14:paraId="0200C8D1"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Other taxes</w:t>
            </w:r>
          </w:p>
        </w:tc>
        <w:tc>
          <w:tcPr>
            <w:tcW w:w="726" w:type="pct"/>
            <w:tcBorders>
              <w:top w:val="nil"/>
              <w:left w:val="nil"/>
              <w:bottom w:val="single" w:sz="4" w:space="0" w:color="293F5B"/>
              <w:right w:val="nil"/>
            </w:tcBorders>
            <w:shd w:val="clear" w:color="000000" w:fill="FFFFFF"/>
            <w:noWrap/>
            <w:vAlign w:val="center"/>
            <w:hideMark/>
          </w:tcPr>
          <w:p w14:paraId="7324B2B8"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7,116</w:t>
            </w:r>
          </w:p>
        </w:tc>
        <w:tc>
          <w:tcPr>
            <w:tcW w:w="726" w:type="pct"/>
            <w:tcBorders>
              <w:top w:val="nil"/>
              <w:left w:val="nil"/>
              <w:bottom w:val="single" w:sz="4" w:space="0" w:color="293F5B"/>
              <w:right w:val="nil"/>
            </w:tcBorders>
            <w:shd w:val="clear" w:color="000000" w:fill="E6F2FF"/>
            <w:noWrap/>
            <w:vAlign w:val="center"/>
            <w:hideMark/>
          </w:tcPr>
          <w:p w14:paraId="61E930E9"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7,753</w:t>
            </w:r>
          </w:p>
        </w:tc>
        <w:tc>
          <w:tcPr>
            <w:tcW w:w="58" w:type="pct"/>
            <w:tcBorders>
              <w:top w:val="nil"/>
              <w:left w:val="nil"/>
              <w:bottom w:val="nil"/>
              <w:right w:val="nil"/>
            </w:tcBorders>
            <w:shd w:val="clear" w:color="000000" w:fill="FFFFFF"/>
            <w:noWrap/>
            <w:vAlign w:val="center"/>
            <w:hideMark/>
          </w:tcPr>
          <w:p w14:paraId="4A0632FC"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9" w:type="pct"/>
            <w:tcBorders>
              <w:top w:val="nil"/>
              <w:left w:val="nil"/>
              <w:bottom w:val="single" w:sz="4" w:space="0" w:color="293F5B"/>
              <w:right w:val="nil"/>
            </w:tcBorders>
            <w:shd w:val="clear" w:color="000000" w:fill="FFFFFF"/>
            <w:noWrap/>
            <w:vAlign w:val="center"/>
            <w:hideMark/>
          </w:tcPr>
          <w:p w14:paraId="6ADECD4E"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637</w:t>
            </w:r>
          </w:p>
        </w:tc>
        <w:tc>
          <w:tcPr>
            <w:tcW w:w="739" w:type="pct"/>
            <w:tcBorders>
              <w:top w:val="nil"/>
              <w:left w:val="nil"/>
              <w:bottom w:val="single" w:sz="4" w:space="0" w:color="293F5B"/>
              <w:right w:val="nil"/>
            </w:tcBorders>
            <w:shd w:val="clear" w:color="000000" w:fill="FFFFFF"/>
            <w:noWrap/>
            <w:vAlign w:val="center"/>
            <w:hideMark/>
          </w:tcPr>
          <w:p w14:paraId="0077086D"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9.0</w:t>
            </w:r>
          </w:p>
        </w:tc>
      </w:tr>
      <w:tr w:rsidR="003B54EA" w:rsidRPr="00673C1F" w14:paraId="39D53554" w14:textId="77777777" w:rsidTr="003B54EA">
        <w:trPr>
          <w:trHeight w:hRule="exact" w:val="225"/>
        </w:trPr>
        <w:tc>
          <w:tcPr>
            <w:tcW w:w="2011" w:type="pct"/>
            <w:tcBorders>
              <w:top w:val="nil"/>
              <w:left w:val="nil"/>
              <w:bottom w:val="nil"/>
              <w:right w:val="nil"/>
            </w:tcBorders>
            <w:shd w:val="clear" w:color="000000" w:fill="FFFFFF"/>
            <w:noWrap/>
            <w:vAlign w:val="center"/>
            <w:hideMark/>
          </w:tcPr>
          <w:p w14:paraId="7775186C" w14:textId="77777777" w:rsidR="003B54EA" w:rsidRPr="00673C1F" w:rsidRDefault="003B54EA" w:rsidP="003B54EA">
            <w:pPr>
              <w:spacing w:before="0" w:after="0" w:line="240" w:lineRule="auto"/>
              <w:rPr>
                <w:rFonts w:ascii="Arial" w:hAnsi="Arial" w:cs="Arial"/>
                <w:b/>
                <w:bCs/>
                <w:sz w:val="16"/>
                <w:szCs w:val="16"/>
              </w:rPr>
            </w:pPr>
            <w:r w:rsidRPr="00673C1F">
              <w:rPr>
                <w:rFonts w:ascii="Arial" w:hAnsi="Arial" w:cs="Arial"/>
                <w:b/>
                <w:bCs/>
                <w:sz w:val="16"/>
                <w:szCs w:val="16"/>
              </w:rPr>
              <w:t>Indirect taxation revenue</w:t>
            </w:r>
          </w:p>
        </w:tc>
        <w:tc>
          <w:tcPr>
            <w:tcW w:w="726" w:type="pct"/>
            <w:tcBorders>
              <w:top w:val="nil"/>
              <w:left w:val="nil"/>
              <w:bottom w:val="single" w:sz="4" w:space="0" w:color="293F5B"/>
              <w:right w:val="nil"/>
            </w:tcBorders>
            <w:shd w:val="clear" w:color="000000" w:fill="FFFFFF"/>
            <w:noWrap/>
            <w:vAlign w:val="center"/>
            <w:hideMark/>
          </w:tcPr>
          <w:p w14:paraId="6236D71A"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156,805</w:t>
            </w:r>
          </w:p>
        </w:tc>
        <w:tc>
          <w:tcPr>
            <w:tcW w:w="726" w:type="pct"/>
            <w:tcBorders>
              <w:top w:val="nil"/>
              <w:left w:val="nil"/>
              <w:bottom w:val="single" w:sz="4" w:space="0" w:color="293F5B"/>
              <w:right w:val="nil"/>
            </w:tcBorders>
            <w:shd w:val="clear" w:color="000000" w:fill="E6F2FF"/>
            <w:noWrap/>
            <w:vAlign w:val="center"/>
            <w:hideMark/>
          </w:tcPr>
          <w:p w14:paraId="6CE6E1A0"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155,612</w:t>
            </w:r>
          </w:p>
        </w:tc>
        <w:tc>
          <w:tcPr>
            <w:tcW w:w="58" w:type="pct"/>
            <w:tcBorders>
              <w:top w:val="nil"/>
              <w:left w:val="nil"/>
              <w:bottom w:val="nil"/>
              <w:right w:val="nil"/>
            </w:tcBorders>
            <w:shd w:val="clear" w:color="000000" w:fill="FFFFFF"/>
            <w:noWrap/>
            <w:vAlign w:val="center"/>
            <w:hideMark/>
          </w:tcPr>
          <w:p w14:paraId="706AA784"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739" w:type="pct"/>
            <w:tcBorders>
              <w:top w:val="nil"/>
              <w:left w:val="nil"/>
              <w:bottom w:val="single" w:sz="4" w:space="0" w:color="293F5B"/>
              <w:right w:val="nil"/>
            </w:tcBorders>
            <w:shd w:val="clear" w:color="000000" w:fill="FFFFFF"/>
            <w:noWrap/>
            <w:vAlign w:val="center"/>
            <w:hideMark/>
          </w:tcPr>
          <w:p w14:paraId="46A95E7A" w14:textId="23A78FB1" w:rsidR="003B54EA" w:rsidRPr="00673C1F" w:rsidRDefault="006D727E" w:rsidP="003B54EA">
            <w:pPr>
              <w:spacing w:before="0" w:after="0" w:line="240" w:lineRule="auto"/>
              <w:jc w:val="right"/>
              <w:rPr>
                <w:rFonts w:ascii="Arial" w:hAnsi="Arial" w:cs="Arial"/>
                <w:b/>
                <w:bCs/>
                <w:sz w:val="16"/>
                <w:szCs w:val="16"/>
              </w:rPr>
            </w:pPr>
            <w:r w:rsidRPr="00673C1F">
              <w:rPr>
                <w:rFonts w:ascii="Arial" w:hAnsi="Arial" w:cs="Arial"/>
                <w:b/>
                <w:bCs/>
                <w:sz w:val="16"/>
                <w:szCs w:val="16"/>
              </w:rPr>
              <w:noBreakHyphen/>
            </w:r>
            <w:r w:rsidR="003B54EA" w:rsidRPr="00673C1F">
              <w:rPr>
                <w:rFonts w:ascii="Arial" w:hAnsi="Arial" w:cs="Arial"/>
                <w:b/>
                <w:bCs/>
                <w:sz w:val="16"/>
                <w:szCs w:val="16"/>
              </w:rPr>
              <w:t>1,192</w:t>
            </w:r>
          </w:p>
        </w:tc>
        <w:tc>
          <w:tcPr>
            <w:tcW w:w="739" w:type="pct"/>
            <w:tcBorders>
              <w:top w:val="nil"/>
              <w:left w:val="nil"/>
              <w:bottom w:val="single" w:sz="4" w:space="0" w:color="293F5B"/>
              <w:right w:val="nil"/>
            </w:tcBorders>
            <w:shd w:val="clear" w:color="000000" w:fill="FFFFFF"/>
            <w:noWrap/>
            <w:vAlign w:val="center"/>
            <w:hideMark/>
          </w:tcPr>
          <w:p w14:paraId="6A9A3AF8" w14:textId="2F10FF52" w:rsidR="003B54EA" w:rsidRPr="00673C1F" w:rsidRDefault="006D727E" w:rsidP="003B54EA">
            <w:pPr>
              <w:spacing w:before="0" w:after="0" w:line="240" w:lineRule="auto"/>
              <w:jc w:val="right"/>
              <w:rPr>
                <w:rFonts w:ascii="Arial" w:hAnsi="Arial" w:cs="Arial"/>
                <w:b/>
                <w:bCs/>
                <w:sz w:val="16"/>
                <w:szCs w:val="16"/>
              </w:rPr>
            </w:pPr>
            <w:r w:rsidRPr="00673C1F">
              <w:rPr>
                <w:rFonts w:ascii="Arial" w:hAnsi="Arial" w:cs="Arial"/>
                <w:b/>
                <w:bCs/>
                <w:sz w:val="16"/>
                <w:szCs w:val="16"/>
              </w:rPr>
              <w:noBreakHyphen/>
            </w:r>
            <w:r w:rsidR="003B54EA" w:rsidRPr="00673C1F">
              <w:rPr>
                <w:rFonts w:ascii="Arial" w:hAnsi="Arial" w:cs="Arial"/>
                <w:b/>
                <w:bCs/>
                <w:sz w:val="16"/>
                <w:szCs w:val="16"/>
              </w:rPr>
              <w:t>0.8</w:t>
            </w:r>
          </w:p>
        </w:tc>
      </w:tr>
      <w:tr w:rsidR="003B54EA" w:rsidRPr="00673C1F" w14:paraId="7357C1CA" w14:textId="77777777" w:rsidTr="003B54EA">
        <w:trPr>
          <w:trHeight w:hRule="exact" w:val="225"/>
        </w:trPr>
        <w:tc>
          <w:tcPr>
            <w:tcW w:w="2011" w:type="pct"/>
            <w:tcBorders>
              <w:top w:val="nil"/>
              <w:left w:val="nil"/>
              <w:bottom w:val="nil"/>
              <w:right w:val="nil"/>
            </w:tcBorders>
            <w:shd w:val="clear" w:color="000000" w:fill="FFFFFF"/>
            <w:noWrap/>
            <w:vAlign w:val="center"/>
            <w:hideMark/>
          </w:tcPr>
          <w:p w14:paraId="436BAD4F" w14:textId="77777777" w:rsidR="003B54EA" w:rsidRPr="00673C1F" w:rsidRDefault="003B54EA" w:rsidP="003B54EA">
            <w:pPr>
              <w:spacing w:before="0" w:after="0" w:line="240" w:lineRule="auto"/>
              <w:rPr>
                <w:rFonts w:ascii="Arial" w:hAnsi="Arial" w:cs="Arial"/>
                <w:b/>
                <w:bCs/>
                <w:sz w:val="16"/>
                <w:szCs w:val="16"/>
              </w:rPr>
            </w:pPr>
            <w:r w:rsidRPr="00673C1F">
              <w:rPr>
                <w:rFonts w:ascii="Arial" w:hAnsi="Arial" w:cs="Arial"/>
                <w:b/>
                <w:bCs/>
                <w:sz w:val="16"/>
                <w:szCs w:val="16"/>
              </w:rPr>
              <w:t>Taxation revenue</w:t>
            </w:r>
          </w:p>
        </w:tc>
        <w:tc>
          <w:tcPr>
            <w:tcW w:w="726" w:type="pct"/>
            <w:tcBorders>
              <w:top w:val="nil"/>
              <w:left w:val="nil"/>
              <w:bottom w:val="single" w:sz="4" w:space="0" w:color="293F5B"/>
              <w:right w:val="nil"/>
            </w:tcBorders>
            <w:shd w:val="clear" w:color="000000" w:fill="FFFFFF"/>
            <w:noWrap/>
            <w:vAlign w:val="center"/>
            <w:hideMark/>
          </w:tcPr>
          <w:p w14:paraId="14E488B8"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649,135</w:t>
            </w:r>
          </w:p>
        </w:tc>
        <w:tc>
          <w:tcPr>
            <w:tcW w:w="726" w:type="pct"/>
            <w:tcBorders>
              <w:top w:val="nil"/>
              <w:left w:val="nil"/>
              <w:bottom w:val="single" w:sz="4" w:space="0" w:color="293F5B"/>
              <w:right w:val="nil"/>
            </w:tcBorders>
            <w:shd w:val="clear" w:color="000000" w:fill="E6F2FF"/>
            <w:noWrap/>
            <w:vAlign w:val="center"/>
            <w:hideMark/>
          </w:tcPr>
          <w:p w14:paraId="1E5DA63B"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658,962</w:t>
            </w:r>
          </w:p>
        </w:tc>
        <w:tc>
          <w:tcPr>
            <w:tcW w:w="58" w:type="pct"/>
            <w:tcBorders>
              <w:top w:val="nil"/>
              <w:left w:val="nil"/>
              <w:bottom w:val="nil"/>
              <w:right w:val="nil"/>
            </w:tcBorders>
            <w:shd w:val="clear" w:color="000000" w:fill="FFFFFF"/>
            <w:noWrap/>
            <w:vAlign w:val="center"/>
            <w:hideMark/>
          </w:tcPr>
          <w:p w14:paraId="09BEDF6F"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739" w:type="pct"/>
            <w:tcBorders>
              <w:top w:val="nil"/>
              <w:left w:val="nil"/>
              <w:bottom w:val="single" w:sz="4" w:space="0" w:color="293F5B"/>
              <w:right w:val="nil"/>
            </w:tcBorders>
            <w:shd w:val="clear" w:color="000000" w:fill="FFFFFF"/>
            <w:noWrap/>
            <w:vAlign w:val="center"/>
            <w:hideMark/>
          </w:tcPr>
          <w:p w14:paraId="7A8E4910"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9,828</w:t>
            </w:r>
          </w:p>
        </w:tc>
        <w:tc>
          <w:tcPr>
            <w:tcW w:w="739" w:type="pct"/>
            <w:tcBorders>
              <w:top w:val="nil"/>
              <w:left w:val="nil"/>
              <w:bottom w:val="single" w:sz="4" w:space="0" w:color="293F5B"/>
              <w:right w:val="nil"/>
            </w:tcBorders>
            <w:shd w:val="clear" w:color="000000" w:fill="FFFFFF"/>
            <w:noWrap/>
            <w:vAlign w:val="center"/>
            <w:hideMark/>
          </w:tcPr>
          <w:p w14:paraId="3F95DD4E"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1.5</w:t>
            </w:r>
          </w:p>
        </w:tc>
      </w:tr>
      <w:tr w:rsidR="003B54EA" w:rsidRPr="00673C1F" w14:paraId="406732C0" w14:textId="77777777" w:rsidTr="003B54EA">
        <w:trPr>
          <w:trHeight w:hRule="exact" w:val="60"/>
        </w:trPr>
        <w:tc>
          <w:tcPr>
            <w:tcW w:w="2011" w:type="pct"/>
            <w:tcBorders>
              <w:top w:val="nil"/>
              <w:left w:val="nil"/>
              <w:bottom w:val="nil"/>
              <w:right w:val="nil"/>
            </w:tcBorders>
            <w:shd w:val="clear" w:color="000000" w:fill="FFFFFF"/>
            <w:noWrap/>
            <w:vAlign w:val="center"/>
            <w:hideMark/>
          </w:tcPr>
          <w:p w14:paraId="08B25507" w14:textId="77777777" w:rsidR="003B54EA" w:rsidRPr="00673C1F" w:rsidRDefault="003B54EA" w:rsidP="003B54EA">
            <w:pPr>
              <w:spacing w:before="0" w:after="0" w:line="240" w:lineRule="auto"/>
              <w:rPr>
                <w:rFonts w:ascii="Arial" w:hAnsi="Arial" w:cs="Arial"/>
                <w:b/>
                <w:bCs/>
                <w:sz w:val="16"/>
                <w:szCs w:val="16"/>
              </w:rPr>
            </w:pPr>
            <w:r w:rsidRPr="00673C1F">
              <w:rPr>
                <w:rFonts w:ascii="Arial" w:hAnsi="Arial" w:cs="Arial"/>
                <w:b/>
                <w:bCs/>
                <w:sz w:val="16"/>
                <w:szCs w:val="16"/>
              </w:rPr>
              <w:t> </w:t>
            </w:r>
          </w:p>
        </w:tc>
        <w:tc>
          <w:tcPr>
            <w:tcW w:w="726" w:type="pct"/>
            <w:tcBorders>
              <w:top w:val="nil"/>
              <w:left w:val="nil"/>
              <w:bottom w:val="nil"/>
              <w:right w:val="nil"/>
            </w:tcBorders>
            <w:shd w:val="clear" w:color="000000" w:fill="FFFFFF"/>
            <w:noWrap/>
            <w:vAlign w:val="center"/>
            <w:hideMark/>
          </w:tcPr>
          <w:p w14:paraId="3C749DB9"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726" w:type="pct"/>
            <w:tcBorders>
              <w:top w:val="nil"/>
              <w:left w:val="nil"/>
              <w:bottom w:val="nil"/>
              <w:right w:val="nil"/>
            </w:tcBorders>
            <w:shd w:val="clear" w:color="000000" w:fill="E6F2FF"/>
            <w:noWrap/>
            <w:vAlign w:val="center"/>
            <w:hideMark/>
          </w:tcPr>
          <w:p w14:paraId="60D3942D"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58" w:type="pct"/>
            <w:tcBorders>
              <w:top w:val="nil"/>
              <w:left w:val="nil"/>
              <w:bottom w:val="nil"/>
              <w:right w:val="nil"/>
            </w:tcBorders>
            <w:shd w:val="clear" w:color="000000" w:fill="FFFFFF"/>
            <w:noWrap/>
            <w:vAlign w:val="center"/>
            <w:hideMark/>
          </w:tcPr>
          <w:p w14:paraId="2FE8779D"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739" w:type="pct"/>
            <w:tcBorders>
              <w:top w:val="nil"/>
              <w:left w:val="nil"/>
              <w:bottom w:val="nil"/>
              <w:right w:val="nil"/>
            </w:tcBorders>
            <w:shd w:val="clear" w:color="000000" w:fill="FFFFFF"/>
            <w:noWrap/>
            <w:vAlign w:val="center"/>
            <w:hideMark/>
          </w:tcPr>
          <w:p w14:paraId="04417FC8"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739" w:type="pct"/>
            <w:tcBorders>
              <w:top w:val="nil"/>
              <w:left w:val="nil"/>
              <w:bottom w:val="nil"/>
              <w:right w:val="nil"/>
            </w:tcBorders>
            <w:shd w:val="clear" w:color="000000" w:fill="FFFFFF"/>
            <w:noWrap/>
            <w:vAlign w:val="center"/>
            <w:hideMark/>
          </w:tcPr>
          <w:p w14:paraId="5FCFC28B"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 </w:t>
            </w:r>
          </w:p>
        </w:tc>
      </w:tr>
      <w:tr w:rsidR="003B54EA" w:rsidRPr="00673C1F" w14:paraId="2A5BEAC6" w14:textId="77777777" w:rsidTr="003B54EA">
        <w:trPr>
          <w:trHeight w:hRule="exact" w:val="225"/>
        </w:trPr>
        <w:tc>
          <w:tcPr>
            <w:tcW w:w="2011" w:type="pct"/>
            <w:tcBorders>
              <w:top w:val="nil"/>
              <w:left w:val="nil"/>
              <w:bottom w:val="nil"/>
              <w:right w:val="nil"/>
            </w:tcBorders>
            <w:shd w:val="clear" w:color="000000" w:fill="FFFFFF"/>
            <w:noWrap/>
            <w:vAlign w:val="center"/>
            <w:hideMark/>
          </w:tcPr>
          <w:p w14:paraId="5212CAF0"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Sales of goods and services</w:t>
            </w:r>
          </w:p>
        </w:tc>
        <w:tc>
          <w:tcPr>
            <w:tcW w:w="726" w:type="pct"/>
            <w:tcBorders>
              <w:top w:val="nil"/>
              <w:left w:val="nil"/>
              <w:bottom w:val="nil"/>
              <w:right w:val="nil"/>
            </w:tcBorders>
            <w:shd w:val="clear" w:color="000000" w:fill="FFFFFF"/>
            <w:noWrap/>
            <w:vAlign w:val="center"/>
            <w:hideMark/>
          </w:tcPr>
          <w:p w14:paraId="36003533"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21,260</w:t>
            </w:r>
          </w:p>
        </w:tc>
        <w:tc>
          <w:tcPr>
            <w:tcW w:w="726" w:type="pct"/>
            <w:tcBorders>
              <w:top w:val="nil"/>
              <w:left w:val="nil"/>
              <w:bottom w:val="nil"/>
              <w:right w:val="nil"/>
            </w:tcBorders>
            <w:shd w:val="clear" w:color="000000" w:fill="E6F2FF"/>
            <w:noWrap/>
            <w:vAlign w:val="center"/>
            <w:hideMark/>
          </w:tcPr>
          <w:p w14:paraId="4105C177"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21,636</w:t>
            </w:r>
          </w:p>
        </w:tc>
        <w:tc>
          <w:tcPr>
            <w:tcW w:w="58" w:type="pct"/>
            <w:tcBorders>
              <w:top w:val="nil"/>
              <w:left w:val="nil"/>
              <w:bottom w:val="nil"/>
              <w:right w:val="nil"/>
            </w:tcBorders>
            <w:shd w:val="clear" w:color="000000" w:fill="FFFFFF"/>
            <w:noWrap/>
            <w:vAlign w:val="center"/>
            <w:hideMark/>
          </w:tcPr>
          <w:p w14:paraId="14DBC734"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739" w:type="pct"/>
            <w:tcBorders>
              <w:top w:val="nil"/>
              <w:left w:val="nil"/>
              <w:bottom w:val="nil"/>
              <w:right w:val="nil"/>
            </w:tcBorders>
            <w:shd w:val="clear" w:color="000000" w:fill="FFFFFF"/>
            <w:noWrap/>
            <w:vAlign w:val="center"/>
            <w:hideMark/>
          </w:tcPr>
          <w:p w14:paraId="4E75C89E"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376</w:t>
            </w:r>
          </w:p>
        </w:tc>
        <w:tc>
          <w:tcPr>
            <w:tcW w:w="739" w:type="pct"/>
            <w:tcBorders>
              <w:top w:val="nil"/>
              <w:left w:val="nil"/>
              <w:bottom w:val="nil"/>
              <w:right w:val="nil"/>
            </w:tcBorders>
            <w:shd w:val="clear" w:color="000000" w:fill="FFFFFF"/>
            <w:noWrap/>
            <w:vAlign w:val="center"/>
            <w:hideMark/>
          </w:tcPr>
          <w:p w14:paraId="179E2E1E"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1.8</w:t>
            </w:r>
          </w:p>
        </w:tc>
      </w:tr>
      <w:tr w:rsidR="003B54EA" w:rsidRPr="00673C1F" w14:paraId="22257AE6" w14:textId="77777777" w:rsidTr="003B54EA">
        <w:trPr>
          <w:trHeight w:hRule="exact" w:val="225"/>
        </w:trPr>
        <w:tc>
          <w:tcPr>
            <w:tcW w:w="2011" w:type="pct"/>
            <w:tcBorders>
              <w:top w:val="nil"/>
              <w:left w:val="nil"/>
              <w:bottom w:val="nil"/>
              <w:right w:val="nil"/>
            </w:tcBorders>
            <w:shd w:val="clear" w:color="000000" w:fill="FFFFFF"/>
            <w:noWrap/>
            <w:vAlign w:val="center"/>
            <w:hideMark/>
          </w:tcPr>
          <w:p w14:paraId="234A7869"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Interest</w:t>
            </w:r>
          </w:p>
        </w:tc>
        <w:tc>
          <w:tcPr>
            <w:tcW w:w="726" w:type="pct"/>
            <w:tcBorders>
              <w:top w:val="nil"/>
              <w:left w:val="nil"/>
              <w:bottom w:val="nil"/>
              <w:right w:val="nil"/>
            </w:tcBorders>
            <w:shd w:val="clear" w:color="000000" w:fill="FFFFFF"/>
            <w:noWrap/>
            <w:vAlign w:val="center"/>
            <w:hideMark/>
          </w:tcPr>
          <w:p w14:paraId="7AFA1CBF"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9,044</w:t>
            </w:r>
          </w:p>
        </w:tc>
        <w:tc>
          <w:tcPr>
            <w:tcW w:w="726" w:type="pct"/>
            <w:tcBorders>
              <w:top w:val="nil"/>
              <w:left w:val="nil"/>
              <w:bottom w:val="nil"/>
              <w:right w:val="nil"/>
            </w:tcBorders>
            <w:shd w:val="clear" w:color="000000" w:fill="E6F2FF"/>
            <w:noWrap/>
            <w:vAlign w:val="center"/>
            <w:hideMark/>
          </w:tcPr>
          <w:p w14:paraId="682DCBF6"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10,276</w:t>
            </w:r>
          </w:p>
        </w:tc>
        <w:tc>
          <w:tcPr>
            <w:tcW w:w="58" w:type="pct"/>
            <w:tcBorders>
              <w:top w:val="nil"/>
              <w:left w:val="nil"/>
              <w:bottom w:val="nil"/>
              <w:right w:val="nil"/>
            </w:tcBorders>
            <w:shd w:val="clear" w:color="000000" w:fill="FFFFFF"/>
            <w:noWrap/>
            <w:vAlign w:val="center"/>
            <w:hideMark/>
          </w:tcPr>
          <w:p w14:paraId="3FF690E2"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9" w:type="pct"/>
            <w:tcBorders>
              <w:top w:val="nil"/>
              <w:left w:val="nil"/>
              <w:bottom w:val="nil"/>
              <w:right w:val="nil"/>
            </w:tcBorders>
            <w:shd w:val="clear" w:color="000000" w:fill="FFFFFF"/>
            <w:noWrap/>
            <w:vAlign w:val="center"/>
            <w:hideMark/>
          </w:tcPr>
          <w:p w14:paraId="7120F2E2"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1,232</w:t>
            </w:r>
          </w:p>
        </w:tc>
        <w:tc>
          <w:tcPr>
            <w:tcW w:w="739" w:type="pct"/>
            <w:tcBorders>
              <w:top w:val="nil"/>
              <w:left w:val="nil"/>
              <w:bottom w:val="nil"/>
              <w:right w:val="nil"/>
            </w:tcBorders>
            <w:shd w:val="clear" w:color="000000" w:fill="FFFFFF"/>
            <w:noWrap/>
            <w:vAlign w:val="center"/>
            <w:hideMark/>
          </w:tcPr>
          <w:p w14:paraId="1812BE91"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13.6</w:t>
            </w:r>
          </w:p>
        </w:tc>
      </w:tr>
      <w:tr w:rsidR="003B54EA" w:rsidRPr="00673C1F" w14:paraId="60BC92FB" w14:textId="77777777" w:rsidTr="003B54EA">
        <w:trPr>
          <w:trHeight w:hRule="exact" w:val="225"/>
        </w:trPr>
        <w:tc>
          <w:tcPr>
            <w:tcW w:w="2011" w:type="pct"/>
            <w:tcBorders>
              <w:top w:val="nil"/>
              <w:left w:val="nil"/>
              <w:bottom w:val="nil"/>
              <w:right w:val="nil"/>
            </w:tcBorders>
            <w:shd w:val="clear" w:color="000000" w:fill="FFFFFF"/>
            <w:noWrap/>
            <w:vAlign w:val="center"/>
            <w:hideMark/>
          </w:tcPr>
          <w:p w14:paraId="12E88234" w14:textId="77777777"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Dividends and distributions</w:t>
            </w:r>
          </w:p>
        </w:tc>
        <w:tc>
          <w:tcPr>
            <w:tcW w:w="726" w:type="pct"/>
            <w:tcBorders>
              <w:top w:val="nil"/>
              <w:left w:val="nil"/>
              <w:bottom w:val="nil"/>
              <w:right w:val="nil"/>
            </w:tcBorders>
            <w:shd w:val="clear" w:color="000000" w:fill="FFFFFF"/>
            <w:noWrap/>
            <w:vAlign w:val="center"/>
            <w:hideMark/>
          </w:tcPr>
          <w:p w14:paraId="7CD7C4A7"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7,269</w:t>
            </w:r>
          </w:p>
        </w:tc>
        <w:tc>
          <w:tcPr>
            <w:tcW w:w="726" w:type="pct"/>
            <w:tcBorders>
              <w:top w:val="nil"/>
              <w:left w:val="nil"/>
              <w:bottom w:val="nil"/>
              <w:right w:val="nil"/>
            </w:tcBorders>
            <w:shd w:val="clear" w:color="000000" w:fill="E6F2FF"/>
            <w:noWrap/>
            <w:vAlign w:val="center"/>
            <w:hideMark/>
          </w:tcPr>
          <w:p w14:paraId="7CA02A9C"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6,815</w:t>
            </w:r>
          </w:p>
        </w:tc>
        <w:tc>
          <w:tcPr>
            <w:tcW w:w="58" w:type="pct"/>
            <w:tcBorders>
              <w:top w:val="nil"/>
              <w:left w:val="nil"/>
              <w:bottom w:val="nil"/>
              <w:right w:val="nil"/>
            </w:tcBorders>
            <w:shd w:val="clear" w:color="000000" w:fill="FFFFFF"/>
            <w:noWrap/>
            <w:vAlign w:val="center"/>
            <w:hideMark/>
          </w:tcPr>
          <w:p w14:paraId="278F8AE6"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739" w:type="pct"/>
            <w:tcBorders>
              <w:top w:val="nil"/>
              <w:left w:val="nil"/>
              <w:bottom w:val="nil"/>
              <w:right w:val="nil"/>
            </w:tcBorders>
            <w:shd w:val="clear" w:color="000000" w:fill="FFFFFF"/>
            <w:noWrap/>
            <w:vAlign w:val="center"/>
            <w:hideMark/>
          </w:tcPr>
          <w:p w14:paraId="48D06681" w14:textId="6CEF045E"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454</w:t>
            </w:r>
          </w:p>
        </w:tc>
        <w:tc>
          <w:tcPr>
            <w:tcW w:w="739" w:type="pct"/>
            <w:tcBorders>
              <w:top w:val="nil"/>
              <w:left w:val="nil"/>
              <w:bottom w:val="nil"/>
              <w:right w:val="nil"/>
            </w:tcBorders>
            <w:shd w:val="clear" w:color="000000" w:fill="FFFFFF"/>
            <w:noWrap/>
            <w:vAlign w:val="center"/>
            <w:hideMark/>
          </w:tcPr>
          <w:p w14:paraId="7DF9519B" w14:textId="73352C0B" w:rsidR="003B54EA" w:rsidRPr="00673C1F" w:rsidRDefault="006D727E" w:rsidP="003B54EA">
            <w:pPr>
              <w:spacing w:before="0" w:after="0" w:line="240" w:lineRule="auto"/>
              <w:jc w:val="right"/>
              <w:rPr>
                <w:rFonts w:ascii="Arial" w:hAnsi="Arial" w:cs="Arial"/>
                <w:sz w:val="16"/>
                <w:szCs w:val="16"/>
              </w:rPr>
            </w:pPr>
            <w:r w:rsidRPr="00673C1F">
              <w:rPr>
                <w:rFonts w:ascii="Arial" w:hAnsi="Arial" w:cs="Arial"/>
                <w:sz w:val="16"/>
                <w:szCs w:val="16"/>
              </w:rPr>
              <w:noBreakHyphen/>
            </w:r>
            <w:r w:rsidR="003B54EA" w:rsidRPr="00673C1F">
              <w:rPr>
                <w:rFonts w:ascii="Arial" w:hAnsi="Arial" w:cs="Arial"/>
                <w:sz w:val="16"/>
                <w:szCs w:val="16"/>
              </w:rPr>
              <w:t>6.3</w:t>
            </w:r>
          </w:p>
        </w:tc>
      </w:tr>
      <w:tr w:rsidR="003B54EA" w:rsidRPr="00673C1F" w14:paraId="61E90360" w14:textId="77777777" w:rsidTr="003B54EA">
        <w:trPr>
          <w:trHeight w:hRule="exact" w:val="225"/>
        </w:trPr>
        <w:tc>
          <w:tcPr>
            <w:tcW w:w="2011" w:type="pct"/>
            <w:tcBorders>
              <w:top w:val="nil"/>
              <w:left w:val="nil"/>
              <w:bottom w:val="nil"/>
              <w:right w:val="nil"/>
            </w:tcBorders>
            <w:shd w:val="clear" w:color="000000" w:fill="FFFFFF"/>
            <w:noWrap/>
            <w:vAlign w:val="center"/>
            <w:hideMark/>
          </w:tcPr>
          <w:p w14:paraId="3D5F81C6" w14:textId="23805025" w:rsidR="003B54EA" w:rsidRPr="00673C1F" w:rsidRDefault="003B54EA" w:rsidP="003B54EA">
            <w:pPr>
              <w:spacing w:before="0" w:after="0" w:line="240" w:lineRule="auto"/>
              <w:rPr>
                <w:rFonts w:ascii="Arial" w:hAnsi="Arial" w:cs="Arial"/>
                <w:sz w:val="16"/>
                <w:szCs w:val="16"/>
              </w:rPr>
            </w:pPr>
            <w:r w:rsidRPr="00673C1F">
              <w:rPr>
                <w:rFonts w:ascii="Arial" w:hAnsi="Arial" w:cs="Arial"/>
                <w:sz w:val="16"/>
                <w:szCs w:val="16"/>
              </w:rPr>
              <w:t>Other non</w:t>
            </w:r>
            <w:r w:rsidR="006D727E" w:rsidRPr="00673C1F">
              <w:rPr>
                <w:rFonts w:ascii="Arial" w:hAnsi="Arial" w:cs="Arial"/>
                <w:sz w:val="16"/>
                <w:szCs w:val="16"/>
              </w:rPr>
              <w:noBreakHyphen/>
            </w:r>
            <w:r w:rsidRPr="00673C1F">
              <w:rPr>
                <w:rFonts w:ascii="Arial" w:hAnsi="Arial" w:cs="Arial"/>
                <w:sz w:val="16"/>
                <w:szCs w:val="16"/>
              </w:rPr>
              <w:t>taxation revenue</w:t>
            </w:r>
          </w:p>
        </w:tc>
        <w:tc>
          <w:tcPr>
            <w:tcW w:w="726" w:type="pct"/>
            <w:tcBorders>
              <w:top w:val="nil"/>
              <w:left w:val="nil"/>
              <w:bottom w:val="single" w:sz="4" w:space="0" w:color="293F5B"/>
              <w:right w:val="nil"/>
            </w:tcBorders>
            <w:shd w:val="clear" w:color="000000" w:fill="FFFFFF"/>
            <w:noWrap/>
            <w:vAlign w:val="center"/>
            <w:hideMark/>
          </w:tcPr>
          <w:p w14:paraId="14025390"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13,585</w:t>
            </w:r>
          </w:p>
        </w:tc>
        <w:tc>
          <w:tcPr>
            <w:tcW w:w="726" w:type="pct"/>
            <w:tcBorders>
              <w:top w:val="nil"/>
              <w:left w:val="nil"/>
              <w:bottom w:val="single" w:sz="4" w:space="0" w:color="293F5B"/>
              <w:right w:val="nil"/>
            </w:tcBorders>
            <w:shd w:val="clear" w:color="000000" w:fill="E6F2FF"/>
            <w:noWrap/>
            <w:vAlign w:val="center"/>
            <w:hideMark/>
          </w:tcPr>
          <w:p w14:paraId="384C6B7E"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13,815</w:t>
            </w:r>
          </w:p>
        </w:tc>
        <w:tc>
          <w:tcPr>
            <w:tcW w:w="58" w:type="pct"/>
            <w:tcBorders>
              <w:top w:val="nil"/>
              <w:left w:val="nil"/>
              <w:bottom w:val="nil"/>
              <w:right w:val="nil"/>
            </w:tcBorders>
            <w:shd w:val="clear" w:color="000000" w:fill="FFFFFF"/>
            <w:noWrap/>
            <w:vAlign w:val="center"/>
            <w:hideMark/>
          </w:tcPr>
          <w:p w14:paraId="66C492BE"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 </w:t>
            </w:r>
          </w:p>
        </w:tc>
        <w:tc>
          <w:tcPr>
            <w:tcW w:w="739" w:type="pct"/>
            <w:tcBorders>
              <w:top w:val="nil"/>
              <w:left w:val="nil"/>
              <w:bottom w:val="single" w:sz="4" w:space="0" w:color="293F5B"/>
              <w:right w:val="nil"/>
            </w:tcBorders>
            <w:shd w:val="clear" w:color="000000" w:fill="FFFFFF"/>
            <w:noWrap/>
            <w:vAlign w:val="center"/>
            <w:hideMark/>
          </w:tcPr>
          <w:p w14:paraId="1E3E784A"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230</w:t>
            </w:r>
          </w:p>
        </w:tc>
        <w:tc>
          <w:tcPr>
            <w:tcW w:w="739" w:type="pct"/>
            <w:tcBorders>
              <w:top w:val="nil"/>
              <w:left w:val="nil"/>
              <w:bottom w:val="single" w:sz="4" w:space="0" w:color="293F5B"/>
              <w:right w:val="nil"/>
            </w:tcBorders>
            <w:shd w:val="clear" w:color="000000" w:fill="FFFFFF"/>
            <w:noWrap/>
            <w:vAlign w:val="center"/>
            <w:hideMark/>
          </w:tcPr>
          <w:p w14:paraId="5D996C9F" w14:textId="77777777" w:rsidR="003B54EA" w:rsidRPr="00673C1F" w:rsidRDefault="003B54EA" w:rsidP="003B54EA">
            <w:pPr>
              <w:spacing w:before="0" w:after="0" w:line="240" w:lineRule="auto"/>
              <w:jc w:val="right"/>
              <w:rPr>
                <w:rFonts w:ascii="Arial" w:hAnsi="Arial" w:cs="Arial"/>
                <w:sz w:val="16"/>
                <w:szCs w:val="16"/>
              </w:rPr>
            </w:pPr>
            <w:r w:rsidRPr="00673C1F">
              <w:rPr>
                <w:rFonts w:ascii="Arial" w:hAnsi="Arial" w:cs="Arial"/>
                <w:sz w:val="16"/>
                <w:szCs w:val="16"/>
              </w:rPr>
              <w:t>1.7</w:t>
            </w:r>
          </w:p>
        </w:tc>
      </w:tr>
      <w:tr w:rsidR="003B54EA" w:rsidRPr="00673C1F" w14:paraId="16323A97" w14:textId="77777777" w:rsidTr="003B54EA">
        <w:trPr>
          <w:trHeight w:hRule="exact" w:val="225"/>
        </w:trPr>
        <w:tc>
          <w:tcPr>
            <w:tcW w:w="2011" w:type="pct"/>
            <w:tcBorders>
              <w:top w:val="nil"/>
              <w:left w:val="nil"/>
              <w:bottom w:val="nil"/>
              <w:right w:val="nil"/>
            </w:tcBorders>
            <w:shd w:val="clear" w:color="000000" w:fill="FFFFFF"/>
            <w:noWrap/>
            <w:vAlign w:val="center"/>
            <w:hideMark/>
          </w:tcPr>
          <w:p w14:paraId="43335E21" w14:textId="73D2DC83" w:rsidR="003B54EA" w:rsidRPr="00673C1F" w:rsidRDefault="003B54EA" w:rsidP="003B54EA">
            <w:pPr>
              <w:spacing w:before="0" w:after="0" w:line="240" w:lineRule="auto"/>
              <w:rPr>
                <w:rFonts w:ascii="Arial" w:hAnsi="Arial" w:cs="Arial"/>
                <w:b/>
                <w:bCs/>
                <w:sz w:val="16"/>
                <w:szCs w:val="16"/>
              </w:rPr>
            </w:pPr>
            <w:r w:rsidRPr="00673C1F">
              <w:rPr>
                <w:rFonts w:ascii="Arial" w:hAnsi="Arial" w:cs="Arial"/>
                <w:b/>
                <w:bCs/>
                <w:sz w:val="16"/>
                <w:szCs w:val="16"/>
              </w:rPr>
              <w:t>Non</w:t>
            </w:r>
            <w:r w:rsidR="006D727E" w:rsidRPr="00673C1F">
              <w:rPr>
                <w:rFonts w:ascii="Arial" w:hAnsi="Arial" w:cs="Arial"/>
                <w:b/>
                <w:bCs/>
                <w:sz w:val="16"/>
                <w:szCs w:val="16"/>
              </w:rPr>
              <w:noBreakHyphen/>
            </w:r>
            <w:r w:rsidRPr="00673C1F">
              <w:rPr>
                <w:rFonts w:ascii="Arial" w:hAnsi="Arial" w:cs="Arial"/>
                <w:b/>
                <w:bCs/>
                <w:sz w:val="16"/>
                <w:szCs w:val="16"/>
              </w:rPr>
              <w:t>taxation revenue</w:t>
            </w:r>
          </w:p>
        </w:tc>
        <w:tc>
          <w:tcPr>
            <w:tcW w:w="726" w:type="pct"/>
            <w:tcBorders>
              <w:top w:val="nil"/>
              <w:left w:val="nil"/>
              <w:bottom w:val="single" w:sz="4" w:space="0" w:color="293F5B"/>
              <w:right w:val="nil"/>
            </w:tcBorders>
            <w:shd w:val="clear" w:color="000000" w:fill="FFFFFF"/>
            <w:noWrap/>
            <w:vAlign w:val="center"/>
            <w:hideMark/>
          </w:tcPr>
          <w:p w14:paraId="24AEF32E"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51,158</w:t>
            </w:r>
          </w:p>
        </w:tc>
        <w:tc>
          <w:tcPr>
            <w:tcW w:w="726" w:type="pct"/>
            <w:tcBorders>
              <w:top w:val="nil"/>
              <w:left w:val="nil"/>
              <w:bottom w:val="single" w:sz="4" w:space="0" w:color="293F5B"/>
              <w:right w:val="nil"/>
            </w:tcBorders>
            <w:shd w:val="clear" w:color="000000" w:fill="E6F2FF"/>
            <w:noWrap/>
            <w:vAlign w:val="center"/>
            <w:hideMark/>
          </w:tcPr>
          <w:p w14:paraId="66B3E15C"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52,542</w:t>
            </w:r>
          </w:p>
        </w:tc>
        <w:tc>
          <w:tcPr>
            <w:tcW w:w="58" w:type="pct"/>
            <w:tcBorders>
              <w:top w:val="nil"/>
              <w:left w:val="nil"/>
              <w:bottom w:val="nil"/>
              <w:right w:val="nil"/>
            </w:tcBorders>
            <w:shd w:val="clear" w:color="000000" w:fill="FFFFFF"/>
            <w:noWrap/>
            <w:vAlign w:val="center"/>
            <w:hideMark/>
          </w:tcPr>
          <w:p w14:paraId="1DD9625C"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739" w:type="pct"/>
            <w:tcBorders>
              <w:top w:val="nil"/>
              <w:left w:val="nil"/>
              <w:bottom w:val="single" w:sz="4" w:space="0" w:color="auto"/>
              <w:right w:val="nil"/>
            </w:tcBorders>
            <w:shd w:val="clear" w:color="000000" w:fill="FFFFFF"/>
            <w:noWrap/>
            <w:vAlign w:val="center"/>
            <w:hideMark/>
          </w:tcPr>
          <w:p w14:paraId="379F3864"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1,384</w:t>
            </w:r>
          </w:p>
        </w:tc>
        <w:tc>
          <w:tcPr>
            <w:tcW w:w="739" w:type="pct"/>
            <w:tcBorders>
              <w:top w:val="nil"/>
              <w:left w:val="nil"/>
              <w:bottom w:val="single" w:sz="4" w:space="0" w:color="auto"/>
              <w:right w:val="nil"/>
            </w:tcBorders>
            <w:shd w:val="clear" w:color="000000" w:fill="FFFFFF"/>
            <w:noWrap/>
            <w:vAlign w:val="center"/>
            <w:hideMark/>
          </w:tcPr>
          <w:p w14:paraId="72432D6A"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2.7</w:t>
            </w:r>
          </w:p>
        </w:tc>
      </w:tr>
      <w:tr w:rsidR="003B54EA" w:rsidRPr="00673C1F" w14:paraId="4ADD6BB1" w14:textId="77777777" w:rsidTr="003B54EA">
        <w:trPr>
          <w:trHeight w:hRule="exact" w:val="225"/>
        </w:trPr>
        <w:tc>
          <w:tcPr>
            <w:tcW w:w="2011" w:type="pct"/>
            <w:tcBorders>
              <w:top w:val="nil"/>
              <w:left w:val="nil"/>
              <w:bottom w:val="single" w:sz="4" w:space="0" w:color="293F5B"/>
              <w:right w:val="nil"/>
            </w:tcBorders>
            <w:shd w:val="clear" w:color="000000" w:fill="FFFFFF"/>
            <w:noWrap/>
            <w:vAlign w:val="center"/>
            <w:hideMark/>
          </w:tcPr>
          <w:p w14:paraId="1FFE68BB" w14:textId="77777777" w:rsidR="003B54EA" w:rsidRPr="00673C1F" w:rsidRDefault="003B54EA" w:rsidP="003B54EA">
            <w:pPr>
              <w:spacing w:before="0" w:after="0" w:line="240" w:lineRule="auto"/>
              <w:rPr>
                <w:rFonts w:ascii="Arial" w:hAnsi="Arial" w:cs="Arial"/>
                <w:b/>
                <w:bCs/>
                <w:sz w:val="16"/>
                <w:szCs w:val="16"/>
              </w:rPr>
            </w:pPr>
            <w:r w:rsidRPr="00673C1F">
              <w:rPr>
                <w:rFonts w:ascii="Arial" w:hAnsi="Arial" w:cs="Arial"/>
                <w:b/>
                <w:bCs/>
                <w:sz w:val="16"/>
                <w:szCs w:val="16"/>
              </w:rPr>
              <w:t>Total revenue</w:t>
            </w:r>
          </w:p>
        </w:tc>
        <w:tc>
          <w:tcPr>
            <w:tcW w:w="726" w:type="pct"/>
            <w:tcBorders>
              <w:top w:val="nil"/>
              <w:left w:val="nil"/>
              <w:bottom w:val="single" w:sz="4" w:space="0" w:color="293F5B"/>
              <w:right w:val="nil"/>
            </w:tcBorders>
            <w:shd w:val="clear" w:color="000000" w:fill="FFFFFF"/>
            <w:noWrap/>
            <w:vAlign w:val="center"/>
            <w:hideMark/>
          </w:tcPr>
          <w:p w14:paraId="7E049869"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700,293</w:t>
            </w:r>
          </w:p>
        </w:tc>
        <w:tc>
          <w:tcPr>
            <w:tcW w:w="726" w:type="pct"/>
            <w:tcBorders>
              <w:top w:val="nil"/>
              <w:left w:val="nil"/>
              <w:bottom w:val="single" w:sz="4" w:space="0" w:color="293F5B"/>
              <w:right w:val="nil"/>
            </w:tcBorders>
            <w:shd w:val="clear" w:color="000000" w:fill="E6F2FF"/>
            <w:noWrap/>
            <w:vAlign w:val="center"/>
            <w:hideMark/>
          </w:tcPr>
          <w:p w14:paraId="1157E31E"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711,505</w:t>
            </w:r>
          </w:p>
        </w:tc>
        <w:tc>
          <w:tcPr>
            <w:tcW w:w="58" w:type="pct"/>
            <w:tcBorders>
              <w:top w:val="nil"/>
              <w:left w:val="nil"/>
              <w:bottom w:val="single" w:sz="4" w:space="0" w:color="293F5B"/>
              <w:right w:val="nil"/>
            </w:tcBorders>
            <w:shd w:val="clear" w:color="000000" w:fill="FFFFFF"/>
            <w:noWrap/>
            <w:vAlign w:val="center"/>
            <w:hideMark/>
          </w:tcPr>
          <w:p w14:paraId="73B0A9D2"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 </w:t>
            </w:r>
          </w:p>
        </w:tc>
        <w:tc>
          <w:tcPr>
            <w:tcW w:w="739" w:type="pct"/>
            <w:tcBorders>
              <w:top w:val="single" w:sz="4" w:space="0" w:color="293F5B"/>
              <w:left w:val="nil"/>
              <w:bottom w:val="single" w:sz="4" w:space="0" w:color="293F5B"/>
              <w:right w:val="nil"/>
            </w:tcBorders>
            <w:shd w:val="clear" w:color="000000" w:fill="FFFFFF"/>
            <w:noWrap/>
            <w:vAlign w:val="center"/>
            <w:hideMark/>
          </w:tcPr>
          <w:p w14:paraId="5B6FD8C5"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11,212</w:t>
            </w:r>
          </w:p>
        </w:tc>
        <w:tc>
          <w:tcPr>
            <w:tcW w:w="739" w:type="pct"/>
            <w:tcBorders>
              <w:top w:val="single" w:sz="4" w:space="0" w:color="293F5B"/>
              <w:left w:val="nil"/>
              <w:bottom w:val="single" w:sz="4" w:space="0" w:color="293F5B"/>
              <w:right w:val="nil"/>
            </w:tcBorders>
            <w:shd w:val="clear" w:color="000000" w:fill="FFFFFF"/>
            <w:noWrap/>
            <w:vAlign w:val="center"/>
            <w:hideMark/>
          </w:tcPr>
          <w:p w14:paraId="6CDBE497" w14:textId="77777777" w:rsidR="003B54EA" w:rsidRPr="00673C1F" w:rsidRDefault="003B54EA" w:rsidP="003B54EA">
            <w:pPr>
              <w:spacing w:before="0" w:after="0" w:line="240" w:lineRule="auto"/>
              <w:jc w:val="right"/>
              <w:rPr>
                <w:rFonts w:ascii="Arial" w:hAnsi="Arial" w:cs="Arial"/>
                <w:b/>
                <w:bCs/>
                <w:sz w:val="16"/>
                <w:szCs w:val="16"/>
              </w:rPr>
            </w:pPr>
            <w:r w:rsidRPr="00673C1F">
              <w:rPr>
                <w:rFonts w:ascii="Arial" w:hAnsi="Arial" w:cs="Arial"/>
                <w:b/>
                <w:bCs/>
                <w:sz w:val="16"/>
                <w:szCs w:val="16"/>
              </w:rPr>
              <w:t>1.6</w:t>
            </w:r>
          </w:p>
        </w:tc>
      </w:tr>
      <w:tr w:rsidR="003B54EA" w:rsidRPr="00673C1F" w14:paraId="133C798F" w14:textId="77777777" w:rsidTr="003B54EA">
        <w:trPr>
          <w:trHeight w:hRule="exact" w:val="225"/>
        </w:trPr>
        <w:tc>
          <w:tcPr>
            <w:tcW w:w="2011" w:type="pct"/>
            <w:tcBorders>
              <w:top w:val="nil"/>
              <w:left w:val="nil"/>
              <w:bottom w:val="nil"/>
              <w:right w:val="nil"/>
            </w:tcBorders>
            <w:shd w:val="clear" w:color="000000" w:fill="FFFFFF"/>
            <w:noWrap/>
            <w:vAlign w:val="center"/>
            <w:hideMark/>
          </w:tcPr>
          <w:p w14:paraId="2B794270" w14:textId="77777777" w:rsidR="003B54EA" w:rsidRPr="00673C1F" w:rsidRDefault="003B54EA" w:rsidP="003B54EA">
            <w:pPr>
              <w:spacing w:before="0" w:after="0" w:line="240" w:lineRule="auto"/>
              <w:rPr>
                <w:rFonts w:ascii="Arial" w:hAnsi="Arial" w:cs="Arial"/>
                <w:i/>
                <w:iCs/>
                <w:sz w:val="16"/>
                <w:szCs w:val="16"/>
              </w:rPr>
            </w:pPr>
            <w:r w:rsidRPr="00673C1F">
              <w:rPr>
                <w:rFonts w:ascii="Arial" w:hAnsi="Arial" w:cs="Arial"/>
                <w:i/>
                <w:iCs/>
                <w:sz w:val="16"/>
                <w:szCs w:val="16"/>
              </w:rPr>
              <w:t>Memorandum:</w:t>
            </w:r>
          </w:p>
        </w:tc>
        <w:tc>
          <w:tcPr>
            <w:tcW w:w="726" w:type="pct"/>
            <w:tcBorders>
              <w:top w:val="nil"/>
              <w:left w:val="nil"/>
              <w:bottom w:val="nil"/>
              <w:right w:val="nil"/>
            </w:tcBorders>
            <w:shd w:val="clear" w:color="000000" w:fill="FFFFFF"/>
            <w:noWrap/>
            <w:vAlign w:val="center"/>
            <w:hideMark/>
          </w:tcPr>
          <w:p w14:paraId="65F6940F"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 </w:t>
            </w:r>
          </w:p>
        </w:tc>
        <w:tc>
          <w:tcPr>
            <w:tcW w:w="726" w:type="pct"/>
            <w:tcBorders>
              <w:top w:val="nil"/>
              <w:left w:val="nil"/>
              <w:bottom w:val="nil"/>
              <w:right w:val="nil"/>
            </w:tcBorders>
            <w:shd w:val="clear" w:color="000000" w:fill="E6F2FF"/>
            <w:noWrap/>
            <w:vAlign w:val="center"/>
            <w:hideMark/>
          </w:tcPr>
          <w:p w14:paraId="3F9AE754"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 </w:t>
            </w:r>
          </w:p>
        </w:tc>
        <w:tc>
          <w:tcPr>
            <w:tcW w:w="58" w:type="pct"/>
            <w:tcBorders>
              <w:top w:val="nil"/>
              <w:left w:val="nil"/>
              <w:bottom w:val="nil"/>
              <w:right w:val="nil"/>
            </w:tcBorders>
            <w:shd w:val="clear" w:color="000000" w:fill="FFFFFF"/>
            <w:noWrap/>
            <w:vAlign w:val="center"/>
            <w:hideMark/>
          </w:tcPr>
          <w:p w14:paraId="34A9603A"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 </w:t>
            </w:r>
          </w:p>
        </w:tc>
        <w:tc>
          <w:tcPr>
            <w:tcW w:w="739" w:type="pct"/>
            <w:tcBorders>
              <w:top w:val="nil"/>
              <w:left w:val="nil"/>
              <w:bottom w:val="nil"/>
              <w:right w:val="nil"/>
            </w:tcBorders>
            <w:shd w:val="clear" w:color="000000" w:fill="FFFFFF"/>
            <w:noWrap/>
            <w:vAlign w:val="center"/>
            <w:hideMark/>
          </w:tcPr>
          <w:p w14:paraId="60DD5B53"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 </w:t>
            </w:r>
          </w:p>
        </w:tc>
        <w:tc>
          <w:tcPr>
            <w:tcW w:w="739" w:type="pct"/>
            <w:tcBorders>
              <w:top w:val="nil"/>
              <w:left w:val="nil"/>
              <w:bottom w:val="nil"/>
              <w:right w:val="nil"/>
            </w:tcBorders>
            <w:shd w:val="clear" w:color="000000" w:fill="FFFFFF"/>
            <w:noWrap/>
            <w:vAlign w:val="center"/>
            <w:hideMark/>
          </w:tcPr>
          <w:p w14:paraId="27055938"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 </w:t>
            </w:r>
          </w:p>
        </w:tc>
      </w:tr>
      <w:tr w:rsidR="003B54EA" w:rsidRPr="00673C1F" w14:paraId="76E2BD8F" w14:textId="77777777" w:rsidTr="003B54EA">
        <w:trPr>
          <w:trHeight w:hRule="exact" w:val="225"/>
        </w:trPr>
        <w:tc>
          <w:tcPr>
            <w:tcW w:w="2011" w:type="pct"/>
            <w:tcBorders>
              <w:top w:val="nil"/>
              <w:left w:val="nil"/>
              <w:bottom w:val="nil"/>
              <w:right w:val="nil"/>
            </w:tcBorders>
            <w:shd w:val="clear" w:color="000000" w:fill="FFFFFF"/>
            <w:noWrap/>
            <w:vAlign w:val="center"/>
            <w:hideMark/>
          </w:tcPr>
          <w:p w14:paraId="12102FFB" w14:textId="77777777" w:rsidR="003B54EA" w:rsidRPr="00673C1F" w:rsidRDefault="003B54EA" w:rsidP="003B54EA">
            <w:pPr>
              <w:spacing w:before="0" w:after="0" w:line="240" w:lineRule="auto"/>
              <w:ind w:left="170"/>
              <w:rPr>
                <w:rFonts w:ascii="Arial" w:hAnsi="Arial" w:cs="Arial"/>
                <w:i/>
                <w:iCs/>
                <w:sz w:val="16"/>
                <w:szCs w:val="16"/>
              </w:rPr>
            </w:pPr>
            <w:r w:rsidRPr="00673C1F">
              <w:rPr>
                <w:rFonts w:ascii="Arial" w:hAnsi="Arial" w:cs="Arial"/>
                <w:i/>
                <w:iCs/>
                <w:sz w:val="16"/>
                <w:szCs w:val="16"/>
              </w:rPr>
              <w:t>Total excise</w:t>
            </w:r>
          </w:p>
        </w:tc>
        <w:tc>
          <w:tcPr>
            <w:tcW w:w="726" w:type="pct"/>
            <w:tcBorders>
              <w:top w:val="nil"/>
              <w:left w:val="nil"/>
              <w:bottom w:val="nil"/>
              <w:right w:val="nil"/>
            </w:tcBorders>
            <w:shd w:val="clear" w:color="000000" w:fill="FFFFFF"/>
            <w:noWrap/>
            <w:vAlign w:val="center"/>
            <w:hideMark/>
          </w:tcPr>
          <w:p w14:paraId="120D592C"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31,250</w:t>
            </w:r>
          </w:p>
        </w:tc>
        <w:tc>
          <w:tcPr>
            <w:tcW w:w="726" w:type="pct"/>
            <w:tcBorders>
              <w:top w:val="nil"/>
              <w:left w:val="nil"/>
              <w:bottom w:val="nil"/>
              <w:right w:val="nil"/>
            </w:tcBorders>
            <w:shd w:val="clear" w:color="000000" w:fill="E6F2FF"/>
            <w:noWrap/>
            <w:vAlign w:val="center"/>
            <w:hideMark/>
          </w:tcPr>
          <w:p w14:paraId="2522AE2D"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31,250</w:t>
            </w:r>
          </w:p>
        </w:tc>
        <w:tc>
          <w:tcPr>
            <w:tcW w:w="58" w:type="pct"/>
            <w:tcBorders>
              <w:top w:val="nil"/>
              <w:left w:val="nil"/>
              <w:bottom w:val="nil"/>
              <w:right w:val="nil"/>
            </w:tcBorders>
            <w:shd w:val="clear" w:color="000000" w:fill="FFFFFF"/>
            <w:noWrap/>
            <w:vAlign w:val="center"/>
            <w:hideMark/>
          </w:tcPr>
          <w:p w14:paraId="3E80A8DF"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 </w:t>
            </w:r>
          </w:p>
        </w:tc>
        <w:tc>
          <w:tcPr>
            <w:tcW w:w="739" w:type="pct"/>
            <w:tcBorders>
              <w:top w:val="nil"/>
              <w:left w:val="nil"/>
              <w:bottom w:val="nil"/>
              <w:right w:val="nil"/>
            </w:tcBorders>
            <w:shd w:val="clear" w:color="000000" w:fill="FFFFFF"/>
            <w:noWrap/>
            <w:vAlign w:val="center"/>
            <w:hideMark/>
          </w:tcPr>
          <w:p w14:paraId="68DB5983"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0</w:t>
            </w:r>
          </w:p>
        </w:tc>
        <w:tc>
          <w:tcPr>
            <w:tcW w:w="739" w:type="pct"/>
            <w:tcBorders>
              <w:top w:val="nil"/>
              <w:left w:val="nil"/>
              <w:bottom w:val="nil"/>
              <w:right w:val="nil"/>
            </w:tcBorders>
            <w:shd w:val="clear" w:color="000000" w:fill="FFFFFF"/>
            <w:noWrap/>
            <w:vAlign w:val="center"/>
            <w:hideMark/>
          </w:tcPr>
          <w:p w14:paraId="4205E303"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0.0</w:t>
            </w:r>
          </w:p>
        </w:tc>
      </w:tr>
      <w:tr w:rsidR="003B54EA" w:rsidRPr="00673C1F" w14:paraId="0CD641B1" w14:textId="77777777" w:rsidTr="003B54EA">
        <w:trPr>
          <w:trHeight w:hRule="exact" w:val="225"/>
        </w:trPr>
        <w:tc>
          <w:tcPr>
            <w:tcW w:w="2011" w:type="pct"/>
            <w:tcBorders>
              <w:top w:val="nil"/>
              <w:left w:val="nil"/>
              <w:bottom w:val="nil"/>
              <w:right w:val="nil"/>
            </w:tcBorders>
            <w:shd w:val="clear" w:color="000000" w:fill="FFFFFF"/>
            <w:noWrap/>
            <w:vAlign w:val="center"/>
            <w:hideMark/>
          </w:tcPr>
          <w:p w14:paraId="738EFE1F" w14:textId="77777777" w:rsidR="003B54EA" w:rsidRPr="00673C1F" w:rsidRDefault="003B54EA" w:rsidP="003B54EA">
            <w:pPr>
              <w:spacing w:before="0" w:after="0" w:line="240" w:lineRule="auto"/>
              <w:ind w:left="170"/>
              <w:rPr>
                <w:rFonts w:ascii="Arial" w:hAnsi="Arial" w:cs="Arial"/>
                <w:i/>
                <w:iCs/>
                <w:sz w:val="16"/>
                <w:szCs w:val="16"/>
              </w:rPr>
            </w:pPr>
            <w:r w:rsidRPr="00673C1F">
              <w:rPr>
                <w:rFonts w:ascii="Arial" w:hAnsi="Arial" w:cs="Arial"/>
                <w:i/>
                <w:iCs/>
                <w:sz w:val="16"/>
                <w:szCs w:val="16"/>
              </w:rPr>
              <w:t>Total customs duty</w:t>
            </w:r>
          </w:p>
        </w:tc>
        <w:tc>
          <w:tcPr>
            <w:tcW w:w="726" w:type="pct"/>
            <w:tcBorders>
              <w:top w:val="nil"/>
              <w:left w:val="nil"/>
              <w:bottom w:val="nil"/>
              <w:right w:val="nil"/>
            </w:tcBorders>
            <w:shd w:val="clear" w:color="000000" w:fill="FFFFFF"/>
            <w:noWrap/>
            <w:vAlign w:val="center"/>
            <w:hideMark/>
          </w:tcPr>
          <w:p w14:paraId="4FB7F01C"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17,850</w:t>
            </w:r>
          </w:p>
        </w:tc>
        <w:tc>
          <w:tcPr>
            <w:tcW w:w="726" w:type="pct"/>
            <w:tcBorders>
              <w:top w:val="nil"/>
              <w:left w:val="nil"/>
              <w:bottom w:val="nil"/>
              <w:right w:val="nil"/>
            </w:tcBorders>
            <w:shd w:val="clear" w:color="000000" w:fill="E6F2FF"/>
            <w:noWrap/>
            <w:vAlign w:val="center"/>
            <w:hideMark/>
          </w:tcPr>
          <w:p w14:paraId="5E833DF5"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16,030</w:t>
            </w:r>
          </w:p>
        </w:tc>
        <w:tc>
          <w:tcPr>
            <w:tcW w:w="58" w:type="pct"/>
            <w:tcBorders>
              <w:top w:val="nil"/>
              <w:left w:val="nil"/>
              <w:bottom w:val="nil"/>
              <w:right w:val="nil"/>
            </w:tcBorders>
            <w:shd w:val="clear" w:color="000000" w:fill="FFFFFF"/>
            <w:noWrap/>
            <w:vAlign w:val="center"/>
            <w:hideMark/>
          </w:tcPr>
          <w:p w14:paraId="6BECCD66"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 </w:t>
            </w:r>
          </w:p>
        </w:tc>
        <w:tc>
          <w:tcPr>
            <w:tcW w:w="739" w:type="pct"/>
            <w:tcBorders>
              <w:top w:val="nil"/>
              <w:left w:val="nil"/>
              <w:bottom w:val="nil"/>
              <w:right w:val="nil"/>
            </w:tcBorders>
            <w:shd w:val="clear" w:color="000000" w:fill="FFFFFF"/>
            <w:noWrap/>
            <w:vAlign w:val="center"/>
            <w:hideMark/>
          </w:tcPr>
          <w:p w14:paraId="7690A362" w14:textId="0AEA0455" w:rsidR="003B54EA" w:rsidRPr="00673C1F" w:rsidRDefault="006D727E" w:rsidP="003B54EA">
            <w:pPr>
              <w:spacing w:before="0" w:after="0" w:line="240" w:lineRule="auto"/>
              <w:jc w:val="right"/>
              <w:rPr>
                <w:rFonts w:ascii="Arial" w:hAnsi="Arial" w:cs="Arial"/>
                <w:i/>
                <w:iCs/>
                <w:sz w:val="16"/>
                <w:szCs w:val="16"/>
              </w:rPr>
            </w:pPr>
            <w:r w:rsidRPr="00673C1F">
              <w:rPr>
                <w:rFonts w:ascii="Arial" w:hAnsi="Arial" w:cs="Arial"/>
                <w:i/>
                <w:iCs/>
                <w:sz w:val="16"/>
                <w:szCs w:val="16"/>
              </w:rPr>
              <w:noBreakHyphen/>
            </w:r>
            <w:r w:rsidR="003B54EA" w:rsidRPr="00673C1F">
              <w:rPr>
                <w:rFonts w:ascii="Arial" w:hAnsi="Arial" w:cs="Arial"/>
                <w:i/>
                <w:iCs/>
                <w:sz w:val="16"/>
                <w:szCs w:val="16"/>
              </w:rPr>
              <w:t>1,820</w:t>
            </w:r>
          </w:p>
        </w:tc>
        <w:tc>
          <w:tcPr>
            <w:tcW w:w="739" w:type="pct"/>
            <w:tcBorders>
              <w:top w:val="nil"/>
              <w:left w:val="nil"/>
              <w:bottom w:val="nil"/>
              <w:right w:val="nil"/>
            </w:tcBorders>
            <w:shd w:val="clear" w:color="000000" w:fill="FFFFFF"/>
            <w:noWrap/>
            <w:vAlign w:val="center"/>
            <w:hideMark/>
          </w:tcPr>
          <w:p w14:paraId="25D8E502" w14:textId="0D614075" w:rsidR="003B54EA" w:rsidRPr="00673C1F" w:rsidRDefault="006D727E" w:rsidP="003B54EA">
            <w:pPr>
              <w:spacing w:before="0" w:after="0" w:line="240" w:lineRule="auto"/>
              <w:jc w:val="right"/>
              <w:rPr>
                <w:rFonts w:ascii="Arial" w:hAnsi="Arial" w:cs="Arial"/>
                <w:i/>
                <w:iCs/>
                <w:sz w:val="16"/>
                <w:szCs w:val="16"/>
              </w:rPr>
            </w:pPr>
            <w:r w:rsidRPr="00673C1F">
              <w:rPr>
                <w:rFonts w:ascii="Arial" w:hAnsi="Arial" w:cs="Arial"/>
                <w:i/>
                <w:iCs/>
                <w:sz w:val="16"/>
                <w:szCs w:val="16"/>
              </w:rPr>
              <w:noBreakHyphen/>
            </w:r>
            <w:r w:rsidR="003B54EA" w:rsidRPr="00673C1F">
              <w:rPr>
                <w:rFonts w:ascii="Arial" w:hAnsi="Arial" w:cs="Arial"/>
                <w:i/>
                <w:iCs/>
                <w:sz w:val="16"/>
                <w:szCs w:val="16"/>
              </w:rPr>
              <w:t>10.2</w:t>
            </w:r>
          </w:p>
        </w:tc>
      </w:tr>
      <w:tr w:rsidR="003B54EA" w:rsidRPr="00673C1F" w14:paraId="7029DDC0" w14:textId="77777777" w:rsidTr="003B54EA">
        <w:trPr>
          <w:trHeight w:hRule="exact" w:val="225"/>
        </w:trPr>
        <w:tc>
          <w:tcPr>
            <w:tcW w:w="2011" w:type="pct"/>
            <w:tcBorders>
              <w:top w:val="nil"/>
              <w:left w:val="nil"/>
              <w:bottom w:val="single" w:sz="4" w:space="0" w:color="293F5B"/>
              <w:right w:val="nil"/>
            </w:tcBorders>
            <w:shd w:val="clear" w:color="000000" w:fill="FFFFFF"/>
            <w:noWrap/>
            <w:vAlign w:val="center"/>
            <w:hideMark/>
          </w:tcPr>
          <w:p w14:paraId="12A2CD1D" w14:textId="77777777" w:rsidR="003B54EA" w:rsidRPr="00673C1F" w:rsidRDefault="003B54EA" w:rsidP="003B54EA">
            <w:pPr>
              <w:spacing w:before="0" w:after="0" w:line="240" w:lineRule="auto"/>
              <w:ind w:left="170"/>
              <w:rPr>
                <w:rFonts w:ascii="Arial" w:hAnsi="Arial" w:cs="Arial"/>
                <w:i/>
                <w:iCs/>
                <w:sz w:val="16"/>
                <w:szCs w:val="16"/>
              </w:rPr>
            </w:pPr>
            <w:r w:rsidRPr="00673C1F">
              <w:rPr>
                <w:rFonts w:ascii="Arial" w:hAnsi="Arial" w:cs="Arial"/>
                <w:i/>
                <w:iCs/>
                <w:sz w:val="16"/>
                <w:szCs w:val="16"/>
              </w:rPr>
              <w:t>Capital gains tax(b)</w:t>
            </w:r>
          </w:p>
        </w:tc>
        <w:tc>
          <w:tcPr>
            <w:tcW w:w="726" w:type="pct"/>
            <w:tcBorders>
              <w:top w:val="nil"/>
              <w:left w:val="nil"/>
              <w:bottom w:val="single" w:sz="4" w:space="0" w:color="293F5B"/>
              <w:right w:val="nil"/>
            </w:tcBorders>
            <w:shd w:val="clear" w:color="000000" w:fill="FFFFFF"/>
            <w:noWrap/>
            <w:vAlign w:val="center"/>
            <w:hideMark/>
          </w:tcPr>
          <w:p w14:paraId="0AA392A7"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22,900</w:t>
            </w:r>
          </w:p>
        </w:tc>
        <w:tc>
          <w:tcPr>
            <w:tcW w:w="726" w:type="pct"/>
            <w:tcBorders>
              <w:top w:val="nil"/>
              <w:left w:val="nil"/>
              <w:bottom w:val="single" w:sz="4" w:space="0" w:color="293F5B"/>
              <w:right w:val="nil"/>
            </w:tcBorders>
            <w:shd w:val="clear" w:color="000000" w:fill="E6F2FF"/>
            <w:noWrap/>
            <w:vAlign w:val="center"/>
            <w:hideMark/>
          </w:tcPr>
          <w:p w14:paraId="403DBE3A"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23,600</w:t>
            </w:r>
          </w:p>
        </w:tc>
        <w:tc>
          <w:tcPr>
            <w:tcW w:w="58" w:type="pct"/>
            <w:tcBorders>
              <w:top w:val="nil"/>
              <w:left w:val="nil"/>
              <w:bottom w:val="single" w:sz="4" w:space="0" w:color="293F5B"/>
              <w:right w:val="nil"/>
            </w:tcBorders>
            <w:shd w:val="clear" w:color="000000" w:fill="FFFFFF"/>
            <w:noWrap/>
            <w:vAlign w:val="center"/>
            <w:hideMark/>
          </w:tcPr>
          <w:p w14:paraId="1BB77B55"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 </w:t>
            </w:r>
          </w:p>
        </w:tc>
        <w:tc>
          <w:tcPr>
            <w:tcW w:w="739" w:type="pct"/>
            <w:tcBorders>
              <w:top w:val="nil"/>
              <w:left w:val="nil"/>
              <w:bottom w:val="single" w:sz="4" w:space="0" w:color="293F5B"/>
              <w:right w:val="nil"/>
            </w:tcBorders>
            <w:shd w:val="clear" w:color="000000" w:fill="FFFFFF"/>
            <w:noWrap/>
            <w:vAlign w:val="center"/>
            <w:hideMark/>
          </w:tcPr>
          <w:p w14:paraId="6903318F"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700</w:t>
            </w:r>
          </w:p>
        </w:tc>
        <w:tc>
          <w:tcPr>
            <w:tcW w:w="739" w:type="pct"/>
            <w:tcBorders>
              <w:top w:val="nil"/>
              <w:left w:val="nil"/>
              <w:bottom w:val="single" w:sz="4" w:space="0" w:color="293F5B"/>
              <w:right w:val="nil"/>
            </w:tcBorders>
            <w:shd w:val="clear" w:color="000000" w:fill="FFFFFF"/>
            <w:noWrap/>
            <w:vAlign w:val="center"/>
            <w:hideMark/>
          </w:tcPr>
          <w:p w14:paraId="3A91384E" w14:textId="77777777" w:rsidR="003B54EA" w:rsidRPr="00673C1F" w:rsidRDefault="003B54EA" w:rsidP="003B54EA">
            <w:pPr>
              <w:spacing w:before="0" w:after="0" w:line="240" w:lineRule="auto"/>
              <w:jc w:val="right"/>
              <w:rPr>
                <w:rFonts w:ascii="Arial" w:hAnsi="Arial" w:cs="Arial"/>
                <w:i/>
                <w:iCs/>
                <w:sz w:val="16"/>
                <w:szCs w:val="16"/>
              </w:rPr>
            </w:pPr>
            <w:r w:rsidRPr="00673C1F">
              <w:rPr>
                <w:rFonts w:ascii="Arial" w:hAnsi="Arial" w:cs="Arial"/>
                <w:i/>
                <w:iCs/>
                <w:sz w:val="16"/>
                <w:szCs w:val="16"/>
              </w:rPr>
              <w:t>3.1</w:t>
            </w:r>
          </w:p>
        </w:tc>
      </w:tr>
    </w:tbl>
    <w:p w14:paraId="4AF75B9D" w14:textId="1161C0DB" w:rsidR="00356E70" w:rsidRPr="00673C1F" w:rsidRDefault="006D727E" w:rsidP="000F4FB7">
      <w:pPr>
        <w:pStyle w:val="ChartandTableFootnoteAlpha"/>
        <w:numPr>
          <w:ilvl w:val="0"/>
          <w:numId w:val="34"/>
        </w:numPr>
        <w:rPr>
          <w:rFonts w:eastAsiaTheme="minorHAnsi"/>
          <w:color w:val="auto"/>
        </w:rPr>
      </w:pPr>
      <w:r w:rsidRPr="00673C1F">
        <w:rPr>
          <w:color w:val="auto"/>
        </w:rPr>
        <w:t>‘</w:t>
      </w:r>
      <w:r w:rsidR="00356E70" w:rsidRPr="00673C1F">
        <w:rPr>
          <w:color w:val="auto"/>
        </w:rPr>
        <w:t>Other alcoholic beverages</w:t>
      </w:r>
      <w:r w:rsidRPr="00673C1F">
        <w:rPr>
          <w:color w:val="auto"/>
        </w:rPr>
        <w:t>’</w:t>
      </w:r>
      <w:r w:rsidR="00356E70" w:rsidRPr="00673C1F">
        <w:rPr>
          <w:color w:val="auto"/>
        </w:rPr>
        <w:t xml:space="preserve"> are those not exceeding 10</w:t>
      </w:r>
      <w:r w:rsidR="000134EB" w:rsidRPr="00673C1F">
        <w:rPr>
          <w:color w:val="auto"/>
        </w:rPr>
        <w:t> </w:t>
      </w:r>
      <w:r w:rsidR="00356E70" w:rsidRPr="00673C1F">
        <w:rPr>
          <w:color w:val="auto"/>
        </w:rPr>
        <w:t>per</w:t>
      </w:r>
      <w:r w:rsidR="000134EB" w:rsidRPr="00673C1F">
        <w:rPr>
          <w:color w:val="auto"/>
        </w:rPr>
        <w:t> </w:t>
      </w:r>
      <w:r w:rsidR="00356E70" w:rsidRPr="00673C1F">
        <w:rPr>
          <w:color w:val="auto"/>
        </w:rPr>
        <w:t xml:space="preserve">cent by volume of alcohol (excluding beer, brandy and wine). </w:t>
      </w:r>
    </w:p>
    <w:p w14:paraId="3C35FF9E" w14:textId="7147F90A" w:rsidR="00356E70" w:rsidRPr="00673C1F" w:rsidRDefault="006D727E" w:rsidP="0063125C">
      <w:pPr>
        <w:pStyle w:val="ChartandTableFootnoteAlpha"/>
        <w:rPr>
          <w:color w:val="auto"/>
        </w:rPr>
      </w:pPr>
      <w:r w:rsidRPr="00673C1F">
        <w:rPr>
          <w:color w:val="auto"/>
        </w:rPr>
        <w:t>‘</w:t>
      </w:r>
      <w:r w:rsidR="00356E70" w:rsidRPr="00673C1F">
        <w:rPr>
          <w:color w:val="auto"/>
        </w:rPr>
        <w:t>Capital gains tax</w:t>
      </w:r>
      <w:r w:rsidRPr="00673C1F">
        <w:rPr>
          <w:color w:val="auto"/>
        </w:rPr>
        <w:t>’</w:t>
      </w:r>
      <w:r w:rsidR="00356E70" w:rsidRPr="00673C1F">
        <w:rPr>
          <w:color w:val="auto"/>
        </w:rPr>
        <w:t xml:space="preserve"> is part of gross other individuals, company tax and superannuation fund taxes.</w:t>
      </w:r>
    </w:p>
    <w:p w14:paraId="31581191" w14:textId="77777777" w:rsidR="0063125C" w:rsidRPr="00673C1F" w:rsidRDefault="0063125C" w:rsidP="00923F44">
      <w:pPr>
        <w:pStyle w:val="ChartLine"/>
      </w:pPr>
    </w:p>
    <w:p w14:paraId="7E9C27D6" w14:textId="41764F5A" w:rsidR="00356E70" w:rsidRPr="00673C1F" w:rsidRDefault="00356E70" w:rsidP="00945023">
      <w:pPr>
        <w:pStyle w:val="Heading1"/>
      </w:pPr>
      <w:bookmarkStart w:id="49" w:name="_Toc134182351"/>
      <w:r w:rsidRPr="00673C1F">
        <w:lastRenderedPageBreak/>
        <w:t>Appendix A: Tax Expenditures</w:t>
      </w:r>
      <w:bookmarkEnd w:id="49"/>
    </w:p>
    <w:p w14:paraId="47B13BF8" w14:textId="0FF89863" w:rsidR="007527F2" w:rsidRPr="00673C1F" w:rsidRDefault="007527F2" w:rsidP="007527F2">
      <w:r w:rsidRPr="00673C1F">
        <w:t>This appendix contains an overview of Australian Government tax expenditures. Section</w:t>
      </w:r>
      <w:r w:rsidR="000134EB" w:rsidRPr="00673C1F">
        <w:t> </w:t>
      </w:r>
      <w:r w:rsidRPr="00673C1F">
        <w:t xml:space="preserve">12 of the </w:t>
      </w:r>
      <w:r w:rsidRPr="00673C1F">
        <w:rPr>
          <w:rStyle w:val="Emphasis"/>
        </w:rPr>
        <w:t>Charter of Budget Honesty Act 1998</w:t>
      </w:r>
      <w:r w:rsidRPr="00673C1F">
        <w:t xml:space="preserve"> requires the publication of an overview of estimated tax expenditures. </w:t>
      </w:r>
    </w:p>
    <w:p w14:paraId="7556836A" w14:textId="6081180A" w:rsidR="007527F2" w:rsidRPr="00673C1F" w:rsidRDefault="007527F2" w:rsidP="007527F2">
      <w:r w:rsidRPr="00673C1F">
        <w:t>The Government published the 2023</w:t>
      </w:r>
      <w:r w:rsidR="006346BF" w:rsidRPr="00673C1F">
        <w:t>–</w:t>
      </w:r>
      <w:r w:rsidRPr="00673C1F">
        <w:t>24 Tax Expenditures and Insights Statement (TEIS) on</w:t>
      </w:r>
      <w:r w:rsidR="00C12E7A" w:rsidRPr="00673C1F">
        <w:t> </w:t>
      </w:r>
      <w:r w:rsidRPr="00673C1F">
        <w:t>31</w:t>
      </w:r>
      <w:r w:rsidR="000134EB" w:rsidRPr="00673C1F">
        <w:t> </w:t>
      </w:r>
      <w:r w:rsidRPr="00673C1F">
        <w:t>January</w:t>
      </w:r>
      <w:r w:rsidR="000134EB" w:rsidRPr="00673C1F">
        <w:t> </w:t>
      </w:r>
      <w:r w:rsidRPr="00673C1F">
        <w:t xml:space="preserve">2024. The TEIS provides an estimate of the revenue forgone from tax expenditures, along with distributional analysis on large tax expenditures and commonly utilised features of the tax system. </w:t>
      </w:r>
    </w:p>
    <w:p w14:paraId="12FC700C" w14:textId="4A246433" w:rsidR="007527F2" w:rsidRPr="00673C1F" w:rsidRDefault="007527F2" w:rsidP="007527F2">
      <w:r w:rsidRPr="00673C1F">
        <w:t>Tax benchmarks represent a standard tax treatment that applies to similar taxpayers or types of activities. Policy approaches can apply a tax treatment different from a standard approach, which can give rise to positive or negative tax expenditures. The choice of benchmark unavoidably involves some judgment.</w:t>
      </w:r>
    </w:p>
    <w:p w14:paraId="79633D9E" w14:textId="23272926" w:rsidR="007527F2" w:rsidRPr="00673C1F" w:rsidRDefault="007527F2" w:rsidP="007527F2">
      <w:r w:rsidRPr="00673C1F">
        <w:t>Consistent with most OECD countries, estimates of tax expenditures reflect the extent to which they are used, similar to Budget estimates of outlays on demand</w:t>
      </w:r>
      <w:r w:rsidR="006D727E" w:rsidRPr="00673C1F">
        <w:noBreakHyphen/>
      </w:r>
      <w:r w:rsidRPr="00673C1F">
        <w:t xml:space="preserve">driven expenditure programs. This is known as the </w:t>
      </w:r>
      <w:r w:rsidR="006D727E" w:rsidRPr="00673C1F">
        <w:t>‘</w:t>
      </w:r>
      <w:r w:rsidRPr="00673C1F">
        <w:t>revenue forgone</w:t>
      </w:r>
      <w:r w:rsidR="006D727E" w:rsidRPr="00673C1F">
        <w:t>’</w:t>
      </w:r>
      <w:r w:rsidRPr="00673C1F">
        <w:t xml:space="preserve"> approach which, in practice, involves estimating the difference in revenue between the actual and benchmark tax treatments but, importantly, assuming taxpayer behaviour is the same in each circumstance. Revenue</w:t>
      </w:r>
      <w:r w:rsidR="00C12E7A" w:rsidRPr="00673C1F">
        <w:t xml:space="preserve"> </w:t>
      </w:r>
      <w:r w:rsidRPr="00673C1F">
        <w:t>forgone estimates therefore do not indicate the revenue gain to the Budget if a specific tax expenditure was abolished through policy change, as there may be significant changes in taxpayer behaviour.</w:t>
      </w:r>
    </w:p>
    <w:p w14:paraId="6F3FDE9E" w14:textId="2330B7BE" w:rsidR="007527F2" w:rsidRPr="00673C1F" w:rsidRDefault="007527F2" w:rsidP="007527F2">
      <w:r w:rsidRPr="00673C1F">
        <w:t>Care needs to be taken when comparing tax expenditures with direct expenditures as they may measure different things. In addition, estimates from different editions of previously released Statements are generally not directly comparable, because of changes or modifications to</w:t>
      </w:r>
      <w:r w:rsidR="00210F13" w:rsidRPr="00673C1F">
        <w:t>—</w:t>
      </w:r>
      <w:r w:rsidRPr="00673C1F">
        <w:t>for example</w:t>
      </w:r>
      <w:r w:rsidR="00210F13" w:rsidRPr="00673C1F">
        <w:t>—</w:t>
      </w:r>
      <w:r w:rsidRPr="00673C1F">
        <w:t>benchmarks, individual tax expenditures, data used or modelling methodology.</w:t>
      </w:r>
    </w:p>
    <w:p w14:paraId="308CE204" w14:textId="0FF1A64D" w:rsidR="007527F2" w:rsidRPr="00673C1F" w:rsidRDefault="007527F2" w:rsidP="007527F2">
      <w:r w:rsidRPr="00673C1F">
        <w:t>Table</w:t>
      </w:r>
      <w:r w:rsidR="00871F27" w:rsidRPr="00673C1F">
        <w:t> </w:t>
      </w:r>
      <w:r w:rsidRPr="00673C1F">
        <w:t>A.1 lists the largest measured tax expenditures for 2023–24 and several personal deduction categories. It is derived from the 2023–24</w:t>
      </w:r>
      <w:r w:rsidR="000134EB" w:rsidRPr="00673C1F">
        <w:t> </w:t>
      </w:r>
      <w:r w:rsidRPr="00673C1F">
        <w:t xml:space="preserve">TEIS and is based on economic parameters as at the publication of MYEFO. It does not include the impact of policy decisions, or changes in the economic outlook since then on tax expenditures. The TEIS is not a statement of policy intent. </w:t>
      </w:r>
    </w:p>
    <w:p w14:paraId="2DBBFE20" w14:textId="5326A23B" w:rsidR="00945023" w:rsidRPr="00673C1F" w:rsidRDefault="007527F2" w:rsidP="00945023">
      <w:r w:rsidRPr="00673C1F">
        <w:t>The 2023–24 TEIS also contains distributional analysis on some features of the tax system, including deductions for individuals. The items in the deductions category are not tax expenditures so they do not result in forgone revenue against the benchmark. However, the difference between tax paid with the deduction and tax that would have been paid if the deduction was not claimed has been included in Table</w:t>
      </w:r>
      <w:r w:rsidR="00871F27" w:rsidRPr="00673C1F">
        <w:t> </w:t>
      </w:r>
      <w:r w:rsidRPr="00673C1F">
        <w:t xml:space="preserve">A.1 for comparison purposes. </w:t>
      </w:r>
    </w:p>
    <w:p w14:paraId="11703721" w14:textId="0FC6E4A3" w:rsidR="00945023" w:rsidRPr="00673C1F" w:rsidRDefault="00945023">
      <w:pPr>
        <w:spacing w:before="0" w:after="160" w:line="259" w:lineRule="auto"/>
      </w:pPr>
      <w:r w:rsidRPr="00673C1F">
        <w:br w:type="page"/>
      </w:r>
    </w:p>
    <w:p w14:paraId="3877F5F5" w14:textId="2C05FE0D" w:rsidR="00356E70" w:rsidRPr="00673C1F" w:rsidRDefault="00356E70" w:rsidP="00356E70">
      <w:pPr>
        <w:pStyle w:val="TableHeading"/>
        <w:rPr>
          <w:rFonts w:asciiTheme="minorHAnsi" w:eastAsiaTheme="minorHAnsi" w:hAnsiTheme="minorHAnsi" w:cstheme="minorBidi"/>
          <w:sz w:val="22"/>
          <w:szCs w:val="22"/>
          <w:lang w:eastAsia="en-US"/>
        </w:rPr>
      </w:pPr>
      <w:r w:rsidRPr="00673C1F">
        <w:lastRenderedPageBreak/>
        <w:t>Table A.1: Estimates of large measured tax expenditures</w:t>
      </w:r>
      <w:r w:rsidR="006819F6" w:rsidRPr="00673C1F">
        <w:t xml:space="preserve"> and deductions</w:t>
      </w:r>
    </w:p>
    <w:tbl>
      <w:tblPr>
        <w:tblW w:w="5056" w:type="pct"/>
        <w:tblLayout w:type="fixed"/>
        <w:tblCellMar>
          <w:left w:w="28" w:type="dxa"/>
          <w:right w:w="0" w:type="dxa"/>
        </w:tblCellMar>
        <w:tblLook w:val="04A0" w:firstRow="1" w:lastRow="0" w:firstColumn="1" w:lastColumn="0" w:noHBand="0" w:noVBand="1"/>
      </w:tblPr>
      <w:tblGrid>
        <w:gridCol w:w="1086"/>
        <w:gridCol w:w="537"/>
        <w:gridCol w:w="3620"/>
        <w:gridCol w:w="889"/>
        <w:gridCol w:w="814"/>
        <w:gridCol w:w="850"/>
      </w:tblGrid>
      <w:tr w:rsidR="00681771" w:rsidRPr="00BD68BD" w14:paraId="14ACA3E6" w14:textId="77777777" w:rsidTr="007160B7">
        <w:trPr>
          <w:trHeight w:val="23"/>
        </w:trPr>
        <w:tc>
          <w:tcPr>
            <w:tcW w:w="1086" w:type="dxa"/>
            <w:tcBorders>
              <w:top w:val="single" w:sz="4" w:space="0" w:color="002A54" w:themeColor="text2"/>
              <w:left w:val="nil"/>
              <w:bottom w:val="single" w:sz="4" w:space="0" w:color="002A54" w:themeColor="text2"/>
              <w:right w:val="nil"/>
            </w:tcBorders>
            <w:shd w:val="clear" w:color="auto" w:fill="auto"/>
            <w:noWrap/>
            <w:vAlign w:val="bottom"/>
            <w:hideMark/>
          </w:tcPr>
          <w:p w14:paraId="577C830D" w14:textId="77777777" w:rsidR="00681771" w:rsidRPr="00673C1F" w:rsidRDefault="00681771" w:rsidP="00A233CF">
            <w:pPr>
              <w:pStyle w:val="TableColumnHeadingLeft"/>
            </w:pPr>
            <w:r w:rsidRPr="00673C1F">
              <w:t>Benchmark</w:t>
            </w:r>
          </w:p>
        </w:tc>
        <w:tc>
          <w:tcPr>
            <w:tcW w:w="537" w:type="dxa"/>
            <w:tcBorders>
              <w:top w:val="single" w:sz="4" w:space="0" w:color="002A54" w:themeColor="text2"/>
              <w:left w:val="nil"/>
              <w:bottom w:val="single" w:sz="4" w:space="0" w:color="002A54" w:themeColor="text2"/>
              <w:right w:val="nil"/>
            </w:tcBorders>
            <w:shd w:val="clear" w:color="auto" w:fill="auto"/>
            <w:noWrap/>
            <w:vAlign w:val="bottom"/>
            <w:hideMark/>
          </w:tcPr>
          <w:p w14:paraId="5EBC7F5C" w14:textId="77777777" w:rsidR="00681771" w:rsidRPr="00673C1F" w:rsidRDefault="00681771" w:rsidP="00A233CF">
            <w:pPr>
              <w:pStyle w:val="TableColumnHeadingLeft"/>
            </w:pPr>
            <w:r w:rsidRPr="00673C1F">
              <w:t>Code</w:t>
            </w:r>
          </w:p>
        </w:tc>
        <w:tc>
          <w:tcPr>
            <w:tcW w:w="3620" w:type="dxa"/>
            <w:tcBorders>
              <w:top w:val="single" w:sz="4" w:space="0" w:color="002A54" w:themeColor="text2"/>
              <w:left w:val="nil"/>
              <w:bottom w:val="single" w:sz="4" w:space="0" w:color="002A54" w:themeColor="text2"/>
              <w:right w:val="nil"/>
            </w:tcBorders>
            <w:shd w:val="clear" w:color="auto" w:fill="auto"/>
            <w:noWrap/>
            <w:vAlign w:val="bottom"/>
            <w:hideMark/>
          </w:tcPr>
          <w:p w14:paraId="006ECD02" w14:textId="77777777" w:rsidR="00681771" w:rsidRPr="00673C1F" w:rsidRDefault="00681771" w:rsidP="00A233CF">
            <w:pPr>
              <w:pStyle w:val="TableColumnHeadingLeft"/>
            </w:pPr>
            <w:r w:rsidRPr="00673C1F">
              <w:t>Title</w:t>
            </w:r>
          </w:p>
        </w:tc>
        <w:tc>
          <w:tcPr>
            <w:tcW w:w="889" w:type="dxa"/>
            <w:tcBorders>
              <w:top w:val="single" w:sz="4" w:space="0" w:color="002A54" w:themeColor="text2"/>
              <w:left w:val="nil"/>
              <w:bottom w:val="single" w:sz="4" w:space="0" w:color="002A54" w:themeColor="text2"/>
              <w:right w:val="nil"/>
            </w:tcBorders>
            <w:shd w:val="clear" w:color="auto" w:fill="auto"/>
            <w:vAlign w:val="bottom"/>
            <w:hideMark/>
          </w:tcPr>
          <w:p w14:paraId="35BB7E60" w14:textId="45E1B1B2" w:rsidR="00681771" w:rsidRPr="00673C1F" w:rsidRDefault="00681771" w:rsidP="00A233CF">
            <w:pPr>
              <w:pStyle w:val="TableColumnHeadingRight"/>
              <w:ind w:left="89"/>
            </w:pPr>
            <w:r w:rsidRPr="00673C1F">
              <w:t>Revenue forgone/ value of deduction 2023</w:t>
            </w:r>
            <w:r w:rsidR="007D2C39" w:rsidRPr="00673C1F">
              <w:t>-</w:t>
            </w:r>
            <w:r w:rsidRPr="00673C1F">
              <w:t>24</w:t>
            </w:r>
            <w:r w:rsidR="00306633" w:rsidRPr="00673C1F">
              <w:t>*</w:t>
            </w:r>
            <w:r w:rsidRPr="00673C1F">
              <w:t xml:space="preserve"> ($m)</w:t>
            </w:r>
          </w:p>
        </w:tc>
        <w:tc>
          <w:tcPr>
            <w:tcW w:w="814" w:type="dxa"/>
            <w:tcBorders>
              <w:top w:val="single" w:sz="4" w:space="0" w:color="002A54" w:themeColor="text2"/>
              <w:left w:val="nil"/>
              <w:bottom w:val="single" w:sz="4" w:space="0" w:color="002A54" w:themeColor="text2"/>
              <w:right w:val="nil"/>
            </w:tcBorders>
            <w:shd w:val="clear" w:color="auto" w:fill="auto"/>
            <w:vAlign w:val="bottom"/>
            <w:hideMark/>
          </w:tcPr>
          <w:p w14:paraId="74EBE8A3" w14:textId="2126E53C" w:rsidR="00681771" w:rsidRPr="00673C1F" w:rsidRDefault="00681771" w:rsidP="00A233CF">
            <w:pPr>
              <w:pStyle w:val="TableColumnHeadingRight"/>
              <w:ind w:left="89"/>
            </w:pPr>
            <w:r w:rsidRPr="00673C1F">
              <w:t>Average growth 2019</w:t>
            </w:r>
            <w:r w:rsidR="007D2C39" w:rsidRPr="00673C1F">
              <w:t>-</w:t>
            </w:r>
            <w:r w:rsidRPr="00673C1F">
              <w:t xml:space="preserve">20 to </w:t>
            </w:r>
            <w:r w:rsidRPr="00673C1F">
              <w:br/>
              <w:t>2022</w:t>
            </w:r>
            <w:r w:rsidR="007D2C39" w:rsidRPr="00673C1F">
              <w:t>-</w:t>
            </w:r>
            <w:r w:rsidRPr="00673C1F">
              <w:t>23</w:t>
            </w:r>
            <w:r w:rsidR="007D2C39" w:rsidRPr="00673C1F">
              <w:t xml:space="preserve"> (%)</w:t>
            </w:r>
          </w:p>
        </w:tc>
        <w:tc>
          <w:tcPr>
            <w:tcW w:w="850" w:type="dxa"/>
            <w:tcBorders>
              <w:top w:val="single" w:sz="4" w:space="0" w:color="002A54" w:themeColor="text2"/>
              <w:left w:val="nil"/>
              <w:bottom w:val="single" w:sz="4" w:space="0" w:color="002A54" w:themeColor="text2"/>
              <w:right w:val="nil"/>
            </w:tcBorders>
            <w:shd w:val="clear" w:color="auto" w:fill="auto"/>
            <w:vAlign w:val="bottom"/>
            <w:hideMark/>
          </w:tcPr>
          <w:p w14:paraId="1948B0A0" w14:textId="65C823C1" w:rsidR="00681771" w:rsidRPr="00673C1F" w:rsidRDefault="00681771" w:rsidP="00A233CF">
            <w:pPr>
              <w:pStyle w:val="TableColumnHeadingRight"/>
              <w:ind w:left="89"/>
            </w:pPr>
            <w:r w:rsidRPr="00673C1F">
              <w:t>Average</w:t>
            </w:r>
            <w:r w:rsidR="003C42B8" w:rsidRPr="00673C1F">
              <w:t xml:space="preserve"> projected</w:t>
            </w:r>
            <w:r w:rsidRPr="00673C1F">
              <w:t xml:space="preserve"> growth over FEs (%)</w:t>
            </w:r>
          </w:p>
        </w:tc>
      </w:tr>
      <w:tr w:rsidR="00681771" w:rsidRPr="00BD68BD" w14:paraId="6C8C9942" w14:textId="77777777" w:rsidTr="007160B7">
        <w:trPr>
          <w:trHeight w:val="23"/>
        </w:trPr>
        <w:tc>
          <w:tcPr>
            <w:tcW w:w="1086" w:type="dxa"/>
            <w:tcBorders>
              <w:top w:val="single" w:sz="4" w:space="0" w:color="002A54" w:themeColor="text2"/>
              <w:left w:val="nil"/>
              <w:bottom w:val="nil"/>
              <w:right w:val="nil"/>
            </w:tcBorders>
            <w:shd w:val="clear" w:color="auto" w:fill="auto"/>
            <w:noWrap/>
            <w:vAlign w:val="bottom"/>
            <w:hideMark/>
          </w:tcPr>
          <w:p w14:paraId="3E1863C1" w14:textId="5C3E06F9" w:rsidR="00681771" w:rsidRPr="00673C1F" w:rsidRDefault="00681771" w:rsidP="00A233CF">
            <w:pPr>
              <w:spacing w:before="0" w:after="0" w:line="240" w:lineRule="auto"/>
              <w:ind w:left="89"/>
              <w:rPr>
                <w:rFonts w:ascii="Arial" w:hAnsi="Arial" w:cs="Arial"/>
                <w:b/>
                <w:sz w:val="16"/>
                <w:szCs w:val="16"/>
              </w:rPr>
            </w:pPr>
          </w:p>
        </w:tc>
        <w:tc>
          <w:tcPr>
            <w:tcW w:w="4157" w:type="dxa"/>
            <w:gridSpan w:val="2"/>
            <w:tcBorders>
              <w:top w:val="single" w:sz="4" w:space="0" w:color="002A54" w:themeColor="text2"/>
              <w:left w:val="nil"/>
              <w:bottom w:val="nil"/>
              <w:right w:val="nil"/>
            </w:tcBorders>
            <w:shd w:val="clear" w:color="auto" w:fill="auto"/>
            <w:noWrap/>
            <w:vAlign w:val="bottom"/>
            <w:hideMark/>
          </w:tcPr>
          <w:p w14:paraId="48B7BB9A" w14:textId="77777777" w:rsidR="00681771" w:rsidRPr="00673C1F" w:rsidRDefault="00681771" w:rsidP="00A233CF">
            <w:pPr>
              <w:pStyle w:val="TableColumnHeadingLeft"/>
            </w:pPr>
            <w:r w:rsidRPr="00673C1F">
              <w:t>Positive tax expenditures and deductions</w:t>
            </w:r>
          </w:p>
        </w:tc>
        <w:tc>
          <w:tcPr>
            <w:tcW w:w="889" w:type="dxa"/>
            <w:tcBorders>
              <w:top w:val="single" w:sz="4" w:space="0" w:color="002A54" w:themeColor="text2"/>
              <w:left w:val="nil"/>
              <w:bottom w:val="nil"/>
              <w:right w:val="nil"/>
            </w:tcBorders>
            <w:shd w:val="clear" w:color="auto" w:fill="auto"/>
            <w:vAlign w:val="bottom"/>
            <w:hideMark/>
          </w:tcPr>
          <w:p w14:paraId="4BA4F0A4" w14:textId="529E5C6B" w:rsidR="00681771" w:rsidRPr="00673C1F" w:rsidRDefault="00681771" w:rsidP="00A233CF">
            <w:pPr>
              <w:spacing w:before="0" w:after="0" w:line="240" w:lineRule="auto"/>
              <w:ind w:left="89"/>
              <w:rPr>
                <w:rFonts w:ascii="Arial" w:hAnsi="Arial" w:cs="Arial"/>
                <w:b/>
                <w:sz w:val="16"/>
                <w:szCs w:val="16"/>
              </w:rPr>
            </w:pPr>
          </w:p>
        </w:tc>
        <w:tc>
          <w:tcPr>
            <w:tcW w:w="814" w:type="dxa"/>
            <w:tcBorders>
              <w:top w:val="single" w:sz="4" w:space="0" w:color="002A54" w:themeColor="text2"/>
              <w:left w:val="nil"/>
              <w:bottom w:val="nil"/>
              <w:right w:val="nil"/>
            </w:tcBorders>
            <w:shd w:val="clear" w:color="auto" w:fill="auto"/>
            <w:vAlign w:val="bottom"/>
            <w:hideMark/>
          </w:tcPr>
          <w:p w14:paraId="11B09A6C" w14:textId="204C462C" w:rsidR="00681771" w:rsidRPr="00673C1F" w:rsidRDefault="00681771" w:rsidP="00A233CF">
            <w:pPr>
              <w:spacing w:before="0" w:after="0" w:line="240" w:lineRule="auto"/>
              <w:ind w:left="89"/>
              <w:rPr>
                <w:rFonts w:ascii="Times New Roman" w:hAnsi="Times New Roman"/>
                <w:sz w:val="20"/>
              </w:rPr>
            </w:pPr>
          </w:p>
        </w:tc>
        <w:tc>
          <w:tcPr>
            <w:tcW w:w="850" w:type="dxa"/>
            <w:tcBorders>
              <w:top w:val="single" w:sz="4" w:space="0" w:color="002A54" w:themeColor="text2"/>
              <w:left w:val="nil"/>
              <w:bottom w:val="nil"/>
              <w:right w:val="nil"/>
            </w:tcBorders>
            <w:shd w:val="clear" w:color="auto" w:fill="auto"/>
            <w:vAlign w:val="bottom"/>
            <w:hideMark/>
          </w:tcPr>
          <w:p w14:paraId="3F20E8B7" w14:textId="292CBC89" w:rsidR="00681771" w:rsidRPr="00673C1F" w:rsidRDefault="00681771" w:rsidP="00A233CF">
            <w:pPr>
              <w:spacing w:before="0" w:after="0" w:line="240" w:lineRule="auto"/>
              <w:ind w:left="89"/>
              <w:rPr>
                <w:rFonts w:ascii="Times New Roman" w:hAnsi="Times New Roman"/>
                <w:sz w:val="20"/>
              </w:rPr>
            </w:pPr>
          </w:p>
        </w:tc>
      </w:tr>
      <w:tr w:rsidR="00681771" w:rsidRPr="00BD68BD" w14:paraId="79C4C37C" w14:textId="77777777" w:rsidTr="00254FB2">
        <w:trPr>
          <w:trHeight w:val="23"/>
        </w:trPr>
        <w:tc>
          <w:tcPr>
            <w:tcW w:w="1086" w:type="dxa"/>
            <w:tcBorders>
              <w:top w:val="nil"/>
              <w:left w:val="nil"/>
              <w:bottom w:val="nil"/>
              <w:right w:val="nil"/>
            </w:tcBorders>
            <w:shd w:val="clear" w:color="auto" w:fill="auto"/>
            <w:noWrap/>
            <w:vAlign w:val="center"/>
          </w:tcPr>
          <w:p w14:paraId="68E05E94" w14:textId="77777777" w:rsidR="00681771" w:rsidRPr="00673C1F" w:rsidRDefault="00681771" w:rsidP="00A233CF">
            <w:pPr>
              <w:pStyle w:val="TableTextLeft"/>
            </w:pPr>
            <w:r w:rsidRPr="00673C1F">
              <w:rPr>
                <w:rFonts w:cs="Arial"/>
                <w:szCs w:val="16"/>
              </w:rPr>
              <w:t>Super</w:t>
            </w:r>
          </w:p>
        </w:tc>
        <w:tc>
          <w:tcPr>
            <w:tcW w:w="537" w:type="dxa"/>
            <w:tcBorders>
              <w:top w:val="nil"/>
              <w:left w:val="nil"/>
              <w:bottom w:val="nil"/>
              <w:right w:val="nil"/>
            </w:tcBorders>
            <w:shd w:val="clear" w:color="auto" w:fill="auto"/>
            <w:noWrap/>
            <w:vAlign w:val="center"/>
          </w:tcPr>
          <w:p w14:paraId="0299394C" w14:textId="77777777" w:rsidR="00681771" w:rsidRPr="00673C1F" w:rsidRDefault="00681771" w:rsidP="00A233CF">
            <w:pPr>
              <w:pStyle w:val="TableTextLeft"/>
            </w:pPr>
            <w:r w:rsidRPr="00673C1F">
              <w:rPr>
                <w:rFonts w:cs="Arial"/>
                <w:szCs w:val="16"/>
              </w:rPr>
              <w:t>C2</w:t>
            </w:r>
          </w:p>
        </w:tc>
        <w:tc>
          <w:tcPr>
            <w:tcW w:w="3620" w:type="dxa"/>
            <w:tcBorders>
              <w:top w:val="nil"/>
              <w:left w:val="nil"/>
              <w:bottom w:val="nil"/>
              <w:right w:val="nil"/>
            </w:tcBorders>
            <w:shd w:val="clear" w:color="auto" w:fill="auto"/>
            <w:vAlign w:val="center"/>
          </w:tcPr>
          <w:p w14:paraId="4B37D0CE" w14:textId="77777777" w:rsidR="00681771" w:rsidRPr="00673C1F" w:rsidRDefault="00681771" w:rsidP="00A233CF">
            <w:pPr>
              <w:pStyle w:val="TableTextLeft"/>
            </w:pPr>
            <w:r w:rsidRPr="00673C1F">
              <w:rPr>
                <w:rFonts w:cs="Arial"/>
                <w:szCs w:val="16"/>
              </w:rPr>
              <w:t>Concessional taxation of employer superannuation contributions</w:t>
            </w:r>
          </w:p>
        </w:tc>
        <w:tc>
          <w:tcPr>
            <w:tcW w:w="889" w:type="dxa"/>
            <w:tcBorders>
              <w:top w:val="nil"/>
              <w:left w:val="nil"/>
              <w:bottom w:val="nil"/>
              <w:right w:val="nil"/>
            </w:tcBorders>
            <w:shd w:val="clear" w:color="auto" w:fill="auto"/>
            <w:noWrap/>
            <w:vAlign w:val="center"/>
          </w:tcPr>
          <w:p w14:paraId="37525185" w14:textId="77777777" w:rsidR="00681771" w:rsidRPr="00673C1F" w:rsidRDefault="00681771" w:rsidP="00A233CF">
            <w:pPr>
              <w:pStyle w:val="TableTextRight"/>
            </w:pPr>
            <w:r w:rsidRPr="00673C1F">
              <w:rPr>
                <w:rFonts w:cs="Arial"/>
                <w:szCs w:val="16"/>
              </w:rPr>
              <w:t>28,550</w:t>
            </w:r>
          </w:p>
        </w:tc>
        <w:tc>
          <w:tcPr>
            <w:tcW w:w="814" w:type="dxa"/>
            <w:tcBorders>
              <w:top w:val="nil"/>
              <w:left w:val="nil"/>
              <w:bottom w:val="nil"/>
              <w:right w:val="nil"/>
            </w:tcBorders>
            <w:shd w:val="clear" w:color="auto" w:fill="auto"/>
            <w:vAlign w:val="center"/>
          </w:tcPr>
          <w:p w14:paraId="6C0E2E42" w14:textId="77777777" w:rsidR="00681771" w:rsidRPr="00673C1F" w:rsidRDefault="00681771" w:rsidP="00A233CF">
            <w:pPr>
              <w:pStyle w:val="TableTextRight"/>
            </w:pPr>
            <w:r w:rsidRPr="00673C1F">
              <w:rPr>
                <w:rFonts w:cs="Arial"/>
                <w:szCs w:val="16"/>
              </w:rPr>
              <w:t>11.3</w:t>
            </w:r>
          </w:p>
        </w:tc>
        <w:tc>
          <w:tcPr>
            <w:tcW w:w="850" w:type="dxa"/>
            <w:tcBorders>
              <w:top w:val="nil"/>
              <w:left w:val="nil"/>
              <w:bottom w:val="nil"/>
              <w:right w:val="nil"/>
            </w:tcBorders>
            <w:shd w:val="clear" w:color="auto" w:fill="auto"/>
            <w:noWrap/>
            <w:vAlign w:val="center"/>
          </w:tcPr>
          <w:p w14:paraId="77119D19" w14:textId="77777777" w:rsidR="00681771" w:rsidRPr="00673C1F" w:rsidRDefault="00681771" w:rsidP="00A233CF">
            <w:pPr>
              <w:pStyle w:val="TableTextRight"/>
            </w:pPr>
            <w:r w:rsidRPr="00673C1F">
              <w:rPr>
                <w:rFonts w:cs="Arial"/>
                <w:szCs w:val="16"/>
              </w:rPr>
              <w:t>2.8</w:t>
            </w:r>
          </w:p>
        </w:tc>
      </w:tr>
      <w:tr w:rsidR="00681771" w:rsidRPr="00BD68BD" w14:paraId="2463E6D0" w14:textId="77777777" w:rsidTr="00254FB2">
        <w:trPr>
          <w:trHeight w:val="23"/>
        </w:trPr>
        <w:tc>
          <w:tcPr>
            <w:tcW w:w="1086" w:type="dxa"/>
            <w:tcBorders>
              <w:top w:val="nil"/>
              <w:left w:val="nil"/>
              <w:bottom w:val="nil"/>
              <w:right w:val="nil"/>
            </w:tcBorders>
            <w:shd w:val="clear" w:color="auto" w:fill="auto"/>
            <w:noWrap/>
            <w:vAlign w:val="center"/>
          </w:tcPr>
          <w:p w14:paraId="0C8C728C" w14:textId="77777777" w:rsidR="00681771" w:rsidRPr="00673C1F" w:rsidRDefault="00681771" w:rsidP="00A233CF">
            <w:pPr>
              <w:pStyle w:val="TableTextLeft"/>
            </w:pPr>
            <w:r w:rsidRPr="00673C1F">
              <w:rPr>
                <w:rFonts w:cs="Arial"/>
                <w:szCs w:val="16"/>
              </w:rPr>
              <w:t>Deductions</w:t>
            </w:r>
          </w:p>
        </w:tc>
        <w:tc>
          <w:tcPr>
            <w:tcW w:w="537" w:type="dxa"/>
            <w:tcBorders>
              <w:top w:val="nil"/>
              <w:left w:val="nil"/>
              <w:bottom w:val="nil"/>
              <w:right w:val="nil"/>
            </w:tcBorders>
            <w:shd w:val="clear" w:color="auto" w:fill="auto"/>
            <w:noWrap/>
            <w:vAlign w:val="center"/>
          </w:tcPr>
          <w:p w14:paraId="03131A23" w14:textId="77777777" w:rsidR="00681771" w:rsidRPr="00673C1F" w:rsidRDefault="00681771" w:rsidP="00A233CF">
            <w:pPr>
              <w:pStyle w:val="TableTextLeft"/>
            </w:pPr>
          </w:p>
        </w:tc>
        <w:tc>
          <w:tcPr>
            <w:tcW w:w="3620" w:type="dxa"/>
            <w:tcBorders>
              <w:top w:val="nil"/>
              <w:left w:val="nil"/>
              <w:bottom w:val="nil"/>
              <w:right w:val="nil"/>
            </w:tcBorders>
            <w:shd w:val="clear" w:color="auto" w:fill="auto"/>
            <w:vAlign w:val="center"/>
          </w:tcPr>
          <w:p w14:paraId="0EDE69D0" w14:textId="77777777" w:rsidR="00681771" w:rsidRPr="00673C1F" w:rsidRDefault="00681771" w:rsidP="00A233CF">
            <w:pPr>
              <w:pStyle w:val="TableTextLeft"/>
            </w:pPr>
            <w:r w:rsidRPr="00673C1F">
              <w:rPr>
                <w:rFonts w:cs="Arial"/>
                <w:szCs w:val="16"/>
              </w:rPr>
              <w:t>Rental deductions</w:t>
            </w:r>
          </w:p>
        </w:tc>
        <w:tc>
          <w:tcPr>
            <w:tcW w:w="889" w:type="dxa"/>
            <w:tcBorders>
              <w:top w:val="nil"/>
              <w:left w:val="nil"/>
              <w:bottom w:val="nil"/>
              <w:right w:val="nil"/>
            </w:tcBorders>
            <w:shd w:val="clear" w:color="auto" w:fill="auto"/>
            <w:noWrap/>
            <w:vAlign w:val="center"/>
          </w:tcPr>
          <w:p w14:paraId="058E13C8" w14:textId="77777777" w:rsidR="00681771" w:rsidRPr="00673C1F" w:rsidRDefault="00681771" w:rsidP="00A233CF">
            <w:pPr>
              <w:pStyle w:val="TableTextRight"/>
            </w:pPr>
            <w:r w:rsidRPr="00673C1F">
              <w:rPr>
                <w:rFonts w:cs="Arial"/>
                <w:szCs w:val="16"/>
              </w:rPr>
              <w:t>27,100</w:t>
            </w:r>
          </w:p>
        </w:tc>
        <w:tc>
          <w:tcPr>
            <w:tcW w:w="814" w:type="dxa"/>
            <w:tcBorders>
              <w:top w:val="nil"/>
              <w:left w:val="nil"/>
              <w:bottom w:val="nil"/>
              <w:right w:val="nil"/>
            </w:tcBorders>
            <w:shd w:val="clear" w:color="auto" w:fill="auto"/>
            <w:vAlign w:val="center"/>
          </w:tcPr>
          <w:p w14:paraId="36998126" w14:textId="77777777" w:rsidR="00681771" w:rsidRPr="00673C1F" w:rsidRDefault="00681771" w:rsidP="00A233CF">
            <w:pPr>
              <w:pStyle w:val="TableTextRight"/>
            </w:pPr>
            <w:r w:rsidRPr="00673C1F">
              <w:rPr>
                <w:rFonts w:cs="Arial"/>
                <w:szCs w:val="16"/>
              </w:rPr>
              <w:t>8.9</w:t>
            </w:r>
          </w:p>
        </w:tc>
        <w:tc>
          <w:tcPr>
            <w:tcW w:w="850" w:type="dxa"/>
            <w:tcBorders>
              <w:top w:val="nil"/>
              <w:left w:val="nil"/>
              <w:bottom w:val="nil"/>
              <w:right w:val="nil"/>
            </w:tcBorders>
            <w:shd w:val="clear" w:color="auto" w:fill="auto"/>
            <w:noWrap/>
            <w:vAlign w:val="center"/>
          </w:tcPr>
          <w:p w14:paraId="39FC7010" w14:textId="77777777" w:rsidR="00681771" w:rsidRPr="00673C1F" w:rsidRDefault="00681771" w:rsidP="00A233CF">
            <w:pPr>
              <w:pStyle w:val="TableTextRight"/>
            </w:pPr>
            <w:r w:rsidRPr="00673C1F">
              <w:rPr>
                <w:rFonts w:cs="Arial"/>
                <w:szCs w:val="16"/>
              </w:rPr>
              <w:t>4.1</w:t>
            </w:r>
          </w:p>
        </w:tc>
      </w:tr>
      <w:tr w:rsidR="00681771" w:rsidRPr="00BD68BD" w14:paraId="1B3F9459" w14:textId="77777777" w:rsidTr="00254FB2">
        <w:trPr>
          <w:trHeight w:val="23"/>
        </w:trPr>
        <w:tc>
          <w:tcPr>
            <w:tcW w:w="1086" w:type="dxa"/>
            <w:tcBorders>
              <w:top w:val="nil"/>
              <w:left w:val="nil"/>
              <w:bottom w:val="nil"/>
              <w:right w:val="nil"/>
            </w:tcBorders>
            <w:shd w:val="clear" w:color="auto" w:fill="auto"/>
            <w:noWrap/>
            <w:vAlign w:val="center"/>
          </w:tcPr>
          <w:p w14:paraId="279A7A9A" w14:textId="77777777" w:rsidR="00681771" w:rsidRPr="00673C1F" w:rsidRDefault="00681771" w:rsidP="00A233CF">
            <w:pPr>
              <w:pStyle w:val="TableTextLeft"/>
            </w:pPr>
            <w:r w:rsidRPr="00673C1F">
              <w:rPr>
                <w:rFonts w:cs="Arial"/>
                <w:szCs w:val="16"/>
              </w:rPr>
              <w:t>CGT</w:t>
            </w:r>
          </w:p>
        </w:tc>
        <w:tc>
          <w:tcPr>
            <w:tcW w:w="537" w:type="dxa"/>
            <w:tcBorders>
              <w:top w:val="nil"/>
              <w:left w:val="nil"/>
              <w:bottom w:val="nil"/>
              <w:right w:val="nil"/>
            </w:tcBorders>
            <w:shd w:val="clear" w:color="auto" w:fill="auto"/>
            <w:noWrap/>
            <w:vAlign w:val="center"/>
          </w:tcPr>
          <w:p w14:paraId="6C5E32E5" w14:textId="77777777" w:rsidR="00681771" w:rsidRPr="00673C1F" w:rsidRDefault="00681771" w:rsidP="00A233CF">
            <w:pPr>
              <w:pStyle w:val="TableTextLeft"/>
            </w:pPr>
            <w:r w:rsidRPr="00673C1F">
              <w:rPr>
                <w:rFonts w:cs="Arial"/>
                <w:szCs w:val="16"/>
              </w:rPr>
              <w:t>E8</w:t>
            </w:r>
          </w:p>
        </w:tc>
        <w:tc>
          <w:tcPr>
            <w:tcW w:w="3620" w:type="dxa"/>
            <w:tcBorders>
              <w:top w:val="nil"/>
              <w:left w:val="nil"/>
              <w:bottom w:val="nil"/>
              <w:right w:val="nil"/>
            </w:tcBorders>
            <w:shd w:val="clear" w:color="auto" w:fill="auto"/>
            <w:vAlign w:val="center"/>
          </w:tcPr>
          <w:p w14:paraId="74D369EF" w14:textId="77777777" w:rsidR="00681771" w:rsidRPr="00673C1F" w:rsidRDefault="00681771" w:rsidP="00A233CF">
            <w:pPr>
              <w:pStyle w:val="TableTextLeft"/>
            </w:pPr>
            <w:r w:rsidRPr="00673C1F">
              <w:rPr>
                <w:rFonts w:cs="Arial"/>
                <w:szCs w:val="16"/>
              </w:rPr>
              <w:t>Main residence exemption – discount component</w:t>
            </w:r>
          </w:p>
        </w:tc>
        <w:tc>
          <w:tcPr>
            <w:tcW w:w="889" w:type="dxa"/>
            <w:tcBorders>
              <w:top w:val="nil"/>
              <w:left w:val="nil"/>
              <w:bottom w:val="nil"/>
              <w:right w:val="nil"/>
            </w:tcBorders>
            <w:shd w:val="clear" w:color="auto" w:fill="auto"/>
            <w:noWrap/>
            <w:vAlign w:val="center"/>
          </w:tcPr>
          <w:p w14:paraId="6D93E1A5" w14:textId="77777777" w:rsidR="00681771" w:rsidRPr="00673C1F" w:rsidRDefault="00681771" w:rsidP="00A233CF">
            <w:pPr>
              <w:pStyle w:val="TableTextRight"/>
            </w:pPr>
            <w:r w:rsidRPr="00673C1F">
              <w:rPr>
                <w:rFonts w:cs="Arial"/>
                <w:szCs w:val="16"/>
              </w:rPr>
              <w:t>25,000</w:t>
            </w:r>
          </w:p>
        </w:tc>
        <w:tc>
          <w:tcPr>
            <w:tcW w:w="814" w:type="dxa"/>
            <w:tcBorders>
              <w:top w:val="nil"/>
              <w:left w:val="nil"/>
              <w:bottom w:val="nil"/>
              <w:right w:val="nil"/>
            </w:tcBorders>
            <w:shd w:val="clear" w:color="auto" w:fill="auto"/>
            <w:vAlign w:val="center"/>
          </w:tcPr>
          <w:p w14:paraId="5D445F77" w14:textId="77777777" w:rsidR="00681771" w:rsidRPr="00673C1F" w:rsidRDefault="00681771" w:rsidP="00A233CF">
            <w:pPr>
              <w:pStyle w:val="TableTextRight"/>
            </w:pPr>
            <w:r w:rsidRPr="00673C1F">
              <w:rPr>
                <w:rFonts w:cs="Arial"/>
                <w:szCs w:val="16"/>
              </w:rPr>
              <w:t>33.8</w:t>
            </w:r>
          </w:p>
        </w:tc>
        <w:tc>
          <w:tcPr>
            <w:tcW w:w="850" w:type="dxa"/>
            <w:tcBorders>
              <w:top w:val="nil"/>
              <w:left w:val="nil"/>
              <w:bottom w:val="nil"/>
              <w:right w:val="nil"/>
            </w:tcBorders>
            <w:shd w:val="clear" w:color="auto" w:fill="auto"/>
            <w:noWrap/>
            <w:vAlign w:val="center"/>
          </w:tcPr>
          <w:p w14:paraId="230F410F" w14:textId="7CF0EB43" w:rsidR="00681771" w:rsidRPr="00673C1F" w:rsidRDefault="006D727E" w:rsidP="00A233CF">
            <w:pPr>
              <w:pStyle w:val="TableTextRight"/>
            </w:pPr>
            <w:r w:rsidRPr="00673C1F">
              <w:rPr>
                <w:rFonts w:cs="Arial"/>
                <w:szCs w:val="16"/>
              </w:rPr>
              <w:noBreakHyphen/>
            </w:r>
            <w:r w:rsidR="00681771" w:rsidRPr="00673C1F">
              <w:rPr>
                <w:rFonts w:cs="Arial"/>
                <w:szCs w:val="16"/>
              </w:rPr>
              <w:t>7.5</w:t>
            </w:r>
          </w:p>
        </w:tc>
      </w:tr>
      <w:tr w:rsidR="00681771" w:rsidRPr="00BD68BD" w14:paraId="6BADF94F" w14:textId="77777777" w:rsidTr="00254FB2">
        <w:trPr>
          <w:trHeight w:val="23"/>
        </w:trPr>
        <w:tc>
          <w:tcPr>
            <w:tcW w:w="1086" w:type="dxa"/>
            <w:tcBorders>
              <w:top w:val="nil"/>
              <w:left w:val="nil"/>
              <w:bottom w:val="nil"/>
              <w:right w:val="nil"/>
            </w:tcBorders>
            <w:shd w:val="clear" w:color="auto" w:fill="auto"/>
            <w:noWrap/>
            <w:vAlign w:val="center"/>
          </w:tcPr>
          <w:p w14:paraId="712AE123" w14:textId="77777777" w:rsidR="00681771" w:rsidRPr="00673C1F" w:rsidRDefault="00681771" w:rsidP="00A233CF">
            <w:pPr>
              <w:pStyle w:val="TableTextLeft"/>
            </w:pPr>
            <w:r w:rsidRPr="00673C1F">
              <w:rPr>
                <w:rFonts w:cs="Arial"/>
                <w:szCs w:val="16"/>
              </w:rPr>
              <w:t>CGT</w:t>
            </w:r>
          </w:p>
        </w:tc>
        <w:tc>
          <w:tcPr>
            <w:tcW w:w="537" w:type="dxa"/>
            <w:tcBorders>
              <w:top w:val="nil"/>
              <w:left w:val="nil"/>
              <w:bottom w:val="nil"/>
              <w:right w:val="nil"/>
            </w:tcBorders>
            <w:shd w:val="clear" w:color="auto" w:fill="auto"/>
            <w:noWrap/>
            <w:vAlign w:val="center"/>
          </w:tcPr>
          <w:p w14:paraId="150BEE82" w14:textId="77777777" w:rsidR="00681771" w:rsidRPr="00673C1F" w:rsidRDefault="00681771" w:rsidP="00A233CF">
            <w:pPr>
              <w:pStyle w:val="TableTextLeft"/>
            </w:pPr>
            <w:r w:rsidRPr="00673C1F">
              <w:rPr>
                <w:rFonts w:cs="Arial"/>
                <w:szCs w:val="16"/>
              </w:rPr>
              <w:t>E7</w:t>
            </w:r>
          </w:p>
        </w:tc>
        <w:tc>
          <w:tcPr>
            <w:tcW w:w="3620" w:type="dxa"/>
            <w:tcBorders>
              <w:top w:val="nil"/>
              <w:left w:val="nil"/>
              <w:bottom w:val="nil"/>
              <w:right w:val="nil"/>
            </w:tcBorders>
            <w:shd w:val="clear" w:color="auto" w:fill="auto"/>
            <w:vAlign w:val="center"/>
          </w:tcPr>
          <w:p w14:paraId="05C9AF32" w14:textId="77777777" w:rsidR="00681771" w:rsidRPr="00673C1F" w:rsidRDefault="00681771" w:rsidP="00A233CF">
            <w:pPr>
              <w:pStyle w:val="TableTextLeft"/>
            </w:pPr>
            <w:r w:rsidRPr="00673C1F">
              <w:rPr>
                <w:rFonts w:cs="Arial"/>
                <w:szCs w:val="16"/>
              </w:rPr>
              <w:t>Main residence exemption</w:t>
            </w:r>
          </w:p>
        </w:tc>
        <w:tc>
          <w:tcPr>
            <w:tcW w:w="889" w:type="dxa"/>
            <w:tcBorders>
              <w:top w:val="nil"/>
              <w:left w:val="nil"/>
              <w:bottom w:val="nil"/>
              <w:right w:val="nil"/>
            </w:tcBorders>
            <w:shd w:val="clear" w:color="auto" w:fill="auto"/>
            <w:noWrap/>
            <w:vAlign w:val="center"/>
          </w:tcPr>
          <w:p w14:paraId="2552CCF5" w14:textId="77777777" w:rsidR="00681771" w:rsidRPr="00673C1F" w:rsidRDefault="00681771" w:rsidP="00A233CF">
            <w:pPr>
              <w:pStyle w:val="TableTextRight"/>
            </w:pPr>
            <w:r w:rsidRPr="00673C1F">
              <w:rPr>
                <w:rFonts w:cs="Arial"/>
                <w:szCs w:val="16"/>
              </w:rPr>
              <w:t>22,500</w:t>
            </w:r>
          </w:p>
        </w:tc>
        <w:tc>
          <w:tcPr>
            <w:tcW w:w="814" w:type="dxa"/>
            <w:tcBorders>
              <w:top w:val="nil"/>
              <w:left w:val="nil"/>
              <w:bottom w:val="nil"/>
              <w:right w:val="nil"/>
            </w:tcBorders>
            <w:shd w:val="clear" w:color="auto" w:fill="auto"/>
            <w:vAlign w:val="center"/>
          </w:tcPr>
          <w:p w14:paraId="748DAAE4" w14:textId="77777777" w:rsidR="00681771" w:rsidRPr="00673C1F" w:rsidRDefault="00681771" w:rsidP="00A233CF">
            <w:pPr>
              <w:pStyle w:val="TableTextRight"/>
            </w:pPr>
            <w:r w:rsidRPr="00673C1F">
              <w:rPr>
                <w:rFonts w:cs="Arial"/>
                <w:szCs w:val="16"/>
              </w:rPr>
              <w:t>33.6</w:t>
            </w:r>
          </w:p>
        </w:tc>
        <w:tc>
          <w:tcPr>
            <w:tcW w:w="850" w:type="dxa"/>
            <w:tcBorders>
              <w:top w:val="nil"/>
              <w:left w:val="nil"/>
              <w:bottom w:val="nil"/>
              <w:right w:val="nil"/>
            </w:tcBorders>
            <w:shd w:val="clear" w:color="auto" w:fill="auto"/>
            <w:noWrap/>
            <w:vAlign w:val="center"/>
          </w:tcPr>
          <w:p w14:paraId="79E1EF80" w14:textId="27D1682C" w:rsidR="00681771" w:rsidRPr="00673C1F" w:rsidRDefault="006D727E" w:rsidP="00A233CF">
            <w:pPr>
              <w:pStyle w:val="TableTextRight"/>
            </w:pPr>
            <w:r w:rsidRPr="00673C1F">
              <w:rPr>
                <w:rFonts w:cs="Arial"/>
                <w:szCs w:val="16"/>
              </w:rPr>
              <w:noBreakHyphen/>
            </w:r>
            <w:r w:rsidR="00681771" w:rsidRPr="00673C1F">
              <w:rPr>
                <w:rFonts w:cs="Arial"/>
                <w:szCs w:val="16"/>
              </w:rPr>
              <w:t>7.7</w:t>
            </w:r>
          </w:p>
        </w:tc>
      </w:tr>
      <w:tr w:rsidR="00681771" w:rsidRPr="00BD68BD" w14:paraId="7C5C38D7" w14:textId="77777777" w:rsidTr="00254FB2">
        <w:trPr>
          <w:trHeight w:val="23"/>
        </w:trPr>
        <w:tc>
          <w:tcPr>
            <w:tcW w:w="1086" w:type="dxa"/>
            <w:tcBorders>
              <w:top w:val="nil"/>
              <w:left w:val="nil"/>
              <w:bottom w:val="nil"/>
              <w:right w:val="nil"/>
            </w:tcBorders>
            <w:shd w:val="clear" w:color="auto" w:fill="auto"/>
            <w:noWrap/>
            <w:vAlign w:val="center"/>
          </w:tcPr>
          <w:p w14:paraId="0C4236A0" w14:textId="77777777" w:rsidR="00681771" w:rsidRPr="00673C1F" w:rsidRDefault="00681771" w:rsidP="00A233CF">
            <w:pPr>
              <w:pStyle w:val="TableTextLeft"/>
            </w:pPr>
            <w:r w:rsidRPr="00673C1F">
              <w:rPr>
                <w:rFonts w:cs="Arial"/>
                <w:szCs w:val="16"/>
              </w:rPr>
              <w:t>Super</w:t>
            </w:r>
          </w:p>
        </w:tc>
        <w:tc>
          <w:tcPr>
            <w:tcW w:w="537" w:type="dxa"/>
            <w:tcBorders>
              <w:top w:val="nil"/>
              <w:left w:val="nil"/>
              <w:bottom w:val="nil"/>
              <w:right w:val="nil"/>
            </w:tcBorders>
            <w:shd w:val="clear" w:color="auto" w:fill="auto"/>
            <w:noWrap/>
            <w:vAlign w:val="center"/>
          </w:tcPr>
          <w:p w14:paraId="63365364" w14:textId="77777777" w:rsidR="00681771" w:rsidRPr="00673C1F" w:rsidRDefault="00681771" w:rsidP="00A233CF">
            <w:pPr>
              <w:pStyle w:val="TableTextLeft"/>
            </w:pPr>
            <w:r w:rsidRPr="00673C1F">
              <w:rPr>
                <w:rFonts w:cs="Arial"/>
                <w:szCs w:val="16"/>
              </w:rPr>
              <w:t>C4</w:t>
            </w:r>
          </w:p>
        </w:tc>
        <w:tc>
          <w:tcPr>
            <w:tcW w:w="3620" w:type="dxa"/>
            <w:tcBorders>
              <w:top w:val="nil"/>
              <w:left w:val="nil"/>
              <w:bottom w:val="nil"/>
              <w:right w:val="nil"/>
            </w:tcBorders>
            <w:shd w:val="clear" w:color="auto" w:fill="auto"/>
            <w:vAlign w:val="center"/>
          </w:tcPr>
          <w:p w14:paraId="362A172B" w14:textId="77777777" w:rsidR="00681771" w:rsidRPr="00673C1F" w:rsidRDefault="00681771" w:rsidP="00A233CF">
            <w:pPr>
              <w:pStyle w:val="TableTextLeft"/>
            </w:pPr>
            <w:r w:rsidRPr="00673C1F">
              <w:rPr>
                <w:rFonts w:cs="Arial"/>
                <w:szCs w:val="16"/>
              </w:rPr>
              <w:t>Concessional taxation of superannuation entity earnings</w:t>
            </w:r>
          </w:p>
        </w:tc>
        <w:tc>
          <w:tcPr>
            <w:tcW w:w="889" w:type="dxa"/>
            <w:tcBorders>
              <w:top w:val="nil"/>
              <w:left w:val="nil"/>
              <w:bottom w:val="nil"/>
              <w:right w:val="nil"/>
            </w:tcBorders>
            <w:shd w:val="clear" w:color="auto" w:fill="auto"/>
            <w:noWrap/>
            <w:vAlign w:val="center"/>
          </w:tcPr>
          <w:p w14:paraId="07C79F6C" w14:textId="77777777" w:rsidR="00681771" w:rsidRPr="00673C1F" w:rsidRDefault="00681771" w:rsidP="00A233CF">
            <w:pPr>
              <w:pStyle w:val="TableTextRight"/>
            </w:pPr>
            <w:r w:rsidRPr="00673C1F">
              <w:rPr>
                <w:rFonts w:cs="Arial"/>
                <w:szCs w:val="16"/>
              </w:rPr>
              <w:t>20,050</w:t>
            </w:r>
          </w:p>
        </w:tc>
        <w:tc>
          <w:tcPr>
            <w:tcW w:w="814" w:type="dxa"/>
            <w:tcBorders>
              <w:top w:val="nil"/>
              <w:left w:val="nil"/>
              <w:bottom w:val="nil"/>
              <w:right w:val="nil"/>
            </w:tcBorders>
            <w:shd w:val="clear" w:color="auto" w:fill="auto"/>
            <w:vAlign w:val="center"/>
          </w:tcPr>
          <w:p w14:paraId="103B9AB3" w14:textId="77777777" w:rsidR="00681771" w:rsidRPr="00673C1F" w:rsidRDefault="00681771" w:rsidP="00A233CF">
            <w:pPr>
              <w:pStyle w:val="TableTextRight"/>
            </w:pPr>
            <w:r w:rsidRPr="00673C1F">
              <w:rPr>
                <w:rFonts w:cs="Arial"/>
                <w:szCs w:val="16"/>
              </w:rPr>
              <w:t>17.7</w:t>
            </w:r>
          </w:p>
        </w:tc>
        <w:tc>
          <w:tcPr>
            <w:tcW w:w="850" w:type="dxa"/>
            <w:tcBorders>
              <w:top w:val="nil"/>
              <w:left w:val="nil"/>
              <w:bottom w:val="nil"/>
              <w:right w:val="nil"/>
            </w:tcBorders>
            <w:shd w:val="clear" w:color="auto" w:fill="auto"/>
            <w:noWrap/>
            <w:vAlign w:val="center"/>
          </w:tcPr>
          <w:p w14:paraId="59AA7BCC" w14:textId="461EA8E4" w:rsidR="00681771" w:rsidRPr="00673C1F" w:rsidRDefault="006D727E" w:rsidP="00A233CF">
            <w:pPr>
              <w:pStyle w:val="TableTextRight"/>
            </w:pPr>
            <w:r w:rsidRPr="00673C1F">
              <w:rPr>
                <w:rFonts w:cs="Arial"/>
                <w:szCs w:val="16"/>
              </w:rPr>
              <w:noBreakHyphen/>
            </w:r>
            <w:r w:rsidR="00681771" w:rsidRPr="00673C1F">
              <w:rPr>
                <w:rFonts w:cs="Arial"/>
                <w:szCs w:val="16"/>
              </w:rPr>
              <w:t>3.5</w:t>
            </w:r>
          </w:p>
        </w:tc>
      </w:tr>
      <w:tr w:rsidR="00681771" w:rsidRPr="00BD68BD" w14:paraId="2AC4FF16" w14:textId="77777777" w:rsidTr="00254FB2">
        <w:trPr>
          <w:trHeight w:val="23"/>
        </w:trPr>
        <w:tc>
          <w:tcPr>
            <w:tcW w:w="1086" w:type="dxa"/>
            <w:tcBorders>
              <w:top w:val="nil"/>
              <w:left w:val="nil"/>
              <w:bottom w:val="nil"/>
              <w:right w:val="nil"/>
            </w:tcBorders>
            <w:shd w:val="clear" w:color="auto" w:fill="auto"/>
            <w:noWrap/>
            <w:vAlign w:val="center"/>
          </w:tcPr>
          <w:p w14:paraId="78FD9A58" w14:textId="77777777" w:rsidR="00681771" w:rsidRPr="00673C1F" w:rsidRDefault="00681771" w:rsidP="00A233CF">
            <w:pPr>
              <w:pStyle w:val="TableTextLeft"/>
            </w:pPr>
            <w:r w:rsidRPr="00673C1F">
              <w:rPr>
                <w:rFonts w:cs="Arial"/>
                <w:szCs w:val="16"/>
              </w:rPr>
              <w:t>CGT</w:t>
            </w:r>
          </w:p>
        </w:tc>
        <w:tc>
          <w:tcPr>
            <w:tcW w:w="537" w:type="dxa"/>
            <w:tcBorders>
              <w:top w:val="nil"/>
              <w:left w:val="nil"/>
              <w:bottom w:val="nil"/>
              <w:right w:val="nil"/>
            </w:tcBorders>
            <w:shd w:val="clear" w:color="auto" w:fill="auto"/>
            <w:noWrap/>
            <w:vAlign w:val="center"/>
          </w:tcPr>
          <w:p w14:paraId="3417271E" w14:textId="77777777" w:rsidR="00681771" w:rsidRPr="00673C1F" w:rsidRDefault="00681771" w:rsidP="00A233CF">
            <w:pPr>
              <w:pStyle w:val="TableTextLeft"/>
            </w:pPr>
            <w:r w:rsidRPr="00673C1F">
              <w:rPr>
                <w:rFonts w:cs="Arial"/>
                <w:szCs w:val="16"/>
              </w:rPr>
              <w:t>E15</w:t>
            </w:r>
          </w:p>
        </w:tc>
        <w:tc>
          <w:tcPr>
            <w:tcW w:w="3620" w:type="dxa"/>
            <w:tcBorders>
              <w:top w:val="nil"/>
              <w:left w:val="nil"/>
              <w:bottom w:val="nil"/>
              <w:right w:val="nil"/>
            </w:tcBorders>
            <w:shd w:val="clear" w:color="auto" w:fill="auto"/>
            <w:vAlign w:val="center"/>
          </w:tcPr>
          <w:p w14:paraId="77447B31" w14:textId="77777777" w:rsidR="00681771" w:rsidRPr="00673C1F" w:rsidRDefault="00681771" w:rsidP="00A233CF">
            <w:pPr>
              <w:pStyle w:val="TableTextLeft"/>
            </w:pPr>
            <w:r w:rsidRPr="00673C1F">
              <w:rPr>
                <w:rFonts w:cs="Arial"/>
                <w:szCs w:val="16"/>
              </w:rPr>
              <w:t>Discount for individuals and trusts</w:t>
            </w:r>
          </w:p>
        </w:tc>
        <w:tc>
          <w:tcPr>
            <w:tcW w:w="889" w:type="dxa"/>
            <w:tcBorders>
              <w:top w:val="nil"/>
              <w:left w:val="nil"/>
              <w:bottom w:val="nil"/>
              <w:right w:val="nil"/>
            </w:tcBorders>
            <w:shd w:val="clear" w:color="auto" w:fill="auto"/>
            <w:noWrap/>
            <w:vAlign w:val="center"/>
          </w:tcPr>
          <w:p w14:paraId="19370A14" w14:textId="77777777" w:rsidR="00681771" w:rsidRPr="00673C1F" w:rsidRDefault="00681771" w:rsidP="00A233CF">
            <w:pPr>
              <w:pStyle w:val="TableTextRight"/>
            </w:pPr>
            <w:r w:rsidRPr="00673C1F">
              <w:rPr>
                <w:rFonts w:cs="Arial"/>
                <w:szCs w:val="16"/>
              </w:rPr>
              <w:t>19,050</w:t>
            </w:r>
          </w:p>
        </w:tc>
        <w:tc>
          <w:tcPr>
            <w:tcW w:w="814" w:type="dxa"/>
            <w:tcBorders>
              <w:top w:val="nil"/>
              <w:left w:val="nil"/>
              <w:bottom w:val="nil"/>
              <w:right w:val="nil"/>
            </w:tcBorders>
            <w:shd w:val="clear" w:color="auto" w:fill="auto"/>
            <w:vAlign w:val="center"/>
          </w:tcPr>
          <w:p w14:paraId="6F8A5DBB" w14:textId="77777777" w:rsidR="00681771" w:rsidRPr="00673C1F" w:rsidRDefault="00681771" w:rsidP="00A233CF">
            <w:pPr>
              <w:pStyle w:val="TableTextRight"/>
            </w:pPr>
            <w:r w:rsidRPr="00673C1F">
              <w:rPr>
                <w:rFonts w:cs="Arial"/>
                <w:szCs w:val="16"/>
              </w:rPr>
              <w:t>39.8</w:t>
            </w:r>
          </w:p>
        </w:tc>
        <w:tc>
          <w:tcPr>
            <w:tcW w:w="850" w:type="dxa"/>
            <w:tcBorders>
              <w:top w:val="nil"/>
              <w:left w:val="nil"/>
              <w:bottom w:val="nil"/>
              <w:right w:val="nil"/>
            </w:tcBorders>
            <w:shd w:val="clear" w:color="auto" w:fill="auto"/>
            <w:noWrap/>
            <w:vAlign w:val="center"/>
          </w:tcPr>
          <w:p w14:paraId="2A3ABF2E" w14:textId="7B380CF5" w:rsidR="00681771" w:rsidRPr="00673C1F" w:rsidRDefault="006D727E" w:rsidP="00A233CF">
            <w:pPr>
              <w:pStyle w:val="TableTextRight"/>
            </w:pPr>
            <w:r w:rsidRPr="00673C1F">
              <w:rPr>
                <w:rFonts w:cs="Arial"/>
                <w:szCs w:val="16"/>
              </w:rPr>
              <w:noBreakHyphen/>
            </w:r>
            <w:r w:rsidR="00681771" w:rsidRPr="00673C1F">
              <w:rPr>
                <w:rFonts w:cs="Arial"/>
                <w:szCs w:val="16"/>
              </w:rPr>
              <w:t>11.9</w:t>
            </w:r>
          </w:p>
        </w:tc>
      </w:tr>
      <w:tr w:rsidR="00681771" w:rsidRPr="00BD68BD" w14:paraId="2CCBB859" w14:textId="77777777" w:rsidTr="00254FB2">
        <w:trPr>
          <w:trHeight w:val="23"/>
        </w:trPr>
        <w:tc>
          <w:tcPr>
            <w:tcW w:w="1086" w:type="dxa"/>
            <w:tcBorders>
              <w:top w:val="nil"/>
              <w:left w:val="nil"/>
              <w:bottom w:val="nil"/>
              <w:right w:val="nil"/>
            </w:tcBorders>
            <w:shd w:val="clear" w:color="auto" w:fill="auto"/>
            <w:noWrap/>
            <w:vAlign w:val="center"/>
          </w:tcPr>
          <w:p w14:paraId="627AAB62" w14:textId="77777777" w:rsidR="00681771" w:rsidRPr="00673C1F" w:rsidRDefault="00681771" w:rsidP="00A233CF">
            <w:pPr>
              <w:pStyle w:val="TableTextLeft"/>
            </w:pPr>
            <w:r w:rsidRPr="00673C1F">
              <w:rPr>
                <w:rFonts w:cs="Arial"/>
                <w:szCs w:val="16"/>
              </w:rPr>
              <w:t>Deductions</w:t>
            </w:r>
          </w:p>
        </w:tc>
        <w:tc>
          <w:tcPr>
            <w:tcW w:w="537" w:type="dxa"/>
            <w:tcBorders>
              <w:top w:val="nil"/>
              <w:left w:val="nil"/>
              <w:bottom w:val="nil"/>
              <w:right w:val="nil"/>
            </w:tcBorders>
            <w:shd w:val="clear" w:color="auto" w:fill="auto"/>
            <w:noWrap/>
            <w:vAlign w:val="center"/>
          </w:tcPr>
          <w:p w14:paraId="170DB7E1" w14:textId="77777777" w:rsidR="00681771" w:rsidRPr="00673C1F" w:rsidRDefault="00681771" w:rsidP="00A233CF">
            <w:pPr>
              <w:pStyle w:val="TableTextLeft"/>
            </w:pPr>
          </w:p>
        </w:tc>
        <w:tc>
          <w:tcPr>
            <w:tcW w:w="3620" w:type="dxa"/>
            <w:tcBorders>
              <w:top w:val="nil"/>
              <w:left w:val="nil"/>
              <w:bottom w:val="nil"/>
              <w:right w:val="nil"/>
            </w:tcBorders>
            <w:shd w:val="clear" w:color="auto" w:fill="auto"/>
            <w:vAlign w:val="center"/>
          </w:tcPr>
          <w:p w14:paraId="0453EE16" w14:textId="70769212" w:rsidR="00681771" w:rsidRPr="00673C1F" w:rsidRDefault="00681771" w:rsidP="00A233CF">
            <w:pPr>
              <w:pStyle w:val="TableTextLeft"/>
            </w:pPr>
            <w:r w:rsidRPr="00673C1F">
              <w:rPr>
                <w:rFonts w:cs="Arial"/>
                <w:szCs w:val="16"/>
              </w:rPr>
              <w:t>Work</w:t>
            </w:r>
            <w:r w:rsidR="006D727E" w:rsidRPr="00673C1F">
              <w:rPr>
                <w:rFonts w:cs="Arial"/>
                <w:szCs w:val="16"/>
              </w:rPr>
              <w:noBreakHyphen/>
            </w:r>
            <w:r w:rsidRPr="00673C1F">
              <w:rPr>
                <w:rFonts w:cs="Arial"/>
                <w:szCs w:val="16"/>
              </w:rPr>
              <w:t>related expenses</w:t>
            </w:r>
          </w:p>
        </w:tc>
        <w:tc>
          <w:tcPr>
            <w:tcW w:w="889" w:type="dxa"/>
            <w:tcBorders>
              <w:top w:val="nil"/>
              <w:left w:val="nil"/>
              <w:bottom w:val="nil"/>
              <w:right w:val="nil"/>
            </w:tcBorders>
            <w:shd w:val="clear" w:color="auto" w:fill="auto"/>
            <w:noWrap/>
            <w:vAlign w:val="center"/>
          </w:tcPr>
          <w:p w14:paraId="22E17013" w14:textId="77777777" w:rsidR="00681771" w:rsidRPr="00673C1F" w:rsidRDefault="00681771" w:rsidP="00A233CF">
            <w:pPr>
              <w:pStyle w:val="TableTextRight"/>
            </w:pPr>
            <w:r w:rsidRPr="00673C1F">
              <w:rPr>
                <w:rFonts w:cs="Arial"/>
                <w:szCs w:val="16"/>
              </w:rPr>
              <w:t>10,800</w:t>
            </w:r>
          </w:p>
        </w:tc>
        <w:tc>
          <w:tcPr>
            <w:tcW w:w="814" w:type="dxa"/>
            <w:tcBorders>
              <w:top w:val="nil"/>
              <w:left w:val="nil"/>
              <w:bottom w:val="nil"/>
              <w:right w:val="nil"/>
            </w:tcBorders>
            <w:shd w:val="clear" w:color="auto" w:fill="auto"/>
            <w:vAlign w:val="center"/>
          </w:tcPr>
          <w:p w14:paraId="3D955794" w14:textId="77777777" w:rsidR="00681771" w:rsidRPr="00673C1F" w:rsidRDefault="00681771" w:rsidP="00A233CF">
            <w:pPr>
              <w:pStyle w:val="TableTextRight"/>
            </w:pPr>
            <w:r w:rsidRPr="00673C1F">
              <w:rPr>
                <w:rFonts w:cs="Arial"/>
                <w:szCs w:val="16"/>
              </w:rPr>
              <w:t>7.5</w:t>
            </w:r>
          </w:p>
        </w:tc>
        <w:tc>
          <w:tcPr>
            <w:tcW w:w="850" w:type="dxa"/>
            <w:tcBorders>
              <w:top w:val="nil"/>
              <w:left w:val="nil"/>
              <w:bottom w:val="nil"/>
              <w:right w:val="nil"/>
            </w:tcBorders>
            <w:shd w:val="clear" w:color="auto" w:fill="auto"/>
            <w:noWrap/>
            <w:vAlign w:val="center"/>
          </w:tcPr>
          <w:p w14:paraId="254D97F7" w14:textId="77777777" w:rsidR="00681771" w:rsidRPr="00673C1F" w:rsidRDefault="00681771" w:rsidP="00A233CF">
            <w:pPr>
              <w:pStyle w:val="TableTextRight"/>
            </w:pPr>
            <w:r w:rsidRPr="00673C1F">
              <w:rPr>
                <w:rFonts w:cs="Arial"/>
                <w:szCs w:val="16"/>
              </w:rPr>
              <w:t>2.8</w:t>
            </w:r>
          </w:p>
        </w:tc>
      </w:tr>
      <w:tr w:rsidR="00681771" w:rsidRPr="00BD68BD" w14:paraId="2E6C589D" w14:textId="77777777" w:rsidTr="00254FB2">
        <w:trPr>
          <w:trHeight w:val="23"/>
        </w:trPr>
        <w:tc>
          <w:tcPr>
            <w:tcW w:w="1086" w:type="dxa"/>
            <w:tcBorders>
              <w:top w:val="nil"/>
              <w:left w:val="nil"/>
              <w:bottom w:val="nil"/>
              <w:right w:val="nil"/>
            </w:tcBorders>
            <w:shd w:val="clear" w:color="auto" w:fill="auto"/>
            <w:noWrap/>
            <w:vAlign w:val="center"/>
          </w:tcPr>
          <w:p w14:paraId="1E6BEB1A" w14:textId="77777777" w:rsidR="00681771" w:rsidRPr="00673C1F" w:rsidRDefault="00681771" w:rsidP="00A233CF">
            <w:pPr>
              <w:pStyle w:val="TableTextLeft"/>
            </w:pPr>
            <w:r w:rsidRPr="00673C1F">
              <w:rPr>
                <w:rFonts w:cs="Arial"/>
                <w:szCs w:val="16"/>
              </w:rPr>
              <w:t>Income</w:t>
            </w:r>
          </w:p>
        </w:tc>
        <w:tc>
          <w:tcPr>
            <w:tcW w:w="537" w:type="dxa"/>
            <w:tcBorders>
              <w:top w:val="nil"/>
              <w:left w:val="nil"/>
              <w:bottom w:val="nil"/>
              <w:right w:val="nil"/>
            </w:tcBorders>
            <w:shd w:val="clear" w:color="auto" w:fill="auto"/>
            <w:noWrap/>
            <w:vAlign w:val="center"/>
          </w:tcPr>
          <w:p w14:paraId="2D2703D6" w14:textId="77777777" w:rsidR="00681771" w:rsidRPr="00673C1F" w:rsidRDefault="00681771" w:rsidP="00A233CF">
            <w:pPr>
              <w:pStyle w:val="TableTextLeft"/>
            </w:pPr>
            <w:r w:rsidRPr="00673C1F">
              <w:rPr>
                <w:rFonts w:cs="Arial"/>
                <w:szCs w:val="16"/>
              </w:rPr>
              <w:t>A26</w:t>
            </w:r>
          </w:p>
        </w:tc>
        <w:tc>
          <w:tcPr>
            <w:tcW w:w="3620" w:type="dxa"/>
            <w:tcBorders>
              <w:top w:val="nil"/>
              <w:left w:val="nil"/>
              <w:bottom w:val="nil"/>
              <w:right w:val="nil"/>
            </w:tcBorders>
            <w:shd w:val="clear" w:color="auto" w:fill="auto"/>
            <w:vAlign w:val="center"/>
          </w:tcPr>
          <w:p w14:paraId="4CCAF5D8" w14:textId="77777777" w:rsidR="00681771" w:rsidRPr="00673C1F" w:rsidRDefault="00681771" w:rsidP="00A233CF">
            <w:pPr>
              <w:pStyle w:val="TableTextLeft"/>
            </w:pPr>
            <w:r w:rsidRPr="00673C1F">
              <w:rPr>
                <w:rFonts w:cs="Arial"/>
                <w:szCs w:val="16"/>
              </w:rPr>
              <w:t>Exemption for National Disability Insurance Scheme amounts</w:t>
            </w:r>
          </w:p>
        </w:tc>
        <w:tc>
          <w:tcPr>
            <w:tcW w:w="889" w:type="dxa"/>
            <w:tcBorders>
              <w:top w:val="nil"/>
              <w:left w:val="nil"/>
              <w:bottom w:val="nil"/>
              <w:right w:val="nil"/>
            </w:tcBorders>
            <w:shd w:val="clear" w:color="auto" w:fill="auto"/>
            <w:noWrap/>
            <w:vAlign w:val="center"/>
          </w:tcPr>
          <w:p w14:paraId="214635CA" w14:textId="77777777" w:rsidR="00681771" w:rsidRPr="00673C1F" w:rsidRDefault="00681771" w:rsidP="00A233CF">
            <w:pPr>
              <w:pStyle w:val="TableTextRight"/>
            </w:pPr>
            <w:r w:rsidRPr="00673C1F">
              <w:rPr>
                <w:rFonts w:cs="Arial"/>
                <w:szCs w:val="16"/>
              </w:rPr>
              <w:t>10,480</w:t>
            </w:r>
          </w:p>
        </w:tc>
        <w:tc>
          <w:tcPr>
            <w:tcW w:w="814" w:type="dxa"/>
            <w:tcBorders>
              <w:top w:val="nil"/>
              <w:left w:val="nil"/>
              <w:bottom w:val="nil"/>
              <w:right w:val="nil"/>
            </w:tcBorders>
            <w:shd w:val="clear" w:color="auto" w:fill="auto"/>
            <w:vAlign w:val="center"/>
          </w:tcPr>
          <w:p w14:paraId="1D8A4374" w14:textId="77777777" w:rsidR="00681771" w:rsidRPr="00673C1F" w:rsidRDefault="00681771" w:rsidP="00A233CF">
            <w:pPr>
              <w:pStyle w:val="TableTextRight"/>
            </w:pPr>
            <w:r w:rsidRPr="00673C1F">
              <w:rPr>
                <w:rFonts w:cs="Arial"/>
                <w:szCs w:val="16"/>
              </w:rPr>
              <w:t>35.6</w:t>
            </w:r>
          </w:p>
        </w:tc>
        <w:tc>
          <w:tcPr>
            <w:tcW w:w="850" w:type="dxa"/>
            <w:tcBorders>
              <w:top w:val="nil"/>
              <w:left w:val="nil"/>
              <w:bottom w:val="nil"/>
              <w:right w:val="nil"/>
            </w:tcBorders>
            <w:shd w:val="clear" w:color="auto" w:fill="auto"/>
            <w:noWrap/>
            <w:vAlign w:val="center"/>
          </w:tcPr>
          <w:p w14:paraId="5C4A6E0A" w14:textId="77777777" w:rsidR="00681771" w:rsidRPr="00673C1F" w:rsidRDefault="00681771" w:rsidP="00A233CF">
            <w:pPr>
              <w:pStyle w:val="TableTextRight"/>
            </w:pPr>
            <w:r w:rsidRPr="00673C1F">
              <w:rPr>
                <w:rFonts w:cs="Arial"/>
                <w:szCs w:val="16"/>
              </w:rPr>
              <w:t>13.4</w:t>
            </w:r>
          </w:p>
        </w:tc>
      </w:tr>
      <w:tr w:rsidR="00681771" w:rsidRPr="00BD68BD" w14:paraId="7EEA125A" w14:textId="77777777" w:rsidTr="00254FB2">
        <w:trPr>
          <w:trHeight w:val="23"/>
        </w:trPr>
        <w:tc>
          <w:tcPr>
            <w:tcW w:w="1086" w:type="dxa"/>
            <w:tcBorders>
              <w:top w:val="nil"/>
              <w:left w:val="nil"/>
              <w:bottom w:val="nil"/>
              <w:right w:val="nil"/>
            </w:tcBorders>
            <w:shd w:val="clear" w:color="auto" w:fill="auto"/>
            <w:noWrap/>
            <w:vAlign w:val="center"/>
          </w:tcPr>
          <w:p w14:paraId="0D9056DB" w14:textId="77777777" w:rsidR="00681771" w:rsidRPr="00673C1F" w:rsidRDefault="00681771" w:rsidP="00A233CF">
            <w:pPr>
              <w:pStyle w:val="TableTextLeft"/>
            </w:pPr>
            <w:r w:rsidRPr="00673C1F">
              <w:rPr>
                <w:rFonts w:cs="Arial"/>
                <w:szCs w:val="16"/>
              </w:rPr>
              <w:t>GST</w:t>
            </w:r>
          </w:p>
        </w:tc>
        <w:tc>
          <w:tcPr>
            <w:tcW w:w="537" w:type="dxa"/>
            <w:tcBorders>
              <w:top w:val="nil"/>
              <w:left w:val="nil"/>
              <w:bottom w:val="nil"/>
              <w:right w:val="nil"/>
            </w:tcBorders>
            <w:shd w:val="clear" w:color="auto" w:fill="auto"/>
            <w:noWrap/>
            <w:vAlign w:val="center"/>
          </w:tcPr>
          <w:p w14:paraId="7560BE89" w14:textId="77777777" w:rsidR="00681771" w:rsidRPr="00673C1F" w:rsidRDefault="00681771" w:rsidP="00A233CF">
            <w:pPr>
              <w:pStyle w:val="TableTextLeft"/>
            </w:pPr>
            <w:r w:rsidRPr="00673C1F">
              <w:rPr>
                <w:rFonts w:cs="Arial"/>
                <w:szCs w:val="16"/>
              </w:rPr>
              <w:t>H25</w:t>
            </w:r>
          </w:p>
        </w:tc>
        <w:tc>
          <w:tcPr>
            <w:tcW w:w="3620" w:type="dxa"/>
            <w:tcBorders>
              <w:top w:val="nil"/>
              <w:left w:val="nil"/>
              <w:bottom w:val="nil"/>
              <w:right w:val="nil"/>
            </w:tcBorders>
            <w:shd w:val="clear" w:color="auto" w:fill="auto"/>
            <w:vAlign w:val="center"/>
          </w:tcPr>
          <w:p w14:paraId="1B7A89B4" w14:textId="77777777" w:rsidR="00681771" w:rsidRPr="00673C1F" w:rsidRDefault="00681771" w:rsidP="00A233CF">
            <w:pPr>
              <w:pStyle w:val="TableTextLeft"/>
            </w:pPr>
            <w:r w:rsidRPr="00673C1F">
              <w:rPr>
                <w:rFonts w:cs="Arial"/>
                <w:szCs w:val="16"/>
              </w:rPr>
              <w:t>Food</w:t>
            </w:r>
          </w:p>
        </w:tc>
        <w:tc>
          <w:tcPr>
            <w:tcW w:w="889" w:type="dxa"/>
            <w:tcBorders>
              <w:top w:val="nil"/>
              <w:left w:val="nil"/>
              <w:bottom w:val="nil"/>
              <w:right w:val="nil"/>
            </w:tcBorders>
            <w:shd w:val="clear" w:color="auto" w:fill="auto"/>
            <w:noWrap/>
            <w:vAlign w:val="center"/>
          </w:tcPr>
          <w:p w14:paraId="470182A6" w14:textId="77777777" w:rsidR="00681771" w:rsidRPr="00673C1F" w:rsidRDefault="00681771" w:rsidP="00A233CF">
            <w:pPr>
              <w:pStyle w:val="TableTextRight"/>
            </w:pPr>
            <w:r w:rsidRPr="00673C1F">
              <w:rPr>
                <w:rFonts w:cs="Arial"/>
                <w:szCs w:val="16"/>
              </w:rPr>
              <w:t>9,100</w:t>
            </w:r>
          </w:p>
        </w:tc>
        <w:tc>
          <w:tcPr>
            <w:tcW w:w="814" w:type="dxa"/>
            <w:tcBorders>
              <w:top w:val="nil"/>
              <w:left w:val="nil"/>
              <w:bottom w:val="nil"/>
              <w:right w:val="nil"/>
            </w:tcBorders>
            <w:shd w:val="clear" w:color="auto" w:fill="auto"/>
            <w:vAlign w:val="center"/>
          </w:tcPr>
          <w:p w14:paraId="1FFE065B" w14:textId="77777777" w:rsidR="00681771" w:rsidRPr="00673C1F" w:rsidRDefault="00681771" w:rsidP="00A233CF">
            <w:pPr>
              <w:pStyle w:val="TableTextRight"/>
            </w:pPr>
            <w:r w:rsidRPr="00673C1F">
              <w:rPr>
                <w:rFonts w:cs="Arial"/>
                <w:szCs w:val="16"/>
              </w:rPr>
              <w:t>4.6</w:t>
            </w:r>
          </w:p>
        </w:tc>
        <w:tc>
          <w:tcPr>
            <w:tcW w:w="850" w:type="dxa"/>
            <w:tcBorders>
              <w:top w:val="nil"/>
              <w:left w:val="nil"/>
              <w:bottom w:val="nil"/>
              <w:right w:val="nil"/>
            </w:tcBorders>
            <w:shd w:val="clear" w:color="auto" w:fill="auto"/>
            <w:noWrap/>
            <w:vAlign w:val="center"/>
          </w:tcPr>
          <w:p w14:paraId="6F4681AF" w14:textId="77777777" w:rsidR="00681771" w:rsidRPr="00673C1F" w:rsidRDefault="00681771" w:rsidP="00A233CF">
            <w:pPr>
              <w:pStyle w:val="TableTextRight"/>
            </w:pPr>
            <w:r w:rsidRPr="00673C1F">
              <w:rPr>
                <w:rFonts w:cs="Arial"/>
                <w:szCs w:val="16"/>
              </w:rPr>
              <w:t>3.5</w:t>
            </w:r>
          </w:p>
        </w:tc>
      </w:tr>
      <w:tr w:rsidR="00681771" w:rsidRPr="00BD68BD" w14:paraId="4515B48B" w14:textId="77777777" w:rsidTr="00254FB2">
        <w:trPr>
          <w:trHeight w:val="23"/>
        </w:trPr>
        <w:tc>
          <w:tcPr>
            <w:tcW w:w="1086" w:type="dxa"/>
            <w:tcBorders>
              <w:top w:val="nil"/>
              <w:left w:val="nil"/>
              <w:bottom w:val="nil"/>
              <w:right w:val="nil"/>
            </w:tcBorders>
            <w:shd w:val="clear" w:color="auto" w:fill="auto"/>
            <w:noWrap/>
            <w:vAlign w:val="center"/>
          </w:tcPr>
          <w:p w14:paraId="74CF0998" w14:textId="77777777" w:rsidR="00681771" w:rsidRPr="00673C1F" w:rsidRDefault="00681771" w:rsidP="00A233CF">
            <w:pPr>
              <w:pStyle w:val="TableTextLeft"/>
            </w:pPr>
            <w:r w:rsidRPr="00673C1F">
              <w:rPr>
                <w:rFonts w:cs="Arial"/>
                <w:szCs w:val="16"/>
              </w:rPr>
              <w:t>Income</w:t>
            </w:r>
          </w:p>
        </w:tc>
        <w:tc>
          <w:tcPr>
            <w:tcW w:w="537" w:type="dxa"/>
            <w:tcBorders>
              <w:top w:val="nil"/>
              <w:left w:val="nil"/>
              <w:bottom w:val="nil"/>
              <w:right w:val="nil"/>
            </w:tcBorders>
            <w:shd w:val="clear" w:color="auto" w:fill="auto"/>
            <w:noWrap/>
            <w:vAlign w:val="center"/>
          </w:tcPr>
          <w:p w14:paraId="45AFF2A5" w14:textId="77777777" w:rsidR="00681771" w:rsidRPr="00673C1F" w:rsidRDefault="00681771" w:rsidP="00A233CF">
            <w:pPr>
              <w:pStyle w:val="TableTextLeft"/>
            </w:pPr>
            <w:r w:rsidRPr="00673C1F">
              <w:rPr>
                <w:rFonts w:cs="Arial"/>
                <w:szCs w:val="16"/>
              </w:rPr>
              <w:t>B81</w:t>
            </w:r>
          </w:p>
        </w:tc>
        <w:tc>
          <w:tcPr>
            <w:tcW w:w="3620" w:type="dxa"/>
            <w:tcBorders>
              <w:top w:val="nil"/>
              <w:left w:val="nil"/>
              <w:bottom w:val="nil"/>
              <w:right w:val="nil"/>
            </w:tcBorders>
            <w:shd w:val="clear" w:color="auto" w:fill="auto"/>
            <w:vAlign w:val="center"/>
          </w:tcPr>
          <w:p w14:paraId="09FC8979" w14:textId="77777777" w:rsidR="00681771" w:rsidRPr="00673C1F" w:rsidRDefault="00681771" w:rsidP="00A233CF">
            <w:pPr>
              <w:pStyle w:val="TableTextLeft"/>
            </w:pPr>
            <w:r w:rsidRPr="00673C1F">
              <w:rPr>
                <w:rFonts w:cs="Arial"/>
                <w:szCs w:val="16"/>
              </w:rPr>
              <w:t>Accelerated depreciation for business entities</w:t>
            </w:r>
          </w:p>
        </w:tc>
        <w:tc>
          <w:tcPr>
            <w:tcW w:w="889" w:type="dxa"/>
            <w:tcBorders>
              <w:top w:val="nil"/>
              <w:left w:val="nil"/>
              <w:bottom w:val="nil"/>
              <w:right w:val="nil"/>
            </w:tcBorders>
            <w:shd w:val="clear" w:color="auto" w:fill="auto"/>
            <w:noWrap/>
            <w:vAlign w:val="center"/>
          </w:tcPr>
          <w:p w14:paraId="38329F27" w14:textId="77777777" w:rsidR="00681771" w:rsidRPr="00673C1F" w:rsidRDefault="00681771" w:rsidP="00A233CF">
            <w:pPr>
              <w:pStyle w:val="TableTextRight"/>
            </w:pPr>
            <w:r w:rsidRPr="00673C1F">
              <w:rPr>
                <w:rFonts w:cs="Arial"/>
                <w:szCs w:val="16"/>
              </w:rPr>
              <w:t>7,400</w:t>
            </w:r>
          </w:p>
        </w:tc>
        <w:tc>
          <w:tcPr>
            <w:tcW w:w="814" w:type="dxa"/>
            <w:tcBorders>
              <w:top w:val="nil"/>
              <w:left w:val="nil"/>
              <w:bottom w:val="nil"/>
              <w:right w:val="nil"/>
            </w:tcBorders>
            <w:shd w:val="clear" w:color="auto" w:fill="auto"/>
            <w:vAlign w:val="center"/>
          </w:tcPr>
          <w:p w14:paraId="09107DDA" w14:textId="77777777" w:rsidR="00681771" w:rsidRPr="00673C1F" w:rsidRDefault="00681771" w:rsidP="00A233CF">
            <w:pPr>
              <w:pStyle w:val="TableTextRight"/>
            </w:pPr>
            <w:r w:rsidRPr="00673C1F">
              <w:rPr>
                <w:rFonts w:cs="Arial"/>
                <w:szCs w:val="16"/>
              </w:rPr>
              <w:t>NA</w:t>
            </w:r>
          </w:p>
        </w:tc>
        <w:tc>
          <w:tcPr>
            <w:tcW w:w="850" w:type="dxa"/>
            <w:tcBorders>
              <w:top w:val="nil"/>
              <w:left w:val="nil"/>
              <w:bottom w:val="nil"/>
              <w:right w:val="nil"/>
            </w:tcBorders>
            <w:shd w:val="clear" w:color="auto" w:fill="auto"/>
            <w:noWrap/>
            <w:vAlign w:val="center"/>
          </w:tcPr>
          <w:p w14:paraId="58B8D023" w14:textId="77777777" w:rsidR="00681771" w:rsidRPr="00673C1F" w:rsidRDefault="00681771" w:rsidP="00A233CF">
            <w:pPr>
              <w:pStyle w:val="TableTextRight"/>
            </w:pPr>
            <w:r w:rsidRPr="00673C1F">
              <w:rPr>
                <w:rFonts w:cs="Arial"/>
                <w:szCs w:val="16"/>
              </w:rPr>
              <w:t>NA</w:t>
            </w:r>
          </w:p>
        </w:tc>
      </w:tr>
      <w:tr w:rsidR="00681771" w:rsidRPr="00BD68BD" w14:paraId="2927BE1F" w14:textId="77777777" w:rsidTr="00254FB2">
        <w:trPr>
          <w:trHeight w:val="23"/>
        </w:trPr>
        <w:tc>
          <w:tcPr>
            <w:tcW w:w="1086" w:type="dxa"/>
            <w:tcBorders>
              <w:top w:val="nil"/>
              <w:left w:val="nil"/>
              <w:bottom w:val="nil"/>
              <w:right w:val="nil"/>
            </w:tcBorders>
            <w:shd w:val="clear" w:color="auto" w:fill="auto"/>
            <w:noWrap/>
            <w:vAlign w:val="center"/>
          </w:tcPr>
          <w:p w14:paraId="6CBC0C90" w14:textId="77777777" w:rsidR="00681771" w:rsidRPr="00673C1F" w:rsidRDefault="00681771" w:rsidP="00A233CF">
            <w:pPr>
              <w:pStyle w:val="TableTextLeft"/>
            </w:pPr>
            <w:r w:rsidRPr="00673C1F">
              <w:rPr>
                <w:rFonts w:cs="Arial"/>
                <w:szCs w:val="16"/>
              </w:rPr>
              <w:t>GST</w:t>
            </w:r>
          </w:p>
        </w:tc>
        <w:tc>
          <w:tcPr>
            <w:tcW w:w="537" w:type="dxa"/>
            <w:tcBorders>
              <w:top w:val="nil"/>
              <w:left w:val="nil"/>
              <w:bottom w:val="nil"/>
              <w:right w:val="nil"/>
            </w:tcBorders>
            <w:shd w:val="clear" w:color="auto" w:fill="auto"/>
            <w:noWrap/>
            <w:vAlign w:val="center"/>
          </w:tcPr>
          <w:p w14:paraId="053AE8E0" w14:textId="77777777" w:rsidR="00681771" w:rsidRPr="00673C1F" w:rsidRDefault="00681771" w:rsidP="00A233CF">
            <w:pPr>
              <w:pStyle w:val="TableTextLeft"/>
            </w:pPr>
            <w:r w:rsidRPr="00673C1F">
              <w:rPr>
                <w:rFonts w:cs="Arial"/>
                <w:szCs w:val="16"/>
              </w:rPr>
              <w:t>H17</w:t>
            </w:r>
          </w:p>
        </w:tc>
        <w:tc>
          <w:tcPr>
            <w:tcW w:w="3620" w:type="dxa"/>
            <w:tcBorders>
              <w:top w:val="nil"/>
              <w:left w:val="nil"/>
              <w:bottom w:val="nil"/>
              <w:right w:val="nil"/>
            </w:tcBorders>
            <w:shd w:val="clear" w:color="auto" w:fill="auto"/>
            <w:vAlign w:val="center"/>
          </w:tcPr>
          <w:p w14:paraId="400496E4" w14:textId="77777777" w:rsidR="00681771" w:rsidRPr="00673C1F" w:rsidRDefault="00681771" w:rsidP="00A233CF">
            <w:pPr>
              <w:pStyle w:val="TableTextLeft"/>
            </w:pPr>
            <w:r w:rsidRPr="00673C1F">
              <w:rPr>
                <w:rFonts w:cs="Arial"/>
                <w:szCs w:val="16"/>
              </w:rPr>
              <w:t>Health – medical and health services</w:t>
            </w:r>
          </w:p>
        </w:tc>
        <w:tc>
          <w:tcPr>
            <w:tcW w:w="889" w:type="dxa"/>
            <w:tcBorders>
              <w:top w:val="nil"/>
              <w:left w:val="nil"/>
              <w:bottom w:val="nil"/>
              <w:right w:val="nil"/>
            </w:tcBorders>
            <w:shd w:val="clear" w:color="auto" w:fill="auto"/>
            <w:noWrap/>
            <w:vAlign w:val="center"/>
          </w:tcPr>
          <w:p w14:paraId="0B1D878B" w14:textId="77777777" w:rsidR="00681771" w:rsidRPr="00673C1F" w:rsidRDefault="00681771" w:rsidP="00A233CF">
            <w:pPr>
              <w:pStyle w:val="TableTextRight"/>
            </w:pPr>
            <w:r w:rsidRPr="00673C1F">
              <w:rPr>
                <w:rFonts w:cs="Arial"/>
                <w:szCs w:val="16"/>
              </w:rPr>
              <w:t>5,400</w:t>
            </w:r>
          </w:p>
        </w:tc>
        <w:tc>
          <w:tcPr>
            <w:tcW w:w="814" w:type="dxa"/>
            <w:tcBorders>
              <w:top w:val="nil"/>
              <w:left w:val="nil"/>
              <w:bottom w:val="nil"/>
              <w:right w:val="nil"/>
            </w:tcBorders>
            <w:shd w:val="clear" w:color="auto" w:fill="auto"/>
            <w:vAlign w:val="center"/>
          </w:tcPr>
          <w:p w14:paraId="06E58364" w14:textId="77777777" w:rsidR="00681771" w:rsidRPr="00673C1F" w:rsidRDefault="00681771" w:rsidP="00A233CF">
            <w:pPr>
              <w:pStyle w:val="TableTextRight"/>
            </w:pPr>
            <w:r w:rsidRPr="00673C1F">
              <w:rPr>
                <w:rFonts w:cs="Arial"/>
                <w:szCs w:val="16"/>
              </w:rPr>
              <w:t>8.9</w:t>
            </w:r>
          </w:p>
        </w:tc>
        <w:tc>
          <w:tcPr>
            <w:tcW w:w="850" w:type="dxa"/>
            <w:tcBorders>
              <w:top w:val="nil"/>
              <w:left w:val="nil"/>
              <w:bottom w:val="nil"/>
              <w:right w:val="nil"/>
            </w:tcBorders>
            <w:shd w:val="clear" w:color="auto" w:fill="auto"/>
            <w:noWrap/>
            <w:vAlign w:val="center"/>
          </w:tcPr>
          <w:p w14:paraId="2DEE4708" w14:textId="77777777" w:rsidR="00681771" w:rsidRPr="00673C1F" w:rsidRDefault="00681771" w:rsidP="00A233CF">
            <w:pPr>
              <w:pStyle w:val="TableTextRight"/>
            </w:pPr>
            <w:r w:rsidRPr="00673C1F">
              <w:rPr>
                <w:rFonts w:cs="Arial"/>
                <w:szCs w:val="16"/>
              </w:rPr>
              <w:t>5.8</w:t>
            </w:r>
          </w:p>
        </w:tc>
      </w:tr>
      <w:tr w:rsidR="00681771" w:rsidRPr="00BD68BD" w14:paraId="3F44F4F2" w14:textId="77777777" w:rsidTr="00254FB2">
        <w:trPr>
          <w:trHeight w:val="23"/>
        </w:trPr>
        <w:tc>
          <w:tcPr>
            <w:tcW w:w="1086" w:type="dxa"/>
            <w:tcBorders>
              <w:top w:val="nil"/>
              <w:left w:val="nil"/>
              <w:bottom w:val="nil"/>
              <w:right w:val="nil"/>
            </w:tcBorders>
            <w:shd w:val="clear" w:color="auto" w:fill="auto"/>
            <w:noWrap/>
            <w:vAlign w:val="center"/>
          </w:tcPr>
          <w:p w14:paraId="74B57849" w14:textId="77777777" w:rsidR="00681771" w:rsidRPr="00673C1F" w:rsidRDefault="00681771" w:rsidP="00A233CF">
            <w:pPr>
              <w:pStyle w:val="TableTextLeft"/>
            </w:pPr>
            <w:r w:rsidRPr="00673C1F">
              <w:rPr>
                <w:rFonts w:cs="Arial"/>
                <w:szCs w:val="16"/>
              </w:rPr>
              <w:t>GST</w:t>
            </w:r>
          </w:p>
        </w:tc>
        <w:tc>
          <w:tcPr>
            <w:tcW w:w="537" w:type="dxa"/>
            <w:tcBorders>
              <w:top w:val="nil"/>
              <w:left w:val="nil"/>
              <w:bottom w:val="nil"/>
              <w:right w:val="nil"/>
            </w:tcBorders>
            <w:shd w:val="clear" w:color="auto" w:fill="auto"/>
            <w:noWrap/>
            <w:vAlign w:val="center"/>
          </w:tcPr>
          <w:p w14:paraId="70D47E3B" w14:textId="77777777" w:rsidR="00681771" w:rsidRPr="00673C1F" w:rsidRDefault="00681771" w:rsidP="00A233CF">
            <w:pPr>
              <w:pStyle w:val="TableTextLeft"/>
            </w:pPr>
            <w:r w:rsidRPr="00673C1F">
              <w:rPr>
                <w:rFonts w:cs="Arial"/>
                <w:szCs w:val="16"/>
              </w:rPr>
              <w:t>H2</w:t>
            </w:r>
          </w:p>
        </w:tc>
        <w:tc>
          <w:tcPr>
            <w:tcW w:w="3620" w:type="dxa"/>
            <w:tcBorders>
              <w:top w:val="nil"/>
              <w:left w:val="nil"/>
              <w:bottom w:val="nil"/>
              <w:right w:val="nil"/>
            </w:tcBorders>
            <w:shd w:val="clear" w:color="auto" w:fill="auto"/>
            <w:vAlign w:val="center"/>
          </w:tcPr>
          <w:p w14:paraId="22FB8510" w14:textId="77777777" w:rsidR="00681771" w:rsidRPr="00673C1F" w:rsidRDefault="00681771" w:rsidP="00A233CF">
            <w:pPr>
              <w:pStyle w:val="TableTextLeft"/>
            </w:pPr>
            <w:r w:rsidRPr="00673C1F">
              <w:rPr>
                <w:rFonts w:cs="Arial"/>
                <w:szCs w:val="16"/>
              </w:rPr>
              <w:t>Financial supplies – input taxed treatment</w:t>
            </w:r>
          </w:p>
        </w:tc>
        <w:tc>
          <w:tcPr>
            <w:tcW w:w="889" w:type="dxa"/>
            <w:tcBorders>
              <w:top w:val="nil"/>
              <w:left w:val="nil"/>
              <w:bottom w:val="nil"/>
              <w:right w:val="nil"/>
            </w:tcBorders>
            <w:shd w:val="clear" w:color="auto" w:fill="auto"/>
            <w:noWrap/>
            <w:vAlign w:val="center"/>
          </w:tcPr>
          <w:p w14:paraId="262C7262" w14:textId="77777777" w:rsidR="00681771" w:rsidRPr="00673C1F" w:rsidRDefault="00681771" w:rsidP="00A233CF">
            <w:pPr>
              <w:pStyle w:val="TableTextRight"/>
            </w:pPr>
            <w:r w:rsidRPr="00673C1F">
              <w:rPr>
                <w:rFonts w:cs="Arial"/>
                <w:szCs w:val="16"/>
              </w:rPr>
              <w:t>4,850</w:t>
            </w:r>
          </w:p>
        </w:tc>
        <w:tc>
          <w:tcPr>
            <w:tcW w:w="814" w:type="dxa"/>
            <w:tcBorders>
              <w:top w:val="nil"/>
              <w:left w:val="nil"/>
              <w:bottom w:val="nil"/>
              <w:right w:val="nil"/>
            </w:tcBorders>
            <w:shd w:val="clear" w:color="auto" w:fill="auto"/>
            <w:vAlign w:val="center"/>
          </w:tcPr>
          <w:p w14:paraId="122CDC97" w14:textId="77777777" w:rsidR="00681771" w:rsidRPr="00673C1F" w:rsidRDefault="00681771" w:rsidP="00A233CF">
            <w:pPr>
              <w:pStyle w:val="TableTextRight"/>
            </w:pPr>
            <w:r w:rsidRPr="00673C1F">
              <w:rPr>
                <w:rFonts w:cs="Arial"/>
                <w:szCs w:val="16"/>
              </w:rPr>
              <w:t>10.2</w:t>
            </w:r>
          </w:p>
        </w:tc>
        <w:tc>
          <w:tcPr>
            <w:tcW w:w="850" w:type="dxa"/>
            <w:tcBorders>
              <w:top w:val="nil"/>
              <w:left w:val="nil"/>
              <w:bottom w:val="nil"/>
              <w:right w:val="nil"/>
            </w:tcBorders>
            <w:shd w:val="clear" w:color="auto" w:fill="auto"/>
            <w:noWrap/>
            <w:vAlign w:val="center"/>
          </w:tcPr>
          <w:p w14:paraId="5E174F2A" w14:textId="77777777" w:rsidR="00681771" w:rsidRPr="00673C1F" w:rsidRDefault="00681771" w:rsidP="00A233CF">
            <w:pPr>
              <w:pStyle w:val="TableTextRight"/>
            </w:pPr>
            <w:r w:rsidRPr="00673C1F">
              <w:rPr>
                <w:rFonts w:cs="Arial"/>
                <w:szCs w:val="16"/>
              </w:rPr>
              <w:t>7.9</w:t>
            </w:r>
          </w:p>
        </w:tc>
      </w:tr>
      <w:tr w:rsidR="00681771" w:rsidRPr="00BD68BD" w14:paraId="3958ADDA" w14:textId="77777777" w:rsidTr="00254FB2">
        <w:trPr>
          <w:trHeight w:val="23"/>
        </w:trPr>
        <w:tc>
          <w:tcPr>
            <w:tcW w:w="1086" w:type="dxa"/>
            <w:tcBorders>
              <w:top w:val="nil"/>
              <w:left w:val="nil"/>
              <w:bottom w:val="nil"/>
              <w:right w:val="nil"/>
            </w:tcBorders>
            <w:shd w:val="clear" w:color="auto" w:fill="auto"/>
            <w:noWrap/>
            <w:vAlign w:val="center"/>
          </w:tcPr>
          <w:p w14:paraId="5375B6F6" w14:textId="77777777" w:rsidR="00681771" w:rsidRPr="00673C1F" w:rsidRDefault="00681771" w:rsidP="00A233CF">
            <w:pPr>
              <w:pStyle w:val="TableTextLeft"/>
            </w:pPr>
            <w:r w:rsidRPr="00673C1F">
              <w:rPr>
                <w:rFonts w:cs="Arial"/>
                <w:szCs w:val="16"/>
              </w:rPr>
              <w:t>GST</w:t>
            </w:r>
          </w:p>
        </w:tc>
        <w:tc>
          <w:tcPr>
            <w:tcW w:w="537" w:type="dxa"/>
            <w:tcBorders>
              <w:top w:val="nil"/>
              <w:left w:val="nil"/>
              <w:bottom w:val="nil"/>
              <w:right w:val="nil"/>
            </w:tcBorders>
            <w:shd w:val="clear" w:color="auto" w:fill="auto"/>
            <w:noWrap/>
            <w:vAlign w:val="center"/>
          </w:tcPr>
          <w:p w14:paraId="65F8ED68" w14:textId="77777777" w:rsidR="00681771" w:rsidRPr="00673C1F" w:rsidRDefault="00681771" w:rsidP="00A233CF">
            <w:pPr>
              <w:pStyle w:val="TableTextLeft"/>
            </w:pPr>
            <w:r w:rsidRPr="00673C1F">
              <w:rPr>
                <w:rFonts w:cs="Arial"/>
                <w:szCs w:val="16"/>
              </w:rPr>
              <w:t>H14</w:t>
            </w:r>
          </w:p>
        </w:tc>
        <w:tc>
          <w:tcPr>
            <w:tcW w:w="3620" w:type="dxa"/>
            <w:tcBorders>
              <w:top w:val="nil"/>
              <w:left w:val="nil"/>
              <w:bottom w:val="nil"/>
              <w:right w:val="nil"/>
            </w:tcBorders>
            <w:shd w:val="clear" w:color="auto" w:fill="auto"/>
            <w:vAlign w:val="center"/>
          </w:tcPr>
          <w:p w14:paraId="19B89A28" w14:textId="77777777" w:rsidR="00681771" w:rsidRPr="00673C1F" w:rsidRDefault="00681771" w:rsidP="00A233CF">
            <w:pPr>
              <w:pStyle w:val="TableTextLeft"/>
            </w:pPr>
            <w:r w:rsidRPr="00673C1F">
              <w:rPr>
                <w:rFonts w:cs="Arial"/>
                <w:szCs w:val="16"/>
              </w:rPr>
              <w:t>Education</w:t>
            </w:r>
          </w:p>
        </w:tc>
        <w:tc>
          <w:tcPr>
            <w:tcW w:w="889" w:type="dxa"/>
            <w:tcBorders>
              <w:top w:val="nil"/>
              <w:left w:val="nil"/>
              <w:bottom w:val="nil"/>
              <w:right w:val="nil"/>
            </w:tcBorders>
            <w:shd w:val="clear" w:color="auto" w:fill="auto"/>
            <w:noWrap/>
            <w:vAlign w:val="center"/>
          </w:tcPr>
          <w:p w14:paraId="59FEAF2C" w14:textId="77777777" w:rsidR="00681771" w:rsidRPr="00673C1F" w:rsidRDefault="00681771" w:rsidP="00A233CF">
            <w:pPr>
              <w:pStyle w:val="TableTextRight"/>
            </w:pPr>
            <w:r w:rsidRPr="00673C1F">
              <w:rPr>
                <w:rFonts w:cs="Arial"/>
                <w:szCs w:val="16"/>
              </w:rPr>
              <w:t>4,100</w:t>
            </w:r>
          </w:p>
        </w:tc>
        <w:tc>
          <w:tcPr>
            <w:tcW w:w="814" w:type="dxa"/>
            <w:tcBorders>
              <w:top w:val="nil"/>
              <w:left w:val="nil"/>
              <w:bottom w:val="nil"/>
              <w:right w:val="nil"/>
            </w:tcBorders>
            <w:shd w:val="clear" w:color="auto" w:fill="auto"/>
            <w:vAlign w:val="center"/>
          </w:tcPr>
          <w:p w14:paraId="1A92FF22" w14:textId="77777777" w:rsidR="00681771" w:rsidRPr="00673C1F" w:rsidRDefault="00681771" w:rsidP="00A233CF">
            <w:pPr>
              <w:pStyle w:val="TableTextRight"/>
            </w:pPr>
            <w:r w:rsidRPr="00673C1F">
              <w:rPr>
                <w:rFonts w:cs="Arial"/>
                <w:szCs w:val="16"/>
              </w:rPr>
              <w:t>5.1</w:t>
            </w:r>
          </w:p>
        </w:tc>
        <w:tc>
          <w:tcPr>
            <w:tcW w:w="850" w:type="dxa"/>
            <w:tcBorders>
              <w:top w:val="nil"/>
              <w:left w:val="nil"/>
              <w:bottom w:val="nil"/>
              <w:right w:val="nil"/>
            </w:tcBorders>
            <w:shd w:val="clear" w:color="auto" w:fill="auto"/>
            <w:noWrap/>
            <w:vAlign w:val="center"/>
          </w:tcPr>
          <w:p w14:paraId="14526E28" w14:textId="77777777" w:rsidR="00681771" w:rsidRPr="00673C1F" w:rsidRDefault="00681771" w:rsidP="00A233CF">
            <w:pPr>
              <w:pStyle w:val="TableTextRight"/>
            </w:pPr>
            <w:r w:rsidRPr="00673C1F">
              <w:rPr>
                <w:rFonts w:cs="Arial"/>
                <w:szCs w:val="16"/>
              </w:rPr>
              <w:t>4.2</w:t>
            </w:r>
          </w:p>
        </w:tc>
      </w:tr>
      <w:tr w:rsidR="00681771" w:rsidRPr="00BD68BD" w14:paraId="1BD54393" w14:textId="77777777" w:rsidTr="00254FB2">
        <w:trPr>
          <w:trHeight w:val="23"/>
        </w:trPr>
        <w:tc>
          <w:tcPr>
            <w:tcW w:w="1086" w:type="dxa"/>
            <w:tcBorders>
              <w:top w:val="nil"/>
              <w:left w:val="nil"/>
              <w:bottom w:val="nil"/>
              <w:right w:val="nil"/>
            </w:tcBorders>
            <w:shd w:val="clear" w:color="auto" w:fill="auto"/>
            <w:noWrap/>
            <w:vAlign w:val="center"/>
          </w:tcPr>
          <w:p w14:paraId="1A125C50" w14:textId="77777777" w:rsidR="00681771" w:rsidRPr="00673C1F" w:rsidRDefault="00681771" w:rsidP="00A233CF">
            <w:pPr>
              <w:pStyle w:val="TableTextLeft"/>
              <w:rPr>
                <w:rFonts w:cs="Arial"/>
                <w:szCs w:val="16"/>
              </w:rPr>
            </w:pPr>
            <w:r w:rsidRPr="00673C1F">
              <w:rPr>
                <w:rFonts w:cs="Arial"/>
                <w:szCs w:val="16"/>
              </w:rPr>
              <w:t>Income</w:t>
            </w:r>
          </w:p>
        </w:tc>
        <w:tc>
          <w:tcPr>
            <w:tcW w:w="537" w:type="dxa"/>
            <w:tcBorders>
              <w:top w:val="nil"/>
              <w:left w:val="nil"/>
              <w:bottom w:val="nil"/>
              <w:right w:val="nil"/>
            </w:tcBorders>
            <w:shd w:val="clear" w:color="auto" w:fill="auto"/>
            <w:noWrap/>
            <w:vAlign w:val="center"/>
          </w:tcPr>
          <w:p w14:paraId="4D6C33EA" w14:textId="77777777" w:rsidR="00681771" w:rsidRPr="00673C1F" w:rsidRDefault="00681771" w:rsidP="00A233CF">
            <w:pPr>
              <w:pStyle w:val="TableTextLeft"/>
              <w:rPr>
                <w:rFonts w:cs="Arial"/>
                <w:szCs w:val="16"/>
              </w:rPr>
            </w:pPr>
            <w:r w:rsidRPr="00673C1F">
              <w:rPr>
                <w:rFonts w:cs="Arial"/>
                <w:szCs w:val="16"/>
              </w:rPr>
              <w:t>A57</w:t>
            </w:r>
          </w:p>
        </w:tc>
        <w:tc>
          <w:tcPr>
            <w:tcW w:w="3620" w:type="dxa"/>
            <w:tcBorders>
              <w:top w:val="nil"/>
              <w:left w:val="nil"/>
              <w:bottom w:val="nil"/>
              <w:right w:val="nil"/>
            </w:tcBorders>
            <w:shd w:val="clear" w:color="auto" w:fill="auto"/>
            <w:vAlign w:val="center"/>
          </w:tcPr>
          <w:p w14:paraId="4B108374" w14:textId="77777777" w:rsidR="00681771" w:rsidRPr="00673C1F" w:rsidRDefault="00681771" w:rsidP="00A233CF">
            <w:pPr>
              <w:pStyle w:val="TableTextLeft"/>
              <w:rPr>
                <w:rFonts w:cs="Arial"/>
                <w:szCs w:val="16"/>
              </w:rPr>
            </w:pPr>
            <w:r w:rsidRPr="00673C1F">
              <w:rPr>
                <w:rFonts w:cs="Arial"/>
                <w:szCs w:val="16"/>
              </w:rPr>
              <w:t>Philanthropy – deduction for gifts to deductible gift recipients</w:t>
            </w:r>
          </w:p>
        </w:tc>
        <w:tc>
          <w:tcPr>
            <w:tcW w:w="889" w:type="dxa"/>
            <w:tcBorders>
              <w:top w:val="nil"/>
              <w:left w:val="nil"/>
              <w:bottom w:val="nil"/>
              <w:right w:val="nil"/>
            </w:tcBorders>
            <w:shd w:val="clear" w:color="auto" w:fill="auto"/>
            <w:noWrap/>
            <w:vAlign w:val="center"/>
          </w:tcPr>
          <w:p w14:paraId="538FE51D" w14:textId="77777777" w:rsidR="00681771" w:rsidRPr="00673C1F" w:rsidRDefault="00681771" w:rsidP="00A233CF">
            <w:pPr>
              <w:pStyle w:val="TableTextRight"/>
              <w:rPr>
                <w:rFonts w:cs="Arial"/>
                <w:szCs w:val="16"/>
              </w:rPr>
            </w:pPr>
            <w:r w:rsidRPr="00673C1F">
              <w:rPr>
                <w:rFonts w:cs="Arial"/>
                <w:szCs w:val="16"/>
              </w:rPr>
              <w:t>3,855</w:t>
            </w:r>
          </w:p>
        </w:tc>
        <w:tc>
          <w:tcPr>
            <w:tcW w:w="814" w:type="dxa"/>
            <w:tcBorders>
              <w:top w:val="nil"/>
              <w:left w:val="nil"/>
              <w:bottom w:val="nil"/>
              <w:right w:val="nil"/>
            </w:tcBorders>
            <w:shd w:val="clear" w:color="auto" w:fill="auto"/>
            <w:vAlign w:val="center"/>
          </w:tcPr>
          <w:p w14:paraId="5255598F" w14:textId="07C44704" w:rsidR="00681771" w:rsidRPr="00673C1F" w:rsidRDefault="006D727E" w:rsidP="00A233CF">
            <w:pPr>
              <w:pStyle w:val="TableTextRight"/>
              <w:rPr>
                <w:rFonts w:cs="Arial"/>
                <w:szCs w:val="16"/>
              </w:rPr>
            </w:pPr>
            <w:r w:rsidRPr="00673C1F">
              <w:rPr>
                <w:rFonts w:cs="Arial"/>
                <w:szCs w:val="16"/>
              </w:rPr>
              <w:noBreakHyphen/>
            </w:r>
            <w:r w:rsidR="00681771" w:rsidRPr="00673C1F">
              <w:rPr>
                <w:rFonts w:cs="Arial"/>
                <w:szCs w:val="16"/>
              </w:rPr>
              <w:t>4.4</w:t>
            </w:r>
          </w:p>
        </w:tc>
        <w:tc>
          <w:tcPr>
            <w:tcW w:w="850" w:type="dxa"/>
            <w:tcBorders>
              <w:top w:val="nil"/>
              <w:left w:val="nil"/>
              <w:bottom w:val="nil"/>
              <w:right w:val="nil"/>
            </w:tcBorders>
            <w:shd w:val="clear" w:color="auto" w:fill="auto"/>
            <w:noWrap/>
            <w:vAlign w:val="center"/>
          </w:tcPr>
          <w:p w14:paraId="2F599C7D" w14:textId="618F05BF" w:rsidR="00681771" w:rsidRPr="00673C1F" w:rsidRDefault="006D727E" w:rsidP="00A233CF">
            <w:pPr>
              <w:pStyle w:val="TableTextRight"/>
              <w:rPr>
                <w:rFonts w:cs="Arial"/>
                <w:szCs w:val="16"/>
              </w:rPr>
            </w:pPr>
            <w:r w:rsidRPr="00673C1F">
              <w:rPr>
                <w:rFonts w:cs="Arial"/>
                <w:szCs w:val="16"/>
              </w:rPr>
              <w:noBreakHyphen/>
            </w:r>
            <w:r w:rsidR="00681771" w:rsidRPr="00673C1F">
              <w:rPr>
                <w:rFonts w:cs="Arial"/>
                <w:szCs w:val="16"/>
              </w:rPr>
              <w:t>2.0</w:t>
            </w:r>
          </w:p>
        </w:tc>
      </w:tr>
      <w:tr w:rsidR="00681771" w:rsidRPr="00BD68BD" w14:paraId="68773845" w14:textId="77777777" w:rsidTr="00254FB2">
        <w:trPr>
          <w:trHeight w:val="23"/>
        </w:trPr>
        <w:tc>
          <w:tcPr>
            <w:tcW w:w="1086" w:type="dxa"/>
            <w:tcBorders>
              <w:top w:val="nil"/>
              <w:left w:val="nil"/>
              <w:bottom w:val="nil"/>
              <w:right w:val="nil"/>
            </w:tcBorders>
            <w:shd w:val="clear" w:color="auto" w:fill="auto"/>
            <w:noWrap/>
            <w:vAlign w:val="center"/>
          </w:tcPr>
          <w:p w14:paraId="5F8E21E9" w14:textId="77777777" w:rsidR="00681771" w:rsidRPr="00673C1F" w:rsidRDefault="00681771" w:rsidP="00A233CF">
            <w:pPr>
              <w:pStyle w:val="TableTextLeft"/>
              <w:rPr>
                <w:rFonts w:cs="Arial"/>
                <w:szCs w:val="16"/>
              </w:rPr>
            </w:pPr>
            <w:r w:rsidRPr="00673C1F">
              <w:rPr>
                <w:rFonts w:cs="Arial"/>
                <w:szCs w:val="16"/>
              </w:rPr>
              <w:t>Income</w:t>
            </w:r>
          </w:p>
        </w:tc>
        <w:tc>
          <w:tcPr>
            <w:tcW w:w="537" w:type="dxa"/>
            <w:tcBorders>
              <w:top w:val="nil"/>
              <w:left w:val="nil"/>
              <w:bottom w:val="nil"/>
              <w:right w:val="nil"/>
            </w:tcBorders>
            <w:shd w:val="clear" w:color="auto" w:fill="auto"/>
            <w:noWrap/>
            <w:vAlign w:val="center"/>
          </w:tcPr>
          <w:p w14:paraId="6AB7DABB" w14:textId="77777777" w:rsidR="00681771" w:rsidRPr="00673C1F" w:rsidRDefault="00681771" w:rsidP="00A233CF">
            <w:pPr>
              <w:pStyle w:val="TableTextLeft"/>
              <w:rPr>
                <w:rFonts w:cs="Arial"/>
                <w:szCs w:val="16"/>
              </w:rPr>
            </w:pPr>
            <w:r w:rsidRPr="00673C1F">
              <w:rPr>
                <w:rFonts w:cs="Arial"/>
                <w:szCs w:val="16"/>
              </w:rPr>
              <w:t>B87</w:t>
            </w:r>
          </w:p>
        </w:tc>
        <w:tc>
          <w:tcPr>
            <w:tcW w:w="3620" w:type="dxa"/>
            <w:tcBorders>
              <w:top w:val="nil"/>
              <w:left w:val="nil"/>
              <w:bottom w:val="nil"/>
              <w:right w:val="nil"/>
            </w:tcBorders>
            <w:shd w:val="clear" w:color="auto" w:fill="auto"/>
            <w:vAlign w:val="center"/>
          </w:tcPr>
          <w:p w14:paraId="2A4F3823" w14:textId="77777777" w:rsidR="00681771" w:rsidRPr="00673C1F" w:rsidRDefault="00681771" w:rsidP="00A233CF">
            <w:pPr>
              <w:pStyle w:val="TableTextLeft"/>
              <w:rPr>
                <w:rFonts w:cs="Arial"/>
                <w:szCs w:val="16"/>
              </w:rPr>
            </w:pPr>
            <w:r w:rsidRPr="00673C1F">
              <w:rPr>
                <w:rFonts w:cs="Arial"/>
                <w:szCs w:val="16"/>
              </w:rPr>
              <w:t>Simplified depreciation rules</w:t>
            </w:r>
          </w:p>
        </w:tc>
        <w:tc>
          <w:tcPr>
            <w:tcW w:w="889" w:type="dxa"/>
            <w:tcBorders>
              <w:top w:val="nil"/>
              <w:left w:val="nil"/>
              <w:bottom w:val="nil"/>
              <w:right w:val="nil"/>
            </w:tcBorders>
            <w:shd w:val="clear" w:color="auto" w:fill="auto"/>
            <w:noWrap/>
            <w:vAlign w:val="center"/>
          </w:tcPr>
          <w:p w14:paraId="3C296863" w14:textId="77777777" w:rsidR="00681771" w:rsidRPr="00673C1F" w:rsidRDefault="00681771" w:rsidP="00A233CF">
            <w:pPr>
              <w:pStyle w:val="TableTextRight"/>
              <w:rPr>
                <w:rFonts w:cs="Arial"/>
                <w:szCs w:val="16"/>
              </w:rPr>
            </w:pPr>
            <w:r w:rsidRPr="00673C1F">
              <w:rPr>
                <w:rFonts w:cs="Arial"/>
                <w:szCs w:val="16"/>
              </w:rPr>
              <w:t>3,800</w:t>
            </w:r>
          </w:p>
        </w:tc>
        <w:tc>
          <w:tcPr>
            <w:tcW w:w="814" w:type="dxa"/>
            <w:tcBorders>
              <w:top w:val="nil"/>
              <w:left w:val="nil"/>
              <w:bottom w:val="nil"/>
              <w:right w:val="nil"/>
            </w:tcBorders>
            <w:shd w:val="clear" w:color="auto" w:fill="auto"/>
            <w:vAlign w:val="center"/>
          </w:tcPr>
          <w:p w14:paraId="1B96775B" w14:textId="77777777" w:rsidR="00681771" w:rsidRPr="00673C1F" w:rsidRDefault="00681771" w:rsidP="00A233CF">
            <w:pPr>
              <w:pStyle w:val="TableTextRight"/>
              <w:rPr>
                <w:rFonts w:cs="Arial"/>
                <w:szCs w:val="16"/>
              </w:rPr>
            </w:pPr>
            <w:r w:rsidRPr="00673C1F">
              <w:rPr>
                <w:rFonts w:cs="Arial"/>
                <w:szCs w:val="16"/>
              </w:rPr>
              <w:t>165.3</w:t>
            </w:r>
          </w:p>
        </w:tc>
        <w:tc>
          <w:tcPr>
            <w:tcW w:w="850" w:type="dxa"/>
            <w:tcBorders>
              <w:top w:val="nil"/>
              <w:left w:val="nil"/>
              <w:bottom w:val="nil"/>
              <w:right w:val="nil"/>
            </w:tcBorders>
            <w:shd w:val="clear" w:color="auto" w:fill="auto"/>
            <w:noWrap/>
            <w:vAlign w:val="center"/>
          </w:tcPr>
          <w:p w14:paraId="766DAC48" w14:textId="77777777" w:rsidR="00681771" w:rsidRPr="00673C1F" w:rsidRDefault="00681771" w:rsidP="00A233CF">
            <w:pPr>
              <w:pStyle w:val="TableTextRight"/>
              <w:rPr>
                <w:rFonts w:cs="Arial"/>
                <w:szCs w:val="16"/>
              </w:rPr>
            </w:pPr>
            <w:r w:rsidRPr="00673C1F">
              <w:rPr>
                <w:rFonts w:cs="Arial"/>
                <w:szCs w:val="16"/>
              </w:rPr>
              <w:t>NA</w:t>
            </w:r>
          </w:p>
        </w:tc>
      </w:tr>
      <w:tr w:rsidR="00681771" w:rsidRPr="00BD68BD" w14:paraId="00011991" w14:textId="77777777" w:rsidTr="00254FB2">
        <w:trPr>
          <w:trHeight w:val="23"/>
        </w:trPr>
        <w:tc>
          <w:tcPr>
            <w:tcW w:w="1086" w:type="dxa"/>
            <w:tcBorders>
              <w:top w:val="nil"/>
              <w:left w:val="nil"/>
              <w:bottom w:val="nil"/>
              <w:right w:val="nil"/>
            </w:tcBorders>
            <w:shd w:val="clear" w:color="auto" w:fill="auto"/>
            <w:noWrap/>
            <w:vAlign w:val="center"/>
          </w:tcPr>
          <w:p w14:paraId="40B6A17B" w14:textId="77777777" w:rsidR="00681771" w:rsidRPr="00673C1F" w:rsidRDefault="00681771" w:rsidP="00A233CF">
            <w:pPr>
              <w:pStyle w:val="TableTextLeft"/>
              <w:rPr>
                <w:rFonts w:cs="Arial"/>
                <w:szCs w:val="16"/>
              </w:rPr>
            </w:pPr>
            <w:r w:rsidRPr="00673C1F">
              <w:rPr>
                <w:rFonts w:cs="Arial"/>
                <w:szCs w:val="16"/>
              </w:rPr>
              <w:t>Income</w:t>
            </w:r>
          </w:p>
        </w:tc>
        <w:tc>
          <w:tcPr>
            <w:tcW w:w="537" w:type="dxa"/>
            <w:tcBorders>
              <w:top w:val="nil"/>
              <w:left w:val="nil"/>
              <w:bottom w:val="nil"/>
              <w:right w:val="nil"/>
            </w:tcBorders>
            <w:shd w:val="clear" w:color="auto" w:fill="auto"/>
            <w:noWrap/>
            <w:vAlign w:val="center"/>
          </w:tcPr>
          <w:p w14:paraId="395DD389" w14:textId="77777777" w:rsidR="00681771" w:rsidRPr="00673C1F" w:rsidRDefault="00681771" w:rsidP="00A233CF">
            <w:pPr>
              <w:pStyle w:val="TableTextLeft"/>
              <w:rPr>
                <w:rFonts w:cs="Arial"/>
                <w:szCs w:val="16"/>
              </w:rPr>
            </w:pPr>
            <w:r w:rsidRPr="00673C1F">
              <w:rPr>
                <w:rFonts w:cs="Arial"/>
                <w:szCs w:val="16"/>
              </w:rPr>
              <w:t>A27</w:t>
            </w:r>
          </w:p>
        </w:tc>
        <w:tc>
          <w:tcPr>
            <w:tcW w:w="3620" w:type="dxa"/>
            <w:tcBorders>
              <w:top w:val="nil"/>
              <w:left w:val="nil"/>
              <w:bottom w:val="nil"/>
              <w:right w:val="nil"/>
            </w:tcBorders>
            <w:shd w:val="clear" w:color="auto" w:fill="auto"/>
            <w:vAlign w:val="center"/>
          </w:tcPr>
          <w:p w14:paraId="5F88FF2A" w14:textId="77777777" w:rsidR="00681771" w:rsidRPr="00673C1F" w:rsidRDefault="00681771" w:rsidP="00A233CF">
            <w:pPr>
              <w:pStyle w:val="TableTextLeft"/>
              <w:rPr>
                <w:rFonts w:cs="Arial"/>
                <w:szCs w:val="16"/>
              </w:rPr>
            </w:pPr>
            <w:r w:rsidRPr="00673C1F">
              <w:rPr>
                <w:rFonts w:cs="Arial"/>
                <w:szCs w:val="16"/>
              </w:rPr>
              <w:t>Exemption of Child Care Assistance payments</w:t>
            </w:r>
          </w:p>
        </w:tc>
        <w:tc>
          <w:tcPr>
            <w:tcW w:w="889" w:type="dxa"/>
            <w:tcBorders>
              <w:top w:val="nil"/>
              <w:left w:val="nil"/>
              <w:bottom w:val="nil"/>
              <w:right w:val="nil"/>
            </w:tcBorders>
            <w:shd w:val="clear" w:color="auto" w:fill="auto"/>
            <w:noWrap/>
            <w:vAlign w:val="center"/>
          </w:tcPr>
          <w:p w14:paraId="25B1EAA4" w14:textId="77777777" w:rsidR="00681771" w:rsidRPr="00673C1F" w:rsidRDefault="00681771" w:rsidP="00A233CF">
            <w:pPr>
              <w:pStyle w:val="TableTextRight"/>
              <w:rPr>
                <w:rFonts w:cs="Arial"/>
                <w:szCs w:val="16"/>
              </w:rPr>
            </w:pPr>
            <w:r w:rsidRPr="00673C1F">
              <w:rPr>
                <w:rFonts w:cs="Arial"/>
                <w:szCs w:val="16"/>
              </w:rPr>
              <w:t>3,750</w:t>
            </w:r>
          </w:p>
        </w:tc>
        <w:tc>
          <w:tcPr>
            <w:tcW w:w="814" w:type="dxa"/>
            <w:tcBorders>
              <w:top w:val="nil"/>
              <w:left w:val="nil"/>
              <w:bottom w:val="nil"/>
              <w:right w:val="nil"/>
            </w:tcBorders>
            <w:shd w:val="clear" w:color="auto" w:fill="auto"/>
            <w:vAlign w:val="center"/>
          </w:tcPr>
          <w:p w14:paraId="35835D23" w14:textId="77777777" w:rsidR="00681771" w:rsidRPr="00673C1F" w:rsidRDefault="00681771" w:rsidP="00A233CF">
            <w:pPr>
              <w:pStyle w:val="TableTextRight"/>
              <w:rPr>
                <w:rFonts w:cs="Arial"/>
                <w:szCs w:val="16"/>
              </w:rPr>
            </w:pPr>
            <w:r w:rsidRPr="00673C1F">
              <w:rPr>
                <w:rFonts w:cs="Arial"/>
                <w:szCs w:val="16"/>
              </w:rPr>
              <w:t>15.7</w:t>
            </w:r>
          </w:p>
        </w:tc>
        <w:tc>
          <w:tcPr>
            <w:tcW w:w="850" w:type="dxa"/>
            <w:tcBorders>
              <w:top w:val="nil"/>
              <w:left w:val="nil"/>
              <w:bottom w:val="nil"/>
              <w:right w:val="nil"/>
            </w:tcBorders>
            <w:shd w:val="clear" w:color="auto" w:fill="auto"/>
            <w:noWrap/>
            <w:vAlign w:val="center"/>
          </w:tcPr>
          <w:p w14:paraId="0B98CD1A" w14:textId="77777777" w:rsidR="00681771" w:rsidRPr="00673C1F" w:rsidRDefault="00681771" w:rsidP="00A233CF">
            <w:pPr>
              <w:pStyle w:val="TableTextRight"/>
              <w:rPr>
                <w:rFonts w:cs="Arial"/>
                <w:szCs w:val="16"/>
              </w:rPr>
            </w:pPr>
            <w:r w:rsidRPr="00673C1F">
              <w:rPr>
                <w:rFonts w:cs="Arial"/>
                <w:szCs w:val="16"/>
              </w:rPr>
              <w:t>6.3</w:t>
            </w:r>
          </w:p>
        </w:tc>
      </w:tr>
      <w:tr w:rsidR="00681771" w:rsidRPr="00BD68BD" w14:paraId="23090330" w14:textId="77777777" w:rsidTr="00254FB2">
        <w:trPr>
          <w:trHeight w:val="23"/>
        </w:trPr>
        <w:tc>
          <w:tcPr>
            <w:tcW w:w="1086" w:type="dxa"/>
            <w:tcBorders>
              <w:top w:val="nil"/>
              <w:left w:val="nil"/>
              <w:bottom w:val="nil"/>
              <w:right w:val="nil"/>
            </w:tcBorders>
            <w:shd w:val="clear" w:color="auto" w:fill="auto"/>
            <w:noWrap/>
            <w:vAlign w:val="center"/>
          </w:tcPr>
          <w:p w14:paraId="453E8F37" w14:textId="77777777" w:rsidR="00681771" w:rsidRPr="00673C1F" w:rsidRDefault="00681771" w:rsidP="00A233CF">
            <w:pPr>
              <w:pStyle w:val="TableTextLeft"/>
              <w:rPr>
                <w:rFonts w:cs="Arial"/>
                <w:szCs w:val="16"/>
              </w:rPr>
            </w:pPr>
            <w:r w:rsidRPr="00673C1F">
              <w:rPr>
                <w:rFonts w:cs="Arial"/>
                <w:szCs w:val="16"/>
              </w:rPr>
              <w:t>Income</w:t>
            </w:r>
          </w:p>
        </w:tc>
        <w:tc>
          <w:tcPr>
            <w:tcW w:w="537" w:type="dxa"/>
            <w:tcBorders>
              <w:top w:val="nil"/>
              <w:left w:val="nil"/>
              <w:bottom w:val="nil"/>
              <w:right w:val="nil"/>
            </w:tcBorders>
            <w:shd w:val="clear" w:color="auto" w:fill="auto"/>
            <w:noWrap/>
            <w:vAlign w:val="center"/>
          </w:tcPr>
          <w:p w14:paraId="0C090C06" w14:textId="77777777" w:rsidR="00681771" w:rsidRPr="00673C1F" w:rsidRDefault="00681771" w:rsidP="00A233CF">
            <w:pPr>
              <w:pStyle w:val="TableTextLeft"/>
              <w:rPr>
                <w:rFonts w:cs="Arial"/>
                <w:szCs w:val="16"/>
              </w:rPr>
            </w:pPr>
            <w:r w:rsidRPr="00673C1F">
              <w:rPr>
                <w:rFonts w:cs="Arial"/>
                <w:szCs w:val="16"/>
              </w:rPr>
              <w:t>B62</w:t>
            </w:r>
          </w:p>
        </w:tc>
        <w:tc>
          <w:tcPr>
            <w:tcW w:w="3620" w:type="dxa"/>
            <w:tcBorders>
              <w:top w:val="nil"/>
              <w:left w:val="nil"/>
              <w:bottom w:val="nil"/>
              <w:right w:val="nil"/>
            </w:tcBorders>
            <w:shd w:val="clear" w:color="auto" w:fill="auto"/>
            <w:vAlign w:val="center"/>
          </w:tcPr>
          <w:p w14:paraId="521EF7C1" w14:textId="77777777" w:rsidR="00681771" w:rsidRPr="00673C1F" w:rsidRDefault="00681771" w:rsidP="00A233CF">
            <w:pPr>
              <w:pStyle w:val="TableTextLeft"/>
              <w:rPr>
                <w:rFonts w:cs="Arial"/>
                <w:szCs w:val="16"/>
              </w:rPr>
            </w:pPr>
            <w:r w:rsidRPr="00673C1F">
              <w:rPr>
                <w:rFonts w:cs="Arial"/>
                <w:szCs w:val="16"/>
              </w:rPr>
              <w:t>Lower tax rate for small companies</w:t>
            </w:r>
          </w:p>
        </w:tc>
        <w:tc>
          <w:tcPr>
            <w:tcW w:w="889" w:type="dxa"/>
            <w:tcBorders>
              <w:top w:val="nil"/>
              <w:left w:val="nil"/>
              <w:bottom w:val="nil"/>
              <w:right w:val="nil"/>
            </w:tcBorders>
            <w:shd w:val="clear" w:color="auto" w:fill="auto"/>
            <w:noWrap/>
            <w:vAlign w:val="center"/>
          </w:tcPr>
          <w:p w14:paraId="09137C16" w14:textId="77777777" w:rsidR="00681771" w:rsidRPr="00673C1F" w:rsidRDefault="00681771" w:rsidP="00A233CF">
            <w:pPr>
              <w:pStyle w:val="TableTextRight"/>
              <w:rPr>
                <w:rFonts w:cs="Arial"/>
                <w:szCs w:val="16"/>
              </w:rPr>
            </w:pPr>
            <w:r w:rsidRPr="00673C1F">
              <w:rPr>
                <w:rFonts w:cs="Arial"/>
                <w:szCs w:val="16"/>
              </w:rPr>
              <w:t>3,400</w:t>
            </w:r>
          </w:p>
        </w:tc>
        <w:tc>
          <w:tcPr>
            <w:tcW w:w="814" w:type="dxa"/>
            <w:tcBorders>
              <w:top w:val="nil"/>
              <w:left w:val="nil"/>
              <w:bottom w:val="nil"/>
              <w:right w:val="nil"/>
            </w:tcBorders>
            <w:shd w:val="clear" w:color="auto" w:fill="auto"/>
            <w:vAlign w:val="center"/>
          </w:tcPr>
          <w:p w14:paraId="4B8C0AB8" w14:textId="77777777" w:rsidR="00681771" w:rsidRPr="00673C1F" w:rsidRDefault="00681771" w:rsidP="00A233CF">
            <w:pPr>
              <w:pStyle w:val="TableTextRight"/>
              <w:rPr>
                <w:rFonts w:cs="Arial"/>
                <w:szCs w:val="16"/>
              </w:rPr>
            </w:pPr>
            <w:r w:rsidRPr="00673C1F">
              <w:rPr>
                <w:rFonts w:cs="Arial"/>
                <w:szCs w:val="16"/>
              </w:rPr>
              <w:t>56.3</w:t>
            </w:r>
          </w:p>
        </w:tc>
        <w:tc>
          <w:tcPr>
            <w:tcW w:w="850" w:type="dxa"/>
            <w:tcBorders>
              <w:top w:val="nil"/>
              <w:left w:val="nil"/>
              <w:bottom w:val="nil"/>
              <w:right w:val="nil"/>
            </w:tcBorders>
            <w:shd w:val="clear" w:color="auto" w:fill="auto"/>
            <w:noWrap/>
            <w:vAlign w:val="center"/>
          </w:tcPr>
          <w:p w14:paraId="56840D8F" w14:textId="0CD33C57" w:rsidR="00681771" w:rsidRPr="00673C1F" w:rsidRDefault="006D727E" w:rsidP="00A233CF">
            <w:pPr>
              <w:pStyle w:val="TableTextRight"/>
              <w:rPr>
                <w:rFonts w:cs="Arial"/>
                <w:szCs w:val="16"/>
              </w:rPr>
            </w:pPr>
            <w:r w:rsidRPr="00673C1F">
              <w:rPr>
                <w:rFonts w:cs="Arial"/>
                <w:szCs w:val="16"/>
              </w:rPr>
              <w:noBreakHyphen/>
            </w:r>
            <w:r w:rsidR="00681771" w:rsidRPr="00673C1F">
              <w:rPr>
                <w:rFonts w:cs="Arial"/>
                <w:szCs w:val="16"/>
              </w:rPr>
              <w:t>3.1</w:t>
            </w:r>
          </w:p>
        </w:tc>
      </w:tr>
      <w:tr w:rsidR="00681771" w:rsidRPr="00BD68BD" w14:paraId="21E13185" w14:textId="77777777" w:rsidTr="00254FB2">
        <w:trPr>
          <w:trHeight w:val="23"/>
        </w:trPr>
        <w:tc>
          <w:tcPr>
            <w:tcW w:w="1086" w:type="dxa"/>
            <w:tcBorders>
              <w:top w:val="nil"/>
              <w:left w:val="nil"/>
              <w:bottom w:val="nil"/>
              <w:right w:val="nil"/>
            </w:tcBorders>
            <w:shd w:val="clear" w:color="auto" w:fill="auto"/>
            <w:noWrap/>
            <w:vAlign w:val="center"/>
          </w:tcPr>
          <w:p w14:paraId="2BCC12EB" w14:textId="77777777" w:rsidR="00681771" w:rsidRPr="00673C1F" w:rsidRDefault="00681771" w:rsidP="00A233CF">
            <w:pPr>
              <w:pStyle w:val="TableTextLeft"/>
              <w:rPr>
                <w:rFonts w:cs="Arial"/>
                <w:szCs w:val="16"/>
              </w:rPr>
            </w:pPr>
            <w:r w:rsidRPr="00673C1F">
              <w:rPr>
                <w:rFonts w:cs="Arial"/>
                <w:szCs w:val="16"/>
              </w:rPr>
              <w:t>Income</w:t>
            </w:r>
          </w:p>
        </w:tc>
        <w:tc>
          <w:tcPr>
            <w:tcW w:w="537" w:type="dxa"/>
            <w:tcBorders>
              <w:top w:val="nil"/>
              <w:left w:val="nil"/>
              <w:bottom w:val="nil"/>
              <w:right w:val="nil"/>
            </w:tcBorders>
            <w:shd w:val="clear" w:color="auto" w:fill="auto"/>
            <w:noWrap/>
            <w:vAlign w:val="center"/>
          </w:tcPr>
          <w:p w14:paraId="4EFE89FA" w14:textId="77777777" w:rsidR="00681771" w:rsidRPr="00673C1F" w:rsidRDefault="00681771" w:rsidP="00A233CF">
            <w:pPr>
              <w:pStyle w:val="TableTextLeft"/>
              <w:rPr>
                <w:rFonts w:cs="Arial"/>
                <w:szCs w:val="16"/>
              </w:rPr>
            </w:pPr>
            <w:r w:rsidRPr="00673C1F">
              <w:rPr>
                <w:rFonts w:cs="Arial"/>
                <w:szCs w:val="16"/>
              </w:rPr>
              <w:t>B24</w:t>
            </w:r>
          </w:p>
        </w:tc>
        <w:tc>
          <w:tcPr>
            <w:tcW w:w="3620" w:type="dxa"/>
            <w:tcBorders>
              <w:top w:val="nil"/>
              <w:left w:val="nil"/>
              <w:bottom w:val="nil"/>
              <w:right w:val="nil"/>
            </w:tcBorders>
            <w:shd w:val="clear" w:color="auto" w:fill="auto"/>
            <w:vAlign w:val="center"/>
          </w:tcPr>
          <w:p w14:paraId="16001609" w14:textId="0EA65BEB" w:rsidR="00681771" w:rsidRPr="00673C1F" w:rsidRDefault="00681771" w:rsidP="00A233CF">
            <w:pPr>
              <w:pStyle w:val="TableTextLeft"/>
              <w:rPr>
                <w:rFonts w:cs="Arial"/>
                <w:szCs w:val="16"/>
              </w:rPr>
            </w:pPr>
            <w:r w:rsidRPr="00673C1F">
              <w:rPr>
                <w:rFonts w:cs="Arial"/>
                <w:szCs w:val="16"/>
              </w:rPr>
              <w:t>Temporary loss carry</w:t>
            </w:r>
            <w:r w:rsidR="006D727E" w:rsidRPr="00673C1F">
              <w:rPr>
                <w:rFonts w:cs="Arial"/>
                <w:szCs w:val="16"/>
              </w:rPr>
              <w:noBreakHyphen/>
            </w:r>
            <w:r w:rsidRPr="00673C1F">
              <w:rPr>
                <w:rFonts w:cs="Arial"/>
                <w:szCs w:val="16"/>
              </w:rPr>
              <w:t>back for certain incorporated entities</w:t>
            </w:r>
          </w:p>
        </w:tc>
        <w:tc>
          <w:tcPr>
            <w:tcW w:w="889" w:type="dxa"/>
            <w:tcBorders>
              <w:top w:val="nil"/>
              <w:left w:val="nil"/>
              <w:bottom w:val="nil"/>
              <w:right w:val="nil"/>
            </w:tcBorders>
            <w:shd w:val="clear" w:color="auto" w:fill="auto"/>
            <w:noWrap/>
            <w:vAlign w:val="center"/>
          </w:tcPr>
          <w:p w14:paraId="1C5A256C" w14:textId="77777777" w:rsidR="00681771" w:rsidRPr="00673C1F" w:rsidRDefault="00681771" w:rsidP="00A233CF">
            <w:pPr>
              <w:pStyle w:val="TableTextRight"/>
              <w:rPr>
                <w:rFonts w:cs="Arial"/>
                <w:szCs w:val="16"/>
              </w:rPr>
            </w:pPr>
            <w:r w:rsidRPr="00673C1F">
              <w:rPr>
                <w:rFonts w:cs="Arial"/>
                <w:szCs w:val="16"/>
              </w:rPr>
              <w:t>2,990</w:t>
            </w:r>
          </w:p>
        </w:tc>
        <w:tc>
          <w:tcPr>
            <w:tcW w:w="814" w:type="dxa"/>
            <w:tcBorders>
              <w:top w:val="nil"/>
              <w:left w:val="nil"/>
              <w:bottom w:val="nil"/>
              <w:right w:val="nil"/>
            </w:tcBorders>
            <w:shd w:val="clear" w:color="auto" w:fill="auto"/>
            <w:vAlign w:val="center"/>
          </w:tcPr>
          <w:p w14:paraId="495A6505" w14:textId="77777777" w:rsidR="00681771" w:rsidRPr="00673C1F" w:rsidRDefault="00681771" w:rsidP="00A233CF">
            <w:pPr>
              <w:pStyle w:val="TableTextRight"/>
              <w:rPr>
                <w:rFonts w:cs="Arial"/>
                <w:szCs w:val="16"/>
              </w:rPr>
            </w:pPr>
            <w:r w:rsidRPr="00673C1F">
              <w:rPr>
                <w:rFonts w:cs="Arial"/>
                <w:szCs w:val="16"/>
              </w:rPr>
              <w:t>NA</w:t>
            </w:r>
          </w:p>
        </w:tc>
        <w:tc>
          <w:tcPr>
            <w:tcW w:w="850" w:type="dxa"/>
            <w:tcBorders>
              <w:top w:val="nil"/>
              <w:left w:val="nil"/>
              <w:bottom w:val="nil"/>
              <w:right w:val="nil"/>
            </w:tcBorders>
            <w:shd w:val="clear" w:color="auto" w:fill="auto"/>
            <w:noWrap/>
            <w:vAlign w:val="center"/>
          </w:tcPr>
          <w:p w14:paraId="2BE240EB" w14:textId="77777777" w:rsidR="00681771" w:rsidRPr="00673C1F" w:rsidRDefault="00681771" w:rsidP="00A233CF">
            <w:pPr>
              <w:pStyle w:val="TableTextRight"/>
              <w:rPr>
                <w:rFonts w:cs="Arial"/>
                <w:szCs w:val="16"/>
              </w:rPr>
            </w:pPr>
            <w:r w:rsidRPr="00673C1F">
              <w:rPr>
                <w:rFonts w:cs="Arial"/>
                <w:szCs w:val="16"/>
              </w:rPr>
              <w:t>NA</w:t>
            </w:r>
          </w:p>
        </w:tc>
      </w:tr>
      <w:tr w:rsidR="00681771" w:rsidRPr="00BD68BD" w14:paraId="6394C683" w14:textId="77777777" w:rsidTr="00254FB2">
        <w:trPr>
          <w:trHeight w:val="23"/>
        </w:trPr>
        <w:tc>
          <w:tcPr>
            <w:tcW w:w="1086" w:type="dxa"/>
            <w:tcBorders>
              <w:top w:val="nil"/>
              <w:left w:val="nil"/>
              <w:bottom w:val="nil"/>
              <w:right w:val="nil"/>
            </w:tcBorders>
            <w:shd w:val="clear" w:color="auto" w:fill="auto"/>
            <w:noWrap/>
            <w:vAlign w:val="center"/>
          </w:tcPr>
          <w:p w14:paraId="57356CFE" w14:textId="77777777" w:rsidR="00681771" w:rsidRPr="00673C1F" w:rsidRDefault="00681771" w:rsidP="00A233CF">
            <w:pPr>
              <w:pStyle w:val="TableTextLeft"/>
              <w:rPr>
                <w:rFonts w:cs="Arial"/>
                <w:szCs w:val="16"/>
              </w:rPr>
            </w:pPr>
            <w:r w:rsidRPr="00673C1F">
              <w:rPr>
                <w:rFonts w:cs="Arial"/>
                <w:szCs w:val="16"/>
              </w:rPr>
              <w:t>FBT</w:t>
            </w:r>
          </w:p>
        </w:tc>
        <w:tc>
          <w:tcPr>
            <w:tcW w:w="537" w:type="dxa"/>
            <w:tcBorders>
              <w:top w:val="nil"/>
              <w:left w:val="nil"/>
              <w:bottom w:val="nil"/>
              <w:right w:val="nil"/>
            </w:tcBorders>
            <w:shd w:val="clear" w:color="auto" w:fill="auto"/>
            <w:noWrap/>
            <w:vAlign w:val="center"/>
          </w:tcPr>
          <w:p w14:paraId="37A33686" w14:textId="77777777" w:rsidR="00681771" w:rsidRPr="00673C1F" w:rsidRDefault="00681771" w:rsidP="00A233CF">
            <w:pPr>
              <w:pStyle w:val="TableTextLeft"/>
              <w:rPr>
                <w:rFonts w:cs="Arial"/>
                <w:szCs w:val="16"/>
              </w:rPr>
            </w:pPr>
            <w:r w:rsidRPr="00673C1F">
              <w:rPr>
                <w:rFonts w:cs="Arial"/>
                <w:szCs w:val="16"/>
              </w:rPr>
              <w:t>D15</w:t>
            </w:r>
          </w:p>
        </w:tc>
        <w:tc>
          <w:tcPr>
            <w:tcW w:w="3620" w:type="dxa"/>
            <w:tcBorders>
              <w:top w:val="nil"/>
              <w:left w:val="nil"/>
              <w:bottom w:val="nil"/>
              <w:right w:val="nil"/>
            </w:tcBorders>
            <w:shd w:val="clear" w:color="auto" w:fill="auto"/>
            <w:vAlign w:val="center"/>
          </w:tcPr>
          <w:p w14:paraId="0B6F7BE3" w14:textId="77777777" w:rsidR="00681771" w:rsidRPr="00673C1F" w:rsidRDefault="00681771" w:rsidP="00A233CF">
            <w:pPr>
              <w:pStyle w:val="TableTextLeft"/>
              <w:rPr>
                <w:rFonts w:cs="Arial"/>
                <w:szCs w:val="16"/>
              </w:rPr>
            </w:pPr>
            <w:r w:rsidRPr="00673C1F">
              <w:rPr>
                <w:rFonts w:cs="Arial"/>
                <w:szCs w:val="16"/>
              </w:rPr>
              <w:t>Exemption for public benevolent institutions (excluding hospitals)</w:t>
            </w:r>
          </w:p>
        </w:tc>
        <w:tc>
          <w:tcPr>
            <w:tcW w:w="889" w:type="dxa"/>
            <w:tcBorders>
              <w:top w:val="nil"/>
              <w:left w:val="nil"/>
              <w:bottom w:val="nil"/>
              <w:right w:val="nil"/>
            </w:tcBorders>
            <w:shd w:val="clear" w:color="auto" w:fill="auto"/>
            <w:noWrap/>
            <w:vAlign w:val="center"/>
          </w:tcPr>
          <w:p w14:paraId="4EF078B3" w14:textId="77777777" w:rsidR="00681771" w:rsidRPr="00673C1F" w:rsidRDefault="00681771" w:rsidP="00A233CF">
            <w:pPr>
              <w:pStyle w:val="TableTextRight"/>
              <w:rPr>
                <w:rFonts w:cs="Arial"/>
                <w:szCs w:val="16"/>
              </w:rPr>
            </w:pPr>
            <w:r w:rsidRPr="00673C1F">
              <w:rPr>
                <w:rFonts w:cs="Arial"/>
                <w:szCs w:val="16"/>
              </w:rPr>
              <w:t>2,700</w:t>
            </w:r>
          </w:p>
        </w:tc>
        <w:tc>
          <w:tcPr>
            <w:tcW w:w="814" w:type="dxa"/>
            <w:tcBorders>
              <w:top w:val="nil"/>
              <w:left w:val="nil"/>
              <w:bottom w:val="nil"/>
              <w:right w:val="nil"/>
            </w:tcBorders>
            <w:shd w:val="clear" w:color="auto" w:fill="auto"/>
            <w:vAlign w:val="center"/>
          </w:tcPr>
          <w:p w14:paraId="7A533E92" w14:textId="77777777" w:rsidR="00681771" w:rsidRPr="00673C1F" w:rsidRDefault="00681771" w:rsidP="00A233CF">
            <w:pPr>
              <w:pStyle w:val="TableTextRight"/>
              <w:rPr>
                <w:rFonts w:cs="Arial"/>
                <w:szCs w:val="16"/>
              </w:rPr>
            </w:pPr>
            <w:r w:rsidRPr="00673C1F">
              <w:rPr>
                <w:rFonts w:cs="Arial"/>
                <w:szCs w:val="16"/>
              </w:rPr>
              <w:t>6.5</w:t>
            </w:r>
          </w:p>
        </w:tc>
        <w:tc>
          <w:tcPr>
            <w:tcW w:w="850" w:type="dxa"/>
            <w:tcBorders>
              <w:top w:val="nil"/>
              <w:left w:val="nil"/>
              <w:bottom w:val="nil"/>
              <w:right w:val="nil"/>
            </w:tcBorders>
            <w:shd w:val="clear" w:color="auto" w:fill="auto"/>
            <w:noWrap/>
            <w:vAlign w:val="center"/>
          </w:tcPr>
          <w:p w14:paraId="6694552E" w14:textId="77777777" w:rsidR="00681771" w:rsidRPr="00673C1F" w:rsidRDefault="00681771" w:rsidP="00A233CF">
            <w:pPr>
              <w:pStyle w:val="TableTextRight"/>
              <w:rPr>
                <w:rFonts w:cs="Arial"/>
                <w:szCs w:val="16"/>
              </w:rPr>
            </w:pPr>
            <w:r w:rsidRPr="00673C1F">
              <w:rPr>
                <w:rFonts w:cs="Arial"/>
                <w:szCs w:val="16"/>
              </w:rPr>
              <w:t>2.3</w:t>
            </w:r>
          </w:p>
        </w:tc>
      </w:tr>
      <w:tr w:rsidR="00681771" w:rsidRPr="00BD68BD" w14:paraId="35B506FD" w14:textId="77777777" w:rsidTr="00254FB2">
        <w:trPr>
          <w:trHeight w:val="23"/>
        </w:trPr>
        <w:tc>
          <w:tcPr>
            <w:tcW w:w="1086" w:type="dxa"/>
            <w:tcBorders>
              <w:top w:val="nil"/>
              <w:left w:val="nil"/>
              <w:bottom w:val="nil"/>
              <w:right w:val="nil"/>
            </w:tcBorders>
            <w:shd w:val="clear" w:color="auto" w:fill="auto"/>
            <w:noWrap/>
            <w:vAlign w:val="center"/>
          </w:tcPr>
          <w:p w14:paraId="5D9072A5" w14:textId="77777777" w:rsidR="00681771" w:rsidRPr="00673C1F" w:rsidRDefault="00681771" w:rsidP="00A233CF">
            <w:pPr>
              <w:pStyle w:val="TableTextLeft"/>
              <w:rPr>
                <w:rFonts w:cs="Arial"/>
                <w:szCs w:val="16"/>
              </w:rPr>
            </w:pPr>
            <w:r w:rsidRPr="00673C1F">
              <w:rPr>
                <w:rFonts w:cs="Arial"/>
                <w:szCs w:val="16"/>
              </w:rPr>
              <w:t>Income</w:t>
            </w:r>
          </w:p>
        </w:tc>
        <w:tc>
          <w:tcPr>
            <w:tcW w:w="537" w:type="dxa"/>
            <w:tcBorders>
              <w:top w:val="nil"/>
              <w:left w:val="nil"/>
              <w:bottom w:val="nil"/>
              <w:right w:val="nil"/>
            </w:tcBorders>
            <w:shd w:val="clear" w:color="auto" w:fill="auto"/>
            <w:noWrap/>
            <w:vAlign w:val="center"/>
          </w:tcPr>
          <w:p w14:paraId="098B02BB" w14:textId="77777777" w:rsidR="00681771" w:rsidRPr="00673C1F" w:rsidRDefault="00681771" w:rsidP="00A233CF">
            <w:pPr>
              <w:pStyle w:val="TableTextLeft"/>
              <w:rPr>
                <w:rFonts w:cs="Arial"/>
                <w:szCs w:val="16"/>
              </w:rPr>
            </w:pPr>
            <w:r w:rsidRPr="00673C1F">
              <w:rPr>
                <w:rFonts w:cs="Arial"/>
                <w:szCs w:val="16"/>
              </w:rPr>
              <w:t>A20</w:t>
            </w:r>
          </w:p>
        </w:tc>
        <w:tc>
          <w:tcPr>
            <w:tcW w:w="3620" w:type="dxa"/>
            <w:tcBorders>
              <w:top w:val="nil"/>
              <w:left w:val="nil"/>
              <w:bottom w:val="nil"/>
              <w:right w:val="nil"/>
            </w:tcBorders>
            <w:shd w:val="clear" w:color="auto" w:fill="auto"/>
            <w:vAlign w:val="center"/>
          </w:tcPr>
          <w:p w14:paraId="34F46ACB" w14:textId="4D32419E" w:rsidR="00681771" w:rsidRPr="00673C1F" w:rsidRDefault="00681771" w:rsidP="00A233CF">
            <w:pPr>
              <w:pStyle w:val="TableTextLeft"/>
              <w:rPr>
                <w:rFonts w:cs="Arial"/>
                <w:szCs w:val="16"/>
              </w:rPr>
            </w:pPr>
            <w:r w:rsidRPr="00673C1F">
              <w:rPr>
                <w:rFonts w:cs="Arial"/>
                <w:szCs w:val="16"/>
              </w:rPr>
              <w:t>Medicare levy exemption for residents with taxable income below the low</w:t>
            </w:r>
            <w:r w:rsidR="006D727E" w:rsidRPr="00673C1F">
              <w:rPr>
                <w:rFonts w:cs="Arial"/>
                <w:szCs w:val="16"/>
              </w:rPr>
              <w:noBreakHyphen/>
            </w:r>
            <w:r w:rsidRPr="00673C1F">
              <w:rPr>
                <w:rFonts w:cs="Arial"/>
                <w:szCs w:val="16"/>
              </w:rPr>
              <w:t>income thresholds</w:t>
            </w:r>
          </w:p>
        </w:tc>
        <w:tc>
          <w:tcPr>
            <w:tcW w:w="889" w:type="dxa"/>
            <w:tcBorders>
              <w:top w:val="nil"/>
              <w:left w:val="nil"/>
              <w:bottom w:val="nil"/>
              <w:right w:val="nil"/>
            </w:tcBorders>
            <w:shd w:val="clear" w:color="auto" w:fill="auto"/>
            <w:noWrap/>
            <w:vAlign w:val="center"/>
          </w:tcPr>
          <w:p w14:paraId="1FB1C3B1" w14:textId="77777777" w:rsidR="00681771" w:rsidRPr="00673C1F" w:rsidRDefault="00681771" w:rsidP="00A233CF">
            <w:pPr>
              <w:pStyle w:val="TableTextRight"/>
              <w:rPr>
                <w:rFonts w:cs="Arial"/>
                <w:szCs w:val="16"/>
              </w:rPr>
            </w:pPr>
            <w:r w:rsidRPr="00673C1F">
              <w:rPr>
                <w:rFonts w:cs="Arial"/>
                <w:szCs w:val="16"/>
              </w:rPr>
              <w:t>2,650</w:t>
            </w:r>
          </w:p>
        </w:tc>
        <w:tc>
          <w:tcPr>
            <w:tcW w:w="814" w:type="dxa"/>
            <w:tcBorders>
              <w:top w:val="nil"/>
              <w:left w:val="nil"/>
              <w:bottom w:val="nil"/>
              <w:right w:val="nil"/>
            </w:tcBorders>
            <w:shd w:val="clear" w:color="auto" w:fill="auto"/>
            <w:vAlign w:val="center"/>
          </w:tcPr>
          <w:p w14:paraId="01AD1DE5" w14:textId="77777777" w:rsidR="00681771" w:rsidRPr="00673C1F" w:rsidRDefault="00681771" w:rsidP="00A233CF">
            <w:pPr>
              <w:pStyle w:val="TableTextRight"/>
              <w:rPr>
                <w:rFonts w:cs="Arial"/>
                <w:szCs w:val="16"/>
              </w:rPr>
            </w:pPr>
            <w:r w:rsidRPr="00673C1F">
              <w:rPr>
                <w:rFonts w:cs="Arial"/>
                <w:szCs w:val="16"/>
              </w:rPr>
              <w:t>4.2</w:t>
            </w:r>
          </w:p>
        </w:tc>
        <w:tc>
          <w:tcPr>
            <w:tcW w:w="850" w:type="dxa"/>
            <w:tcBorders>
              <w:top w:val="nil"/>
              <w:left w:val="nil"/>
              <w:bottom w:val="nil"/>
              <w:right w:val="nil"/>
            </w:tcBorders>
            <w:shd w:val="clear" w:color="auto" w:fill="auto"/>
            <w:noWrap/>
            <w:vAlign w:val="center"/>
          </w:tcPr>
          <w:p w14:paraId="69607D55" w14:textId="77777777" w:rsidR="00681771" w:rsidRPr="00673C1F" w:rsidRDefault="00681771" w:rsidP="00A233CF">
            <w:pPr>
              <w:pStyle w:val="TableTextRight"/>
              <w:rPr>
                <w:rFonts w:cs="Arial"/>
                <w:szCs w:val="16"/>
              </w:rPr>
            </w:pPr>
            <w:r w:rsidRPr="00673C1F">
              <w:rPr>
                <w:rFonts w:cs="Arial"/>
                <w:szCs w:val="16"/>
              </w:rPr>
              <w:t>0.9</w:t>
            </w:r>
          </w:p>
        </w:tc>
      </w:tr>
      <w:tr w:rsidR="00681771" w:rsidRPr="00BD68BD" w14:paraId="0226BBD5" w14:textId="77777777" w:rsidTr="00254FB2">
        <w:trPr>
          <w:trHeight w:val="23"/>
        </w:trPr>
        <w:tc>
          <w:tcPr>
            <w:tcW w:w="1086" w:type="dxa"/>
            <w:tcBorders>
              <w:top w:val="nil"/>
              <w:left w:val="nil"/>
              <w:bottom w:val="nil"/>
              <w:right w:val="nil"/>
            </w:tcBorders>
            <w:shd w:val="clear" w:color="auto" w:fill="auto"/>
            <w:noWrap/>
            <w:vAlign w:val="center"/>
          </w:tcPr>
          <w:p w14:paraId="7CD9F1F8" w14:textId="77777777" w:rsidR="00681771" w:rsidRPr="00673C1F" w:rsidRDefault="00681771" w:rsidP="00A233CF">
            <w:pPr>
              <w:pStyle w:val="TableTextLeft"/>
              <w:rPr>
                <w:rFonts w:cs="Arial"/>
                <w:szCs w:val="16"/>
              </w:rPr>
            </w:pPr>
            <w:r w:rsidRPr="00673C1F">
              <w:rPr>
                <w:rFonts w:cs="Arial"/>
                <w:szCs w:val="16"/>
              </w:rPr>
              <w:t>Super</w:t>
            </w:r>
          </w:p>
        </w:tc>
        <w:tc>
          <w:tcPr>
            <w:tcW w:w="537" w:type="dxa"/>
            <w:tcBorders>
              <w:top w:val="nil"/>
              <w:left w:val="nil"/>
              <w:bottom w:val="nil"/>
              <w:right w:val="nil"/>
            </w:tcBorders>
            <w:shd w:val="clear" w:color="auto" w:fill="auto"/>
            <w:noWrap/>
            <w:vAlign w:val="center"/>
          </w:tcPr>
          <w:p w14:paraId="5024C409" w14:textId="77777777" w:rsidR="00681771" w:rsidRPr="00673C1F" w:rsidRDefault="00681771" w:rsidP="00A233CF">
            <w:pPr>
              <w:pStyle w:val="TableTextLeft"/>
              <w:rPr>
                <w:rFonts w:cs="Arial"/>
                <w:szCs w:val="16"/>
              </w:rPr>
            </w:pPr>
            <w:r w:rsidRPr="00673C1F">
              <w:rPr>
                <w:rFonts w:cs="Arial"/>
                <w:szCs w:val="16"/>
              </w:rPr>
              <w:t>C6</w:t>
            </w:r>
          </w:p>
        </w:tc>
        <w:tc>
          <w:tcPr>
            <w:tcW w:w="3620" w:type="dxa"/>
            <w:tcBorders>
              <w:top w:val="nil"/>
              <w:left w:val="nil"/>
              <w:bottom w:val="nil"/>
              <w:right w:val="nil"/>
            </w:tcBorders>
            <w:shd w:val="clear" w:color="auto" w:fill="auto"/>
            <w:vAlign w:val="center"/>
          </w:tcPr>
          <w:p w14:paraId="2D815A5F" w14:textId="77777777" w:rsidR="00681771" w:rsidRPr="00673C1F" w:rsidRDefault="00681771" w:rsidP="00A233CF">
            <w:pPr>
              <w:pStyle w:val="TableTextLeft"/>
              <w:rPr>
                <w:rFonts w:cs="Arial"/>
                <w:szCs w:val="16"/>
              </w:rPr>
            </w:pPr>
            <w:r w:rsidRPr="00673C1F">
              <w:rPr>
                <w:rFonts w:cs="Arial"/>
                <w:szCs w:val="16"/>
              </w:rPr>
              <w:t>Deductibility of life and total and permanent disability insurance premiums provided inside of superannuation</w:t>
            </w:r>
          </w:p>
        </w:tc>
        <w:tc>
          <w:tcPr>
            <w:tcW w:w="889" w:type="dxa"/>
            <w:tcBorders>
              <w:top w:val="nil"/>
              <w:left w:val="nil"/>
              <w:bottom w:val="nil"/>
              <w:right w:val="nil"/>
            </w:tcBorders>
            <w:shd w:val="clear" w:color="auto" w:fill="auto"/>
            <w:noWrap/>
            <w:vAlign w:val="center"/>
          </w:tcPr>
          <w:p w14:paraId="5674C4D4" w14:textId="77777777" w:rsidR="00681771" w:rsidRPr="00673C1F" w:rsidRDefault="00681771" w:rsidP="00A233CF">
            <w:pPr>
              <w:pStyle w:val="TableTextRight"/>
              <w:rPr>
                <w:rFonts w:cs="Arial"/>
                <w:szCs w:val="16"/>
              </w:rPr>
            </w:pPr>
            <w:r w:rsidRPr="00673C1F">
              <w:rPr>
                <w:rFonts w:cs="Arial"/>
                <w:szCs w:val="16"/>
              </w:rPr>
              <w:t>2,530</w:t>
            </w:r>
          </w:p>
        </w:tc>
        <w:tc>
          <w:tcPr>
            <w:tcW w:w="814" w:type="dxa"/>
            <w:tcBorders>
              <w:top w:val="nil"/>
              <w:left w:val="nil"/>
              <w:bottom w:val="nil"/>
              <w:right w:val="nil"/>
            </w:tcBorders>
            <w:shd w:val="clear" w:color="auto" w:fill="auto"/>
            <w:vAlign w:val="center"/>
          </w:tcPr>
          <w:p w14:paraId="58AFDC72" w14:textId="77777777" w:rsidR="00681771" w:rsidRPr="00673C1F" w:rsidRDefault="00681771" w:rsidP="00A233CF">
            <w:pPr>
              <w:pStyle w:val="TableTextRight"/>
              <w:rPr>
                <w:rFonts w:cs="Arial"/>
                <w:szCs w:val="16"/>
              </w:rPr>
            </w:pPr>
            <w:r w:rsidRPr="00673C1F">
              <w:rPr>
                <w:rFonts w:cs="Arial"/>
                <w:szCs w:val="16"/>
              </w:rPr>
              <w:t>1.3</w:t>
            </w:r>
          </w:p>
        </w:tc>
        <w:tc>
          <w:tcPr>
            <w:tcW w:w="850" w:type="dxa"/>
            <w:tcBorders>
              <w:top w:val="nil"/>
              <w:left w:val="nil"/>
              <w:bottom w:val="nil"/>
              <w:right w:val="nil"/>
            </w:tcBorders>
            <w:shd w:val="clear" w:color="auto" w:fill="auto"/>
            <w:noWrap/>
            <w:vAlign w:val="center"/>
          </w:tcPr>
          <w:p w14:paraId="6DA8DCAD" w14:textId="77777777" w:rsidR="00681771" w:rsidRPr="00673C1F" w:rsidRDefault="00681771" w:rsidP="00A233CF">
            <w:pPr>
              <w:pStyle w:val="TableTextRight"/>
              <w:rPr>
                <w:rFonts w:cs="Arial"/>
                <w:szCs w:val="16"/>
              </w:rPr>
            </w:pPr>
            <w:r w:rsidRPr="00673C1F">
              <w:rPr>
                <w:rFonts w:cs="Arial"/>
                <w:szCs w:val="16"/>
              </w:rPr>
              <w:t>3.7</w:t>
            </w:r>
          </w:p>
        </w:tc>
      </w:tr>
      <w:tr w:rsidR="00681771" w:rsidRPr="00BD68BD" w14:paraId="33B094E6" w14:textId="77777777" w:rsidTr="00254FB2">
        <w:trPr>
          <w:trHeight w:val="23"/>
        </w:trPr>
        <w:tc>
          <w:tcPr>
            <w:tcW w:w="1086" w:type="dxa"/>
            <w:tcBorders>
              <w:top w:val="nil"/>
              <w:left w:val="nil"/>
              <w:bottom w:val="nil"/>
              <w:right w:val="nil"/>
            </w:tcBorders>
            <w:shd w:val="clear" w:color="auto" w:fill="auto"/>
            <w:noWrap/>
            <w:vAlign w:val="center"/>
          </w:tcPr>
          <w:p w14:paraId="23008BE9" w14:textId="77777777" w:rsidR="00681771" w:rsidRPr="00673C1F" w:rsidRDefault="00681771" w:rsidP="00A233CF">
            <w:pPr>
              <w:pStyle w:val="TableTextLeft"/>
              <w:rPr>
                <w:rFonts w:cs="Arial"/>
                <w:szCs w:val="16"/>
              </w:rPr>
            </w:pPr>
            <w:r w:rsidRPr="00673C1F">
              <w:rPr>
                <w:rFonts w:cs="Arial"/>
                <w:szCs w:val="16"/>
              </w:rPr>
              <w:t>Income</w:t>
            </w:r>
          </w:p>
        </w:tc>
        <w:tc>
          <w:tcPr>
            <w:tcW w:w="537" w:type="dxa"/>
            <w:tcBorders>
              <w:top w:val="nil"/>
              <w:left w:val="nil"/>
              <w:bottom w:val="nil"/>
              <w:right w:val="nil"/>
            </w:tcBorders>
            <w:shd w:val="clear" w:color="auto" w:fill="auto"/>
            <w:noWrap/>
            <w:vAlign w:val="center"/>
          </w:tcPr>
          <w:p w14:paraId="67041F98" w14:textId="77777777" w:rsidR="00681771" w:rsidRPr="00673C1F" w:rsidRDefault="00681771" w:rsidP="00A233CF">
            <w:pPr>
              <w:pStyle w:val="TableTextLeft"/>
              <w:rPr>
                <w:rFonts w:cs="Arial"/>
                <w:szCs w:val="16"/>
              </w:rPr>
            </w:pPr>
            <w:r w:rsidRPr="00673C1F">
              <w:rPr>
                <w:rFonts w:cs="Arial"/>
                <w:szCs w:val="16"/>
              </w:rPr>
              <w:t>B11</w:t>
            </w:r>
          </w:p>
        </w:tc>
        <w:tc>
          <w:tcPr>
            <w:tcW w:w="3620" w:type="dxa"/>
            <w:tcBorders>
              <w:top w:val="nil"/>
              <w:left w:val="nil"/>
              <w:bottom w:val="nil"/>
              <w:right w:val="nil"/>
            </w:tcBorders>
            <w:shd w:val="clear" w:color="auto" w:fill="auto"/>
            <w:vAlign w:val="center"/>
          </w:tcPr>
          <w:p w14:paraId="243CF2AC" w14:textId="77777777" w:rsidR="00681771" w:rsidRPr="00673C1F" w:rsidRDefault="00681771" w:rsidP="00A233CF">
            <w:pPr>
              <w:pStyle w:val="TableTextLeft"/>
              <w:rPr>
                <w:rFonts w:cs="Arial"/>
                <w:szCs w:val="16"/>
              </w:rPr>
            </w:pPr>
            <w:r w:rsidRPr="00673C1F">
              <w:rPr>
                <w:rFonts w:cs="Arial"/>
                <w:szCs w:val="16"/>
              </w:rPr>
              <w:t>Exemption from interest withholding tax on certain securities</w:t>
            </w:r>
          </w:p>
        </w:tc>
        <w:tc>
          <w:tcPr>
            <w:tcW w:w="889" w:type="dxa"/>
            <w:tcBorders>
              <w:top w:val="nil"/>
              <w:left w:val="nil"/>
              <w:bottom w:val="nil"/>
              <w:right w:val="nil"/>
            </w:tcBorders>
            <w:shd w:val="clear" w:color="auto" w:fill="auto"/>
            <w:noWrap/>
            <w:vAlign w:val="center"/>
          </w:tcPr>
          <w:p w14:paraId="51366BE7" w14:textId="77777777" w:rsidR="00681771" w:rsidRPr="00673C1F" w:rsidRDefault="00681771" w:rsidP="00A233CF">
            <w:pPr>
              <w:pStyle w:val="TableTextRight"/>
              <w:rPr>
                <w:rFonts w:cs="Arial"/>
                <w:szCs w:val="16"/>
              </w:rPr>
            </w:pPr>
            <w:r w:rsidRPr="00673C1F">
              <w:rPr>
                <w:rFonts w:cs="Arial"/>
                <w:szCs w:val="16"/>
              </w:rPr>
              <w:t>2,180</w:t>
            </w:r>
          </w:p>
        </w:tc>
        <w:tc>
          <w:tcPr>
            <w:tcW w:w="814" w:type="dxa"/>
            <w:tcBorders>
              <w:top w:val="nil"/>
              <w:left w:val="nil"/>
              <w:bottom w:val="nil"/>
              <w:right w:val="nil"/>
            </w:tcBorders>
            <w:shd w:val="clear" w:color="auto" w:fill="auto"/>
            <w:vAlign w:val="center"/>
          </w:tcPr>
          <w:p w14:paraId="2FD65855" w14:textId="1AE5122B" w:rsidR="00681771" w:rsidRPr="00673C1F" w:rsidRDefault="006D727E" w:rsidP="00A233CF">
            <w:pPr>
              <w:pStyle w:val="TableTextRight"/>
              <w:rPr>
                <w:rFonts w:cs="Arial"/>
                <w:szCs w:val="16"/>
              </w:rPr>
            </w:pPr>
            <w:r w:rsidRPr="00673C1F">
              <w:rPr>
                <w:rFonts w:cs="Arial"/>
                <w:szCs w:val="16"/>
              </w:rPr>
              <w:noBreakHyphen/>
            </w:r>
            <w:r w:rsidR="00681771" w:rsidRPr="00673C1F">
              <w:rPr>
                <w:rFonts w:cs="Arial"/>
                <w:szCs w:val="16"/>
              </w:rPr>
              <w:t>5.9</w:t>
            </w:r>
          </w:p>
        </w:tc>
        <w:tc>
          <w:tcPr>
            <w:tcW w:w="850" w:type="dxa"/>
            <w:tcBorders>
              <w:top w:val="nil"/>
              <w:left w:val="nil"/>
              <w:bottom w:val="nil"/>
              <w:right w:val="nil"/>
            </w:tcBorders>
            <w:shd w:val="clear" w:color="auto" w:fill="auto"/>
            <w:noWrap/>
            <w:vAlign w:val="center"/>
          </w:tcPr>
          <w:p w14:paraId="4D077F6F" w14:textId="77777777" w:rsidR="00681771" w:rsidRPr="00673C1F" w:rsidRDefault="00681771" w:rsidP="00A233CF">
            <w:pPr>
              <w:pStyle w:val="TableTextRight"/>
              <w:rPr>
                <w:rFonts w:cs="Arial"/>
                <w:szCs w:val="16"/>
              </w:rPr>
            </w:pPr>
            <w:r w:rsidRPr="00673C1F">
              <w:rPr>
                <w:rFonts w:cs="Arial"/>
                <w:szCs w:val="16"/>
              </w:rPr>
              <w:t>0.2</w:t>
            </w:r>
          </w:p>
        </w:tc>
      </w:tr>
      <w:tr w:rsidR="00681771" w:rsidRPr="00BD68BD" w14:paraId="3C27A763" w14:textId="77777777" w:rsidTr="00254FB2">
        <w:trPr>
          <w:trHeight w:val="23"/>
        </w:trPr>
        <w:tc>
          <w:tcPr>
            <w:tcW w:w="1086" w:type="dxa"/>
            <w:tcBorders>
              <w:top w:val="nil"/>
              <w:left w:val="nil"/>
              <w:bottom w:val="nil"/>
              <w:right w:val="nil"/>
            </w:tcBorders>
            <w:shd w:val="clear" w:color="auto" w:fill="auto"/>
            <w:noWrap/>
            <w:vAlign w:val="center"/>
          </w:tcPr>
          <w:p w14:paraId="184D11A6" w14:textId="77777777" w:rsidR="00681771" w:rsidRPr="00673C1F" w:rsidRDefault="00681771" w:rsidP="00A233CF">
            <w:pPr>
              <w:pStyle w:val="TableTextLeft"/>
              <w:rPr>
                <w:rFonts w:cs="Arial"/>
                <w:szCs w:val="16"/>
              </w:rPr>
            </w:pPr>
            <w:r w:rsidRPr="00673C1F">
              <w:rPr>
                <w:rFonts w:cs="Arial"/>
                <w:szCs w:val="16"/>
              </w:rPr>
              <w:t>Income</w:t>
            </w:r>
          </w:p>
        </w:tc>
        <w:tc>
          <w:tcPr>
            <w:tcW w:w="537" w:type="dxa"/>
            <w:tcBorders>
              <w:top w:val="nil"/>
              <w:left w:val="nil"/>
              <w:bottom w:val="nil"/>
              <w:right w:val="nil"/>
            </w:tcBorders>
            <w:shd w:val="clear" w:color="auto" w:fill="auto"/>
            <w:noWrap/>
            <w:vAlign w:val="center"/>
          </w:tcPr>
          <w:p w14:paraId="5FAADBD4" w14:textId="77777777" w:rsidR="00681771" w:rsidRPr="00673C1F" w:rsidRDefault="00681771" w:rsidP="00A233CF">
            <w:pPr>
              <w:pStyle w:val="TableTextLeft"/>
              <w:rPr>
                <w:rFonts w:cs="Arial"/>
                <w:szCs w:val="16"/>
              </w:rPr>
            </w:pPr>
            <w:r w:rsidRPr="00673C1F">
              <w:rPr>
                <w:rFonts w:cs="Arial"/>
                <w:szCs w:val="16"/>
              </w:rPr>
              <w:t>B1</w:t>
            </w:r>
          </w:p>
        </w:tc>
        <w:tc>
          <w:tcPr>
            <w:tcW w:w="3620" w:type="dxa"/>
            <w:tcBorders>
              <w:top w:val="nil"/>
              <w:left w:val="nil"/>
              <w:bottom w:val="nil"/>
              <w:right w:val="nil"/>
            </w:tcBorders>
            <w:shd w:val="clear" w:color="auto" w:fill="auto"/>
            <w:vAlign w:val="center"/>
          </w:tcPr>
          <w:p w14:paraId="38C03BA4" w14:textId="77777777" w:rsidR="00681771" w:rsidRPr="00673C1F" w:rsidRDefault="00681771" w:rsidP="00A233CF">
            <w:pPr>
              <w:pStyle w:val="TableTextLeft"/>
              <w:rPr>
                <w:rFonts w:cs="Arial"/>
                <w:szCs w:val="16"/>
              </w:rPr>
            </w:pPr>
            <w:r w:rsidRPr="00673C1F">
              <w:rPr>
                <w:rFonts w:cs="Arial"/>
                <w:szCs w:val="16"/>
              </w:rPr>
              <w:t>Local government bodies income tax exemption</w:t>
            </w:r>
          </w:p>
        </w:tc>
        <w:tc>
          <w:tcPr>
            <w:tcW w:w="889" w:type="dxa"/>
            <w:tcBorders>
              <w:top w:val="nil"/>
              <w:left w:val="nil"/>
              <w:bottom w:val="nil"/>
              <w:right w:val="nil"/>
            </w:tcBorders>
            <w:shd w:val="clear" w:color="auto" w:fill="auto"/>
            <w:noWrap/>
            <w:vAlign w:val="center"/>
          </w:tcPr>
          <w:p w14:paraId="41BCE46F" w14:textId="77777777" w:rsidR="00681771" w:rsidRPr="00673C1F" w:rsidRDefault="00681771" w:rsidP="00A233CF">
            <w:pPr>
              <w:pStyle w:val="TableTextRight"/>
              <w:rPr>
                <w:rFonts w:cs="Arial"/>
                <w:szCs w:val="16"/>
              </w:rPr>
            </w:pPr>
            <w:r w:rsidRPr="00673C1F">
              <w:rPr>
                <w:rFonts w:cs="Arial"/>
                <w:szCs w:val="16"/>
              </w:rPr>
              <w:t>1,960</w:t>
            </w:r>
          </w:p>
        </w:tc>
        <w:tc>
          <w:tcPr>
            <w:tcW w:w="814" w:type="dxa"/>
            <w:tcBorders>
              <w:top w:val="nil"/>
              <w:left w:val="nil"/>
              <w:bottom w:val="nil"/>
              <w:right w:val="nil"/>
            </w:tcBorders>
            <w:shd w:val="clear" w:color="auto" w:fill="auto"/>
            <w:vAlign w:val="center"/>
          </w:tcPr>
          <w:p w14:paraId="069458B5" w14:textId="77777777" w:rsidR="00681771" w:rsidRPr="00673C1F" w:rsidRDefault="00681771" w:rsidP="00A233CF">
            <w:pPr>
              <w:pStyle w:val="TableTextRight"/>
              <w:rPr>
                <w:rFonts w:cs="Arial"/>
                <w:szCs w:val="16"/>
              </w:rPr>
            </w:pPr>
            <w:r w:rsidRPr="00673C1F">
              <w:rPr>
                <w:rFonts w:cs="Arial"/>
                <w:szCs w:val="16"/>
              </w:rPr>
              <w:t>5.0</w:t>
            </w:r>
          </w:p>
        </w:tc>
        <w:tc>
          <w:tcPr>
            <w:tcW w:w="850" w:type="dxa"/>
            <w:tcBorders>
              <w:top w:val="nil"/>
              <w:left w:val="nil"/>
              <w:bottom w:val="nil"/>
              <w:right w:val="nil"/>
            </w:tcBorders>
            <w:shd w:val="clear" w:color="auto" w:fill="auto"/>
            <w:noWrap/>
            <w:vAlign w:val="center"/>
          </w:tcPr>
          <w:p w14:paraId="041BDE31" w14:textId="77777777" w:rsidR="00681771" w:rsidRPr="00673C1F" w:rsidRDefault="00681771" w:rsidP="00A233CF">
            <w:pPr>
              <w:pStyle w:val="TableTextRight"/>
              <w:rPr>
                <w:rFonts w:cs="Arial"/>
                <w:szCs w:val="16"/>
              </w:rPr>
            </w:pPr>
            <w:r w:rsidRPr="00673C1F">
              <w:rPr>
                <w:rFonts w:cs="Arial"/>
                <w:szCs w:val="16"/>
              </w:rPr>
              <w:t>2.3</w:t>
            </w:r>
          </w:p>
        </w:tc>
      </w:tr>
      <w:tr w:rsidR="00681771" w:rsidRPr="00BD68BD" w14:paraId="57517761" w14:textId="77777777" w:rsidTr="00254FB2">
        <w:trPr>
          <w:trHeight w:val="23"/>
        </w:trPr>
        <w:tc>
          <w:tcPr>
            <w:tcW w:w="1086" w:type="dxa"/>
            <w:tcBorders>
              <w:top w:val="nil"/>
              <w:left w:val="nil"/>
              <w:bottom w:val="nil"/>
              <w:right w:val="nil"/>
            </w:tcBorders>
            <w:shd w:val="clear" w:color="auto" w:fill="auto"/>
            <w:noWrap/>
            <w:vAlign w:val="center"/>
          </w:tcPr>
          <w:p w14:paraId="584D5389" w14:textId="77777777" w:rsidR="00681771" w:rsidRPr="00673C1F" w:rsidRDefault="00681771" w:rsidP="00A233CF">
            <w:pPr>
              <w:pStyle w:val="TableTextLeft"/>
              <w:rPr>
                <w:rFonts w:cs="Arial"/>
                <w:szCs w:val="16"/>
              </w:rPr>
            </w:pPr>
            <w:r w:rsidRPr="00673C1F">
              <w:rPr>
                <w:rFonts w:cs="Arial"/>
                <w:szCs w:val="16"/>
              </w:rPr>
              <w:t>Income</w:t>
            </w:r>
          </w:p>
        </w:tc>
        <w:tc>
          <w:tcPr>
            <w:tcW w:w="537" w:type="dxa"/>
            <w:tcBorders>
              <w:top w:val="nil"/>
              <w:left w:val="nil"/>
              <w:bottom w:val="nil"/>
              <w:right w:val="nil"/>
            </w:tcBorders>
            <w:shd w:val="clear" w:color="auto" w:fill="auto"/>
            <w:noWrap/>
            <w:vAlign w:val="center"/>
          </w:tcPr>
          <w:p w14:paraId="298A8F0E" w14:textId="77777777" w:rsidR="00681771" w:rsidRPr="00673C1F" w:rsidRDefault="00681771" w:rsidP="00A233CF">
            <w:pPr>
              <w:pStyle w:val="TableTextLeft"/>
              <w:rPr>
                <w:rFonts w:cs="Arial"/>
                <w:szCs w:val="16"/>
              </w:rPr>
            </w:pPr>
            <w:r w:rsidRPr="00673C1F">
              <w:rPr>
                <w:rFonts w:cs="Arial"/>
                <w:szCs w:val="16"/>
              </w:rPr>
              <w:t>A24</w:t>
            </w:r>
          </w:p>
        </w:tc>
        <w:tc>
          <w:tcPr>
            <w:tcW w:w="3620" w:type="dxa"/>
            <w:tcBorders>
              <w:top w:val="nil"/>
              <w:left w:val="nil"/>
              <w:bottom w:val="nil"/>
              <w:right w:val="nil"/>
            </w:tcBorders>
            <w:shd w:val="clear" w:color="auto" w:fill="auto"/>
            <w:vAlign w:val="center"/>
          </w:tcPr>
          <w:p w14:paraId="439ECF39" w14:textId="748DEDE5" w:rsidR="00681771" w:rsidRPr="00673C1F" w:rsidRDefault="00681771" w:rsidP="00A233CF">
            <w:pPr>
              <w:pStyle w:val="TableTextLeft"/>
              <w:rPr>
                <w:rFonts w:cs="Arial"/>
                <w:szCs w:val="16"/>
              </w:rPr>
            </w:pPr>
            <w:r w:rsidRPr="00673C1F">
              <w:rPr>
                <w:rFonts w:cs="Arial"/>
                <w:szCs w:val="16"/>
              </w:rPr>
              <w:t>Concessional taxation of non</w:t>
            </w:r>
            <w:r w:rsidR="006D727E" w:rsidRPr="00673C1F">
              <w:rPr>
                <w:rFonts w:cs="Arial"/>
                <w:szCs w:val="16"/>
              </w:rPr>
              <w:noBreakHyphen/>
            </w:r>
            <w:r w:rsidRPr="00673C1F">
              <w:rPr>
                <w:rFonts w:cs="Arial"/>
                <w:szCs w:val="16"/>
              </w:rPr>
              <w:t>superannuation termination benefits</w:t>
            </w:r>
          </w:p>
        </w:tc>
        <w:tc>
          <w:tcPr>
            <w:tcW w:w="889" w:type="dxa"/>
            <w:tcBorders>
              <w:top w:val="nil"/>
              <w:left w:val="nil"/>
              <w:bottom w:val="nil"/>
              <w:right w:val="nil"/>
            </w:tcBorders>
            <w:shd w:val="clear" w:color="auto" w:fill="auto"/>
            <w:noWrap/>
            <w:vAlign w:val="center"/>
          </w:tcPr>
          <w:p w14:paraId="3E808DF5" w14:textId="77777777" w:rsidR="00681771" w:rsidRPr="00673C1F" w:rsidRDefault="00681771" w:rsidP="00A233CF">
            <w:pPr>
              <w:pStyle w:val="TableTextRight"/>
              <w:rPr>
                <w:rFonts w:cs="Arial"/>
                <w:szCs w:val="16"/>
              </w:rPr>
            </w:pPr>
            <w:r w:rsidRPr="00673C1F">
              <w:rPr>
                <w:rFonts w:cs="Arial"/>
                <w:szCs w:val="16"/>
              </w:rPr>
              <w:t>1,950</w:t>
            </w:r>
          </w:p>
        </w:tc>
        <w:tc>
          <w:tcPr>
            <w:tcW w:w="814" w:type="dxa"/>
            <w:tcBorders>
              <w:top w:val="nil"/>
              <w:left w:val="nil"/>
              <w:bottom w:val="nil"/>
              <w:right w:val="nil"/>
            </w:tcBorders>
            <w:shd w:val="clear" w:color="auto" w:fill="auto"/>
            <w:vAlign w:val="center"/>
          </w:tcPr>
          <w:p w14:paraId="64D2B815" w14:textId="1EC62182" w:rsidR="00681771" w:rsidRPr="00673C1F" w:rsidRDefault="006D727E" w:rsidP="00A233CF">
            <w:pPr>
              <w:pStyle w:val="TableTextRight"/>
              <w:rPr>
                <w:rFonts w:cs="Arial"/>
                <w:szCs w:val="16"/>
              </w:rPr>
            </w:pPr>
            <w:r w:rsidRPr="00673C1F">
              <w:rPr>
                <w:rFonts w:cs="Arial"/>
                <w:szCs w:val="16"/>
              </w:rPr>
              <w:noBreakHyphen/>
            </w:r>
            <w:r w:rsidR="00681771" w:rsidRPr="00673C1F">
              <w:rPr>
                <w:rFonts w:cs="Arial"/>
                <w:szCs w:val="16"/>
              </w:rPr>
              <w:t>8.7</w:t>
            </w:r>
          </w:p>
        </w:tc>
        <w:tc>
          <w:tcPr>
            <w:tcW w:w="850" w:type="dxa"/>
            <w:tcBorders>
              <w:top w:val="nil"/>
              <w:left w:val="nil"/>
              <w:bottom w:val="nil"/>
              <w:right w:val="nil"/>
            </w:tcBorders>
            <w:shd w:val="clear" w:color="auto" w:fill="auto"/>
            <w:noWrap/>
            <w:vAlign w:val="center"/>
          </w:tcPr>
          <w:p w14:paraId="02ECF3CB" w14:textId="77777777" w:rsidR="00681771" w:rsidRPr="00673C1F" w:rsidRDefault="00681771" w:rsidP="00A233CF">
            <w:pPr>
              <w:pStyle w:val="TableTextRight"/>
              <w:rPr>
                <w:rFonts w:cs="Arial"/>
                <w:szCs w:val="16"/>
              </w:rPr>
            </w:pPr>
            <w:r w:rsidRPr="00673C1F">
              <w:rPr>
                <w:rFonts w:cs="Arial"/>
                <w:szCs w:val="16"/>
              </w:rPr>
              <w:t>NA</w:t>
            </w:r>
          </w:p>
        </w:tc>
      </w:tr>
      <w:tr w:rsidR="00681771" w:rsidRPr="00BD68BD" w14:paraId="5DF1EA1E" w14:textId="77777777" w:rsidTr="00254FB2">
        <w:trPr>
          <w:trHeight w:val="23"/>
        </w:trPr>
        <w:tc>
          <w:tcPr>
            <w:tcW w:w="1086" w:type="dxa"/>
            <w:tcBorders>
              <w:top w:val="nil"/>
              <w:left w:val="nil"/>
              <w:bottom w:val="nil"/>
              <w:right w:val="nil"/>
            </w:tcBorders>
            <w:shd w:val="clear" w:color="auto" w:fill="auto"/>
            <w:noWrap/>
            <w:vAlign w:val="center"/>
          </w:tcPr>
          <w:p w14:paraId="6B5DACC3" w14:textId="77777777" w:rsidR="00681771" w:rsidRPr="00673C1F" w:rsidRDefault="00681771" w:rsidP="00A233CF">
            <w:pPr>
              <w:pStyle w:val="TableTextLeft"/>
              <w:rPr>
                <w:rFonts w:cs="Arial"/>
                <w:szCs w:val="16"/>
              </w:rPr>
            </w:pPr>
            <w:r w:rsidRPr="00673C1F">
              <w:rPr>
                <w:rFonts w:cs="Arial"/>
                <w:szCs w:val="16"/>
              </w:rPr>
              <w:t>GST</w:t>
            </w:r>
          </w:p>
        </w:tc>
        <w:tc>
          <w:tcPr>
            <w:tcW w:w="537" w:type="dxa"/>
            <w:tcBorders>
              <w:top w:val="nil"/>
              <w:left w:val="nil"/>
              <w:bottom w:val="nil"/>
              <w:right w:val="nil"/>
            </w:tcBorders>
            <w:shd w:val="clear" w:color="auto" w:fill="auto"/>
            <w:noWrap/>
            <w:vAlign w:val="center"/>
          </w:tcPr>
          <w:p w14:paraId="03B9B499" w14:textId="77777777" w:rsidR="00681771" w:rsidRPr="00673C1F" w:rsidRDefault="00681771" w:rsidP="00A233CF">
            <w:pPr>
              <w:pStyle w:val="TableTextLeft"/>
              <w:rPr>
                <w:rFonts w:cs="Arial"/>
                <w:szCs w:val="16"/>
              </w:rPr>
            </w:pPr>
            <w:r w:rsidRPr="00673C1F">
              <w:rPr>
                <w:rFonts w:cs="Arial"/>
                <w:szCs w:val="16"/>
              </w:rPr>
              <w:t>H5</w:t>
            </w:r>
          </w:p>
        </w:tc>
        <w:tc>
          <w:tcPr>
            <w:tcW w:w="3620" w:type="dxa"/>
            <w:tcBorders>
              <w:top w:val="nil"/>
              <w:left w:val="nil"/>
              <w:bottom w:val="nil"/>
              <w:right w:val="nil"/>
            </w:tcBorders>
            <w:shd w:val="clear" w:color="auto" w:fill="auto"/>
            <w:vAlign w:val="center"/>
          </w:tcPr>
          <w:p w14:paraId="0651F986" w14:textId="77777777" w:rsidR="00681771" w:rsidRPr="00673C1F" w:rsidRDefault="00681771" w:rsidP="00A233CF">
            <w:pPr>
              <w:pStyle w:val="TableTextLeft"/>
              <w:rPr>
                <w:rFonts w:cs="Arial"/>
                <w:szCs w:val="16"/>
              </w:rPr>
            </w:pPr>
            <w:r w:rsidRPr="00673C1F">
              <w:rPr>
                <w:rFonts w:cs="Arial"/>
                <w:szCs w:val="16"/>
              </w:rPr>
              <w:t>Child care services</w:t>
            </w:r>
          </w:p>
        </w:tc>
        <w:tc>
          <w:tcPr>
            <w:tcW w:w="889" w:type="dxa"/>
            <w:tcBorders>
              <w:top w:val="nil"/>
              <w:left w:val="nil"/>
              <w:bottom w:val="nil"/>
              <w:right w:val="nil"/>
            </w:tcBorders>
            <w:shd w:val="clear" w:color="auto" w:fill="auto"/>
            <w:noWrap/>
            <w:vAlign w:val="center"/>
          </w:tcPr>
          <w:p w14:paraId="11DE360A" w14:textId="77777777" w:rsidR="00681771" w:rsidRPr="00673C1F" w:rsidRDefault="00681771" w:rsidP="00A233CF">
            <w:pPr>
              <w:pStyle w:val="TableTextRight"/>
              <w:rPr>
                <w:rFonts w:cs="Arial"/>
                <w:szCs w:val="16"/>
              </w:rPr>
            </w:pPr>
            <w:r w:rsidRPr="00673C1F">
              <w:rPr>
                <w:rFonts w:cs="Arial"/>
                <w:szCs w:val="16"/>
              </w:rPr>
              <w:t>1,920</w:t>
            </w:r>
          </w:p>
        </w:tc>
        <w:tc>
          <w:tcPr>
            <w:tcW w:w="814" w:type="dxa"/>
            <w:tcBorders>
              <w:top w:val="nil"/>
              <w:left w:val="nil"/>
              <w:bottom w:val="nil"/>
              <w:right w:val="nil"/>
            </w:tcBorders>
            <w:shd w:val="clear" w:color="auto" w:fill="auto"/>
            <w:vAlign w:val="center"/>
          </w:tcPr>
          <w:p w14:paraId="14CBE57E" w14:textId="77777777" w:rsidR="00681771" w:rsidRPr="00673C1F" w:rsidRDefault="00681771" w:rsidP="00A233CF">
            <w:pPr>
              <w:pStyle w:val="TableTextRight"/>
              <w:rPr>
                <w:rFonts w:cs="Arial"/>
                <w:szCs w:val="16"/>
              </w:rPr>
            </w:pPr>
            <w:r w:rsidRPr="00673C1F">
              <w:rPr>
                <w:rFonts w:cs="Arial"/>
                <w:szCs w:val="16"/>
              </w:rPr>
              <w:t>10.4</w:t>
            </w:r>
          </w:p>
        </w:tc>
        <w:tc>
          <w:tcPr>
            <w:tcW w:w="850" w:type="dxa"/>
            <w:tcBorders>
              <w:top w:val="nil"/>
              <w:left w:val="nil"/>
              <w:bottom w:val="nil"/>
              <w:right w:val="nil"/>
            </w:tcBorders>
            <w:shd w:val="clear" w:color="auto" w:fill="auto"/>
            <w:noWrap/>
            <w:vAlign w:val="center"/>
          </w:tcPr>
          <w:p w14:paraId="6D2FCDAA" w14:textId="77777777" w:rsidR="00681771" w:rsidRPr="00673C1F" w:rsidRDefault="00681771" w:rsidP="00A233CF">
            <w:pPr>
              <w:pStyle w:val="TableTextRight"/>
              <w:rPr>
                <w:rFonts w:cs="Arial"/>
                <w:szCs w:val="16"/>
              </w:rPr>
            </w:pPr>
            <w:r w:rsidRPr="00673C1F">
              <w:rPr>
                <w:rFonts w:cs="Arial"/>
                <w:szCs w:val="16"/>
              </w:rPr>
              <w:t>6.4</w:t>
            </w:r>
          </w:p>
        </w:tc>
      </w:tr>
      <w:tr w:rsidR="00681771" w:rsidRPr="00BD68BD" w14:paraId="7EEA6103" w14:textId="77777777" w:rsidTr="00254FB2">
        <w:trPr>
          <w:trHeight w:val="23"/>
        </w:trPr>
        <w:tc>
          <w:tcPr>
            <w:tcW w:w="1086" w:type="dxa"/>
            <w:tcBorders>
              <w:top w:val="nil"/>
              <w:left w:val="nil"/>
              <w:bottom w:val="nil"/>
              <w:right w:val="nil"/>
            </w:tcBorders>
            <w:shd w:val="clear" w:color="auto" w:fill="auto"/>
            <w:noWrap/>
            <w:vAlign w:val="center"/>
          </w:tcPr>
          <w:p w14:paraId="24AF6860" w14:textId="77777777" w:rsidR="00681771" w:rsidRPr="00673C1F" w:rsidRDefault="00681771" w:rsidP="00A233CF">
            <w:pPr>
              <w:pStyle w:val="TableTextLeft"/>
              <w:rPr>
                <w:rFonts w:cs="Arial"/>
                <w:szCs w:val="16"/>
              </w:rPr>
            </w:pPr>
            <w:r w:rsidRPr="00673C1F">
              <w:rPr>
                <w:rFonts w:cs="Arial"/>
                <w:szCs w:val="16"/>
              </w:rPr>
              <w:t>Super</w:t>
            </w:r>
          </w:p>
        </w:tc>
        <w:tc>
          <w:tcPr>
            <w:tcW w:w="537" w:type="dxa"/>
            <w:tcBorders>
              <w:top w:val="nil"/>
              <w:left w:val="nil"/>
              <w:bottom w:val="nil"/>
              <w:right w:val="nil"/>
            </w:tcBorders>
            <w:shd w:val="clear" w:color="auto" w:fill="auto"/>
            <w:noWrap/>
            <w:vAlign w:val="center"/>
          </w:tcPr>
          <w:p w14:paraId="7843FECB" w14:textId="77777777" w:rsidR="00681771" w:rsidRPr="00673C1F" w:rsidRDefault="00681771" w:rsidP="00A233CF">
            <w:pPr>
              <w:pStyle w:val="TableTextLeft"/>
              <w:rPr>
                <w:rFonts w:cs="Arial"/>
                <w:szCs w:val="16"/>
              </w:rPr>
            </w:pPr>
            <w:r w:rsidRPr="00673C1F">
              <w:rPr>
                <w:rFonts w:cs="Arial"/>
                <w:szCs w:val="16"/>
              </w:rPr>
              <w:t>C3</w:t>
            </w:r>
          </w:p>
        </w:tc>
        <w:tc>
          <w:tcPr>
            <w:tcW w:w="3620" w:type="dxa"/>
            <w:tcBorders>
              <w:top w:val="nil"/>
              <w:left w:val="nil"/>
              <w:bottom w:val="nil"/>
              <w:right w:val="nil"/>
            </w:tcBorders>
            <w:shd w:val="clear" w:color="auto" w:fill="auto"/>
            <w:vAlign w:val="center"/>
          </w:tcPr>
          <w:p w14:paraId="63929C5E" w14:textId="77777777" w:rsidR="00681771" w:rsidRPr="00673C1F" w:rsidRDefault="00681771" w:rsidP="00A233CF">
            <w:pPr>
              <w:pStyle w:val="TableTextLeft"/>
              <w:rPr>
                <w:rFonts w:cs="Arial"/>
                <w:szCs w:val="16"/>
              </w:rPr>
            </w:pPr>
            <w:r w:rsidRPr="00673C1F">
              <w:rPr>
                <w:rFonts w:cs="Arial"/>
                <w:szCs w:val="16"/>
              </w:rPr>
              <w:t>Concessional taxation of personal superannuation contributions</w:t>
            </w:r>
          </w:p>
        </w:tc>
        <w:tc>
          <w:tcPr>
            <w:tcW w:w="889" w:type="dxa"/>
            <w:tcBorders>
              <w:top w:val="nil"/>
              <w:left w:val="nil"/>
              <w:bottom w:val="nil"/>
              <w:right w:val="nil"/>
            </w:tcBorders>
            <w:shd w:val="clear" w:color="auto" w:fill="auto"/>
            <w:noWrap/>
            <w:vAlign w:val="center"/>
          </w:tcPr>
          <w:p w14:paraId="0A85AE46" w14:textId="77777777" w:rsidR="00681771" w:rsidRPr="00673C1F" w:rsidRDefault="00681771" w:rsidP="00A233CF">
            <w:pPr>
              <w:pStyle w:val="TableTextRight"/>
              <w:rPr>
                <w:rFonts w:cs="Arial"/>
                <w:szCs w:val="16"/>
              </w:rPr>
            </w:pPr>
            <w:r w:rsidRPr="00673C1F">
              <w:rPr>
                <w:rFonts w:cs="Arial"/>
                <w:szCs w:val="16"/>
              </w:rPr>
              <w:t>1,750</w:t>
            </w:r>
          </w:p>
        </w:tc>
        <w:tc>
          <w:tcPr>
            <w:tcW w:w="814" w:type="dxa"/>
            <w:tcBorders>
              <w:top w:val="nil"/>
              <w:left w:val="nil"/>
              <w:bottom w:val="nil"/>
              <w:right w:val="nil"/>
            </w:tcBorders>
            <w:shd w:val="clear" w:color="auto" w:fill="auto"/>
            <w:vAlign w:val="center"/>
          </w:tcPr>
          <w:p w14:paraId="457B6B07" w14:textId="77777777" w:rsidR="00681771" w:rsidRPr="00673C1F" w:rsidRDefault="00681771" w:rsidP="00A233CF">
            <w:pPr>
              <w:pStyle w:val="TableTextRight"/>
              <w:rPr>
                <w:rFonts w:cs="Arial"/>
                <w:szCs w:val="16"/>
              </w:rPr>
            </w:pPr>
            <w:r w:rsidRPr="00673C1F">
              <w:rPr>
                <w:rFonts w:cs="Arial"/>
                <w:szCs w:val="16"/>
              </w:rPr>
              <w:t>20.5</w:t>
            </w:r>
          </w:p>
        </w:tc>
        <w:tc>
          <w:tcPr>
            <w:tcW w:w="850" w:type="dxa"/>
            <w:tcBorders>
              <w:top w:val="nil"/>
              <w:left w:val="nil"/>
              <w:bottom w:val="nil"/>
              <w:right w:val="nil"/>
            </w:tcBorders>
            <w:shd w:val="clear" w:color="auto" w:fill="auto"/>
            <w:noWrap/>
            <w:vAlign w:val="center"/>
          </w:tcPr>
          <w:p w14:paraId="2AC5BCD7" w14:textId="4E5F6A1E" w:rsidR="00681771" w:rsidRPr="00673C1F" w:rsidRDefault="006D727E" w:rsidP="00A233CF">
            <w:pPr>
              <w:pStyle w:val="TableTextRight"/>
              <w:rPr>
                <w:rFonts w:cs="Arial"/>
                <w:szCs w:val="16"/>
              </w:rPr>
            </w:pPr>
            <w:r w:rsidRPr="00673C1F">
              <w:rPr>
                <w:rFonts w:cs="Arial"/>
                <w:szCs w:val="16"/>
              </w:rPr>
              <w:noBreakHyphen/>
            </w:r>
            <w:r w:rsidR="00681771" w:rsidRPr="00673C1F">
              <w:rPr>
                <w:rFonts w:cs="Arial"/>
                <w:szCs w:val="16"/>
              </w:rPr>
              <w:t>5.1</w:t>
            </w:r>
          </w:p>
        </w:tc>
      </w:tr>
      <w:tr w:rsidR="00681771" w:rsidRPr="00BD68BD" w14:paraId="1AFE83FB" w14:textId="77777777" w:rsidTr="00254FB2">
        <w:trPr>
          <w:trHeight w:val="23"/>
        </w:trPr>
        <w:tc>
          <w:tcPr>
            <w:tcW w:w="1086" w:type="dxa"/>
            <w:tcBorders>
              <w:top w:val="nil"/>
              <w:left w:val="nil"/>
              <w:bottom w:val="nil"/>
              <w:right w:val="nil"/>
            </w:tcBorders>
            <w:shd w:val="clear" w:color="auto" w:fill="auto"/>
            <w:noWrap/>
            <w:vAlign w:val="center"/>
          </w:tcPr>
          <w:p w14:paraId="0098B94A" w14:textId="77777777" w:rsidR="00681771" w:rsidRPr="00673C1F" w:rsidRDefault="00681771" w:rsidP="00A233CF">
            <w:pPr>
              <w:pStyle w:val="TableTextLeft"/>
              <w:rPr>
                <w:rFonts w:cs="Arial"/>
                <w:szCs w:val="16"/>
              </w:rPr>
            </w:pPr>
            <w:r w:rsidRPr="00673C1F">
              <w:rPr>
                <w:rFonts w:cs="Arial"/>
                <w:szCs w:val="16"/>
              </w:rPr>
              <w:t>Income</w:t>
            </w:r>
          </w:p>
        </w:tc>
        <w:tc>
          <w:tcPr>
            <w:tcW w:w="537" w:type="dxa"/>
            <w:tcBorders>
              <w:top w:val="nil"/>
              <w:left w:val="nil"/>
              <w:bottom w:val="nil"/>
              <w:right w:val="nil"/>
            </w:tcBorders>
            <w:shd w:val="clear" w:color="auto" w:fill="auto"/>
            <w:noWrap/>
            <w:vAlign w:val="center"/>
          </w:tcPr>
          <w:p w14:paraId="7E08EF78" w14:textId="77777777" w:rsidR="00681771" w:rsidRPr="00673C1F" w:rsidRDefault="00681771" w:rsidP="00A233CF">
            <w:pPr>
              <w:pStyle w:val="TableTextLeft"/>
              <w:rPr>
                <w:rFonts w:cs="Arial"/>
                <w:szCs w:val="16"/>
              </w:rPr>
            </w:pPr>
            <w:r w:rsidRPr="00673C1F">
              <w:rPr>
                <w:rFonts w:cs="Arial"/>
                <w:szCs w:val="16"/>
              </w:rPr>
              <w:t>A39</w:t>
            </w:r>
          </w:p>
        </w:tc>
        <w:tc>
          <w:tcPr>
            <w:tcW w:w="3620" w:type="dxa"/>
            <w:tcBorders>
              <w:top w:val="nil"/>
              <w:left w:val="nil"/>
              <w:bottom w:val="nil"/>
              <w:right w:val="nil"/>
            </w:tcBorders>
            <w:shd w:val="clear" w:color="auto" w:fill="auto"/>
            <w:vAlign w:val="center"/>
          </w:tcPr>
          <w:p w14:paraId="37D7D983" w14:textId="77777777" w:rsidR="00681771" w:rsidRPr="00673C1F" w:rsidRDefault="00681771" w:rsidP="00A233CF">
            <w:pPr>
              <w:pStyle w:val="TableTextLeft"/>
              <w:rPr>
                <w:rFonts w:cs="Arial"/>
                <w:szCs w:val="16"/>
              </w:rPr>
            </w:pPr>
            <w:r w:rsidRPr="00673C1F">
              <w:rPr>
                <w:rFonts w:cs="Arial"/>
                <w:szCs w:val="16"/>
              </w:rPr>
              <w:t>Exemption of Family Tax Benefit payments</w:t>
            </w:r>
          </w:p>
        </w:tc>
        <w:tc>
          <w:tcPr>
            <w:tcW w:w="889" w:type="dxa"/>
            <w:tcBorders>
              <w:top w:val="nil"/>
              <w:left w:val="nil"/>
              <w:bottom w:val="nil"/>
              <w:right w:val="nil"/>
            </w:tcBorders>
            <w:shd w:val="clear" w:color="auto" w:fill="auto"/>
            <w:noWrap/>
            <w:vAlign w:val="center"/>
          </w:tcPr>
          <w:p w14:paraId="6EC052D3" w14:textId="77777777" w:rsidR="00681771" w:rsidRPr="00673C1F" w:rsidRDefault="00681771" w:rsidP="00A233CF">
            <w:pPr>
              <w:pStyle w:val="TableTextRight"/>
              <w:rPr>
                <w:rFonts w:cs="Arial"/>
                <w:szCs w:val="16"/>
              </w:rPr>
            </w:pPr>
            <w:r w:rsidRPr="00673C1F">
              <w:rPr>
                <w:rFonts w:cs="Arial"/>
                <w:szCs w:val="16"/>
              </w:rPr>
              <w:t>1,720</w:t>
            </w:r>
          </w:p>
        </w:tc>
        <w:tc>
          <w:tcPr>
            <w:tcW w:w="814" w:type="dxa"/>
            <w:tcBorders>
              <w:top w:val="nil"/>
              <w:left w:val="nil"/>
              <w:bottom w:val="nil"/>
              <w:right w:val="nil"/>
            </w:tcBorders>
            <w:shd w:val="clear" w:color="auto" w:fill="auto"/>
            <w:vAlign w:val="center"/>
          </w:tcPr>
          <w:p w14:paraId="6336597E" w14:textId="16501834" w:rsidR="00681771" w:rsidRPr="00673C1F" w:rsidRDefault="006D727E" w:rsidP="00A233CF">
            <w:pPr>
              <w:pStyle w:val="TableTextRight"/>
              <w:rPr>
                <w:rFonts w:cs="Arial"/>
                <w:szCs w:val="16"/>
              </w:rPr>
            </w:pPr>
            <w:r w:rsidRPr="00673C1F">
              <w:rPr>
                <w:rFonts w:cs="Arial"/>
                <w:szCs w:val="16"/>
              </w:rPr>
              <w:noBreakHyphen/>
            </w:r>
            <w:r w:rsidR="00681771" w:rsidRPr="00673C1F">
              <w:rPr>
                <w:rFonts w:cs="Arial"/>
                <w:szCs w:val="16"/>
              </w:rPr>
              <w:t>7.7</w:t>
            </w:r>
          </w:p>
        </w:tc>
        <w:tc>
          <w:tcPr>
            <w:tcW w:w="850" w:type="dxa"/>
            <w:tcBorders>
              <w:top w:val="nil"/>
              <w:left w:val="nil"/>
              <w:bottom w:val="nil"/>
              <w:right w:val="nil"/>
            </w:tcBorders>
            <w:shd w:val="clear" w:color="auto" w:fill="auto"/>
            <w:noWrap/>
            <w:vAlign w:val="center"/>
          </w:tcPr>
          <w:p w14:paraId="371425E5" w14:textId="77777777" w:rsidR="00681771" w:rsidRPr="00673C1F" w:rsidRDefault="00681771" w:rsidP="00A233CF">
            <w:pPr>
              <w:pStyle w:val="TableTextRight"/>
              <w:rPr>
                <w:rFonts w:cs="Arial"/>
                <w:szCs w:val="16"/>
              </w:rPr>
            </w:pPr>
            <w:r w:rsidRPr="00673C1F">
              <w:rPr>
                <w:rFonts w:cs="Arial"/>
                <w:szCs w:val="16"/>
              </w:rPr>
              <w:t>4.8</w:t>
            </w:r>
          </w:p>
        </w:tc>
      </w:tr>
      <w:tr w:rsidR="00681771" w:rsidRPr="00BD68BD" w14:paraId="50519DBF" w14:textId="77777777" w:rsidTr="00254FB2">
        <w:trPr>
          <w:trHeight w:val="23"/>
        </w:trPr>
        <w:tc>
          <w:tcPr>
            <w:tcW w:w="1086" w:type="dxa"/>
            <w:tcBorders>
              <w:top w:val="nil"/>
              <w:left w:val="nil"/>
              <w:bottom w:val="nil"/>
              <w:right w:val="nil"/>
            </w:tcBorders>
            <w:shd w:val="clear" w:color="auto" w:fill="auto"/>
            <w:noWrap/>
            <w:vAlign w:val="center"/>
          </w:tcPr>
          <w:p w14:paraId="3119FA18" w14:textId="77777777" w:rsidR="00681771" w:rsidRPr="00673C1F" w:rsidRDefault="00681771" w:rsidP="00A233CF">
            <w:pPr>
              <w:pStyle w:val="TableTextLeft"/>
              <w:rPr>
                <w:rFonts w:cs="Arial"/>
                <w:szCs w:val="16"/>
              </w:rPr>
            </w:pPr>
            <w:r w:rsidRPr="00673C1F">
              <w:rPr>
                <w:rFonts w:cs="Arial"/>
                <w:szCs w:val="16"/>
              </w:rPr>
              <w:t>FBT</w:t>
            </w:r>
          </w:p>
        </w:tc>
        <w:tc>
          <w:tcPr>
            <w:tcW w:w="537" w:type="dxa"/>
            <w:tcBorders>
              <w:top w:val="nil"/>
              <w:left w:val="nil"/>
              <w:bottom w:val="nil"/>
              <w:right w:val="nil"/>
            </w:tcBorders>
            <w:shd w:val="clear" w:color="auto" w:fill="auto"/>
            <w:noWrap/>
            <w:vAlign w:val="center"/>
          </w:tcPr>
          <w:p w14:paraId="4C9C3040" w14:textId="77777777" w:rsidR="00681771" w:rsidRPr="00673C1F" w:rsidRDefault="00681771" w:rsidP="00A233CF">
            <w:pPr>
              <w:pStyle w:val="TableTextLeft"/>
              <w:rPr>
                <w:rFonts w:cs="Arial"/>
                <w:szCs w:val="16"/>
              </w:rPr>
            </w:pPr>
            <w:r w:rsidRPr="00673C1F">
              <w:rPr>
                <w:rFonts w:cs="Arial"/>
                <w:szCs w:val="16"/>
              </w:rPr>
              <w:t>D11</w:t>
            </w:r>
          </w:p>
        </w:tc>
        <w:tc>
          <w:tcPr>
            <w:tcW w:w="3620" w:type="dxa"/>
            <w:tcBorders>
              <w:top w:val="nil"/>
              <w:left w:val="nil"/>
              <w:bottom w:val="nil"/>
              <w:right w:val="nil"/>
            </w:tcBorders>
            <w:shd w:val="clear" w:color="auto" w:fill="auto"/>
            <w:vAlign w:val="center"/>
          </w:tcPr>
          <w:p w14:paraId="1EF3F6AC" w14:textId="1B90272E" w:rsidR="00681771" w:rsidRPr="00673C1F" w:rsidRDefault="00681771" w:rsidP="00A233CF">
            <w:pPr>
              <w:pStyle w:val="TableTextLeft"/>
              <w:rPr>
                <w:rFonts w:cs="Arial"/>
                <w:szCs w:val="16"/>
              </w:rPr>
            </w:pPr>
            <w:r w:rsidRPr="00673C1F">
              <w:rPr>
                <w:rFonts w:cs="Arial"/>
                <w:szCs w:val="16"/>
              </w:rPr>
              <w:t>Exemption for public and not</w:t>
            </w:r>
            <w:r w:rsidR="006D727E" w:rsidRPr="00673C1F">
              <w:rPr>
                <w:rFonts w:cs="Arial"/>
                <w:szCs w:val="16"/>
              </w:rPr>
              <w:noBreakHyphen/>
            </w:r>
            <w:r w:rsidRPr="00673C1F">
              <w:rPr>
                <w:rFonts w:cs="Arial"/>
                <w:szCs w:val="16"/>
              </w:rPr>
              <w:t>for</w:t>
            </w:r>
            <w:r w:rsidR="006D727E" w:rsidRPr="00673C1F">
              <w:rPr>
                <w:rFonts w:cs="Arial"/>
                <w:szCs w:val="16"/>
              </w:rPr>
              <w:noBreakHyphen/>
            </w:r>
            <w:r w:rsidRPr="00673C1F">
              <w:rPr>
                <w:rFonts w:cs="Arial"/>
                <w:szCs w:val="16"/>
              </w:rPr>
              <w:t>profit hospitals and public ambulance services</w:t>
            </w:r>
          </w:p>
        </w:tc>
        <w:tc>
          <w:tcPr>
            <w:tcW w:w="889" w:type="dxa"/>
            <w:tcBorders>
              <w:top w:val="nil"/>
              <w:left w:val="nil"/>
              <w:bottom w:val="nil"/>
              <w:right w:val="nil"/>
            </w:tcBorders>
            <w:shd w:val="clear" w:color="auto" w:fill="auto"/>
            <w:noWrap/>
            <w:vAlign w:val="center"/>
          </w:tcPr>
          <w:p w14:paraId="104ADBC9" w14:textId="77777777" w:rsidR="00681771" w:rsidRPr="00673C1F" w:rsidRDefault="00681771" w:rsidP="00A233CF">
            <w:pPr>
              <w:pStyle w:val="TableTextRight"/>
              <w:rPr>
                <w:rFonts w:cs="Arial"/>
                <w:szCs w:val="16"/>
              </w:rPr>
            </w:pPr>
            <w:r w:rsidRPr="00673C1F">
              <w:rPr>
                <w:rFonts w:cs="Arial"/>
                <w:szCs w:val="16"/>
              </w:rPr>
              <w:t>1,700</w:t>
            </w:r>
          </w:p>
        </w:tc>
        <w:tc>
          <w:tcPr>
            <w:tcW w:w="814" w:type="dxa"/>
            <w:tcBorders>
              <w:top w:val="nil"/>
              <w:left w:val="nil"/>
              <w:bottom w:val="nil"/>
              <w:right w:val="nil"/>
            </w:tcBorders>
            <w:shd w:val="clear" w:color="auto" w:fill="auto"/>
            <w:vAlign w:val="center"/>
          </w:tcPr>
          <w:p w14:paraId="22DE6372" w14:textId="77777777" w:rsidR="00681771" w:rsidRPr="00673C1F" w:rsidRDefault="00681771" w:rsidP="00A233CF">
            <w:pPr>
              <w:pStyle w:val="TableTextRight"/>
              <w:rPr>
                <w:rFonts w:cs="Arial"/>
                <w:szCs w:val="16"/>
              </w:rPr>
            </w:pPr>
            <w:r w:rsidRPr="00673C1F">
              <w:rPr>
                <w:rFonts w:cs="Arial"/>
                <w:szCs w:val="16"/>
              </w:rPr>
              <w:t>4.3</w:t>
            </w:r>
          </w:p>
        </w:tc>
        <w:tc>
          <w:tcPr>
            <w:tcW w:w="850" w:type="dxa"/>
            <w:tcBorders>
              <w:top w:val="nil"/>
              <w:left w:val="nil"/>
              <w:bottom w:val="nil"/>
              <w:right w:val="nil"/>
            </w:tcBorders>
            <w:shd w:val="clear" w:color="auto" w:fill="auto"/>
            <w:noWrap/>
            <w:vAlign w:val="center"/>
          </w:tcPr>
          <w:p w14:paraId="4899D372" w14:textId="77777777" w:rsidR="00681771" w:rsidRPr="00673C1F" w:rsidRDefault="00681771" w:rsidP="00A233CF">
            <w:pPr>
              <w:pStyle w:val="TableTextRight"/>
              <w:rPr>
                <w:rFonts w:cs="Arial"/>
                <w:szCs w:val="16"/>
              </w:rPr>
            </w:pPr>
            <w:r w:rsidRPr="00673C1F">
              <w:rPr>
                <w:rFonts w:cs="Arial"/>
                <w:szCs w:val="16"/>
              </w:rPr>
              <w:t>0.7</w:t>
            </w:r>
          </w:p>
        </w:tc>
      </w:tr>
      <w:tr w:rsidR="00681771" w:rsidRPr="00BD68BD" w14:paraId="799F1C0C" w14:textId="77777777" w:rsidTr="007160B7">
        <w:trPr>
          <w:trHeight w:val="23"/>
        </w:trPr>
        <w:tc>
          <w:tcPr>
            <w:tcW w:w="1086" w:type="dxa"/>
            <w:tcBorders>
              <w:top w:val="nil"/>
              <w:left w:val="nil"/>
              <w:right w:val="nil"/>
            </w:tcBorders>
            <w:shd w:val="clear" w:color="auto" w:fill="auto"/>
            <w:noWrap/>
            <w:vAlign w:val="center"/>
          </w:tcPr>
          <w:p w14:paraId="661D805A" w14:textId="77777777" w:rsidR="00681771" w:rsidRPr="00673C1F" w:rsidRDefault="00681771" w:rsidP="00A233CF">
            <w:pPr>
              <w:pStyle w:val="TableTextLeft"/>
              <w:rPr>
                <w:rFonts w:cs="Arial"/>
                <w:szCs w:val="16"/>
              </w:rPr>
            </w:pPr>
            <w:r w:rsidRPr="00673C1F">
              <w:rPr>
                <w:rFonts w:cs="Arial"/>
                <w:szCs w:val="16"/>
              </w:rPr>
              <w:t>Other</w:t>
            </w:r>
          </w:p>
        </w:tc>
        <w:tc>
          <w:tcPr>
            <w:tcW w:w="537" w:type="dxa"/>
            <w:tcBorders>
              <w:top w:val="nil"/>
              <w:left w:val="nil"/>
              <w:right w:val="nil"/>
            </w:tcBorders>
            <w:shd w:val="clear" w:color="auto" w:fill="auto"/>
            <w:noWrap/>
            <w:vAlign w:val="center"/>
          </w:tcPr>
          <w:p w14:paraId="14D1DFFA" w14:textId="77777777" w:rsidR="00681771" w:rsidRPr="00673C1F" w:rsidRDefault="00681771" w:rsidP="00A233CF">
            <w:pPr>
              <w:pStyle w:val="TableTextLeft"/>
              <w:rPr>
                <w:rFonts w:cs="Arial"/>
                <w:szCs w:val="16"/>
              </w:rPr>
            </w:pPr>
            <w:r w:rsidRPr="00673C1F">
              <w:rPr>
                <w:rFonts w:cs="Arial"/>
                <w:szCs w:val="16"/>
              </w:rPr>
              <w:t>F6</w:t>
            </w:r>
          </w:p>
        </w:tc>
        <w:tc>
          <w:tcPr>
            <w:tcW w:w="3620" w:type="dxa"/>
            <w:tcBorders>
              <w:top w:val="nil"/>
              <w:left w:val="nil"/>
              <w:right w:val="nil"/>
            </w:tcBorders>
            <w:shd w:val="clear" w:color="auto" w:fill="auto"/>
            <w:vAlign w:val="center"/>
          </w:tcPr>
          <w:p w14:paraId="528A4725" w14:textId="77777777" w:rsidR="00681771" w:rsidRPr="00673C1F" w:rsidRDefault="00681771" w:rsidP="00A233CF">
            <w:pPr>
              <w:pStyle w:val="TableTextLeft"/>
              <w:rPr>
                <w:rFonts w:cs="Arial"/>
                <w:szCs w:val="16"/>
              </w:rPr>
            </w:pPr>
            <w:r w:rsidRPr="00673C1F">
              <w:rPr>
                <w:rFonts w:cs="Arial"/>
                <w:szCs w:val="16"/>
              </w:rPr>
              <w:t>Concessional rate of excise levied on aviation gasoline and aviation turbine fuel</w:t>
            </w:r>
          </w:p>
        </w:tc>
        <w:tc>
          <w:tcPr>
            <w:tcW w:w="889" w:type="dxa"/>
            <w:tcBorders>
              <w:top w:val="nil"/>
              <w:left w:val="nil"/>
              <w:right w:val="nil"/>
            </w:tcBorders>
            <w:shd w:val="clear" w:color="auto" w:fill="auto"/>
            <w:noWrap/>
            <w:vAlign w:val="center"/>
          </w:tcPr>
          <w:p w14:paraId="1DD841AB" w14:textId="77777777" w:rsidR="00681771" w:rsidRPr="00673C1F" w:rsidRDefault="00681771" w:rsidP="00A233CF">
            <w:pPr>
              <w:pStyle w:val="TableTextRight"/>
              <w:rPr>
                <w:rFonts w:cs="Arial"/>
                <w:szCs w:val="16"/>
              </w:rPr>
            </w:pPr>
            <w:r w:rsidRPr="00673C1F">
              <w:rPr>
                <w:rFonts w:cs="Arial"/>
                <w:szCs w:val="16"/>
              </w:rPr>
              <w:t>1,620</w:t>
            </w:r>
          </w:p>
        </w:tc>
        <w:tc>
          <w:tcPr>
            <w:tcW w:w="814" w:type="dxa"/>
            <w:tcBorders>
              <w:top w:val="nil"/>
              <w:left w:val="nil"/>
              <w:right w:val="nil"/>
            </w:tcBorders>
            <w:shd w:val="clear" w:color="auto" w:fill="auto"/>
            <w:vAlign w:val="center"/>
          </w:tcPr>
          <w:p w14:paraId="0C5BEDD4" w14:textId="77777777" w:rsidR="00681771" w:rsidRPr="00673C1F" w:rsidRDefault="00681771" w:rsidP="00A233CF">
            <w:pPr>
              <w:pStyle w:val="TableTextRight"/>
              <w:rPr>
                <w:rFonts w:cs="Arial"/>
                <w:szCs w:val="16"/>
              </w:rPr>
            </w:pPr>
            <w:r w:rsidRPr="00673C1F">
              <w:rPr>
                <w:rFonts w:cs="Arial"/>
                <w:szCs w:val="16"/>
              </w:rPr>
              <w:t>10.5</w:t>
            </w:r>
          </w:p>
        </w:tc>
        <w:tc>
          <w:tcPr>
            <w:tcW w:w="850" w:type="dxa"/>
            <w:tcBorders>
              <w:top w:val="nil"/>
              <w:left w:val="nil"/>
              <w:right w:val="nil"/>
            </w:tcBorders>
            <w:shd w:val="clear" w:color="auto" w:fill="auto"/>
            <w:noWrap/>
            <w:vAlign w:val="center"/>
          </w:tcPr>
          <w:p w14:paraId="3DBF940A" w14:textId="77777777" w:rsidR="00681771" w:rsidRPr="00673C1F" w:rsidRDefault="00681771" w:rsidP="00A233CF">
            <w:pPr>
              <w:pStyle w:val="TableTextRight"/>
              <w:rPr>
                <w:rFonts w:cs="Arial"/>
                <w:szCs w:val="16"/>
              </w:rPr>
            </w:pPr>
            <w:r w:rsidRPr="00673C1F">
              <w:rPr>
                <w:rFonts w:cs="Arial"/>
                <w:szCs w:val="16"/>
              </w:rPr>
              <w:t>7.3</w:t>
            </w:r>
          </w:p>
        </w:tc>
      </w:tr>
      <w:tr w:rsidR="00681771" w:rsidRPr="00BD68BD" w14:paraId="486AFD1B" w14:textId="77777777" w:rsidTr="007160B7">
        <w:trPr>
          <w:trHeight w:val="23"/>
        </w:trPr>
        <w:tc>
          <w:tcPr>
            <w:tcW w:w="1086" w:type="dxa"/>
            <w:tcBorders>
              <w:top w:val="nil"/>
              <w:left w:val="nil"/>
              <w:bottom w:val="single" w:sz="4" w:space="0" w:color="002A54" w:themeColor="text2"/>
              <w:right w:val="nil"/>
            </w:tcBorders>
            <w:shd w:val="clear" w:color="auto" w:fill="auto"/>
            <w:noWrap/>
            <w:vAlign w:val="center"/>
          </w:tcPr>
          <w:p w14:paraId="6803DF15" w14:textId="77777777" w:rsidR="00681771" w:rsidRPr="00673C1F" w:rsidRDefault="00681771" w:rsidP="00A233CF">
            <w:pPr>
              <w:pStyle w:val="TableTextLeft"/>
              <w:rPr>
                <w:rFonts w:cs="Arial"/>
                <w:szCs w:val="16"/>
              </w:rPr>
            </w:pPr>
            <w:r w:rsidRPr="00673C1F">
              <w:rPr>
                <w:rFonts w:cs="Arial"/>
                <w:szCs w:val="16"/>
              </w:rPr>
              <w:t>Deductions</w:t>
            </w:r>
          </w:p>
        </w:tc>
        <w:tc>
          <w:tcPr>
            <w:tcW w:w="537" w:type="dxa"/>
            <w:tcBorders>
              <w:top w:val="nil"/>
              <w:left w:val="nil"/>
              <w:bottom w:val="single" w:sz="4" w:space="0" w:color="002A54" w:themeColor="text2"/>
              <w:right w:val="nil"/>
            </w:tcBorders>
            <w:shd w:val="clear" w:color="auto" w:fill="auto"/>
            <w:noWrap/>
            <w:vAlign w:val="center"/>
          </w:tcPr>
          <w:p w14:paraId="77922A07" w14:textId="77777777" w:rsidR="00681771" w:rsidRPr="00673C1F" w:rsidRDefault="00681771" w:rsidP="00A233CF">
            <w:pPr>
              <w:pStyle w:val="TableTextLeft"/>
              <w:rPr>
                <w:rFonts w:cs="Arial"/>
                <w:szCs w:val="16"/>
              </w:rPr>
            </w:pPr>
          </w:p>
        </w:tc>
        <w:tc>
          <w:tcPr>
            <w:tcW w:w="3620" w:type="dxa"/>
            <w:tcBorders>
              <w:top w:val="nil"/>
              <w:left w:val="nil"/>
              <w:bottom w:val="single" w:sz="4" w:space="0" w:color="002A54" w:themeColor="text2"/>
              <w:right w:val="nil"/>
            </w:tcBorders>
            <w:shd w:val="clear" w:color="auto" w:fill="auto"/>
            <w:vAlign w:val="center"/>
          </w:tcPr>
          <w:p w14:paraId="3D6342FB" w14:textId="77777777" w:rsidR="00681771" w:rsidRPr="00673C1F" w:rsidRDefault="00681771" w:rsidP="00A233CF">
            <w:pPr>
              <w:pStyle w:val="TableTextLeft"/>
              <w:rPr>
                <w:rFonts w:cs="Arial"/>
                <w:szCs w:val="16"/>
              </w:rPr>
            </w:pPr>
            <w:r w:rsidRPr="00673C1F">
              <w:rPr>
                <w:rFonts w:cs="Arial"/>
                <w:szCs w:val="16"/>
              </w:rPr>
              <w:t>Cost of managing tax affairs and other deductions</w:t>
            </w:r>
          </w:p>
        </w:tc>
        <w:tc>
          <w:tcPr>
            <w:tcW w:w="889" w:type="dxa"/>
            <w:tcBorders>
              <w:top w:val="nil"/>
              <w:left w:val="nil"/>
              <w:bottom w:val="single" w:sz="4" w:space="0" w:color="002A54" w:themeColor="text2"/>
              <w:right w:val="nil"/>
            </w:tcBorders>
            <w:shd w:val="clear" w:color="auto" w:fill="auto"/>
            <w:noWrap/>
            <w:vAlign w:val="center"/>
          </w:tcPr>
          <w:p w14:paraId="240D7B84" w14:textId="77777777" w:rsidR="00681771" w:rsidRPr="00673C1F" w:rsidRDefault="00681771" w:rsidP="00A233CF">
            <w:pPr>
              <w:pStyle w:val="TableTextRight"/>
              <w:rPr>
                <w:rFonts w:cs="Arial"/>
                <w:szCs w:val="16"/>
              </w:rPr>
            </w:pPr>
            <w:r w:rsidRPr="00673C1F">
              <w:rPr>
                <w:rFonts w:cs="Arial"/>
                <w:szCs w:val="16"/>
              </w:rPr>
              <w:t>1,600</w:t>
            </w:r>
          </w:p>
        </w:tc>
        <w:tc>
          <w:tcPr>
            <w:tcW w:w="814" w:type="dxa"/>
            <w:tcBorders>
              <w:top w:val="nil"/>
              <w:left w:val="nil"/>
              <w:bottom w:val="single" w:sz="4" w:space="0" w:color="002A54" w:themeColor="text2"/>
              <w:right w:val="nil"/>
            </w:tcBorders>
            <w:shd w:val="clear" w:color="auto" w:fill="auto"/>
            <w:vAlign w:val="center"/>
          </w:tcPr>
          <w:p w14:paraId="344832BF" w14:textId="77777777" w:rsidR="00681771" w:rsidRPr="00673C1F" w:rsidRDefault="00681771" w:rsidP="00A233CF">
            <w:pPr>
              <w:pStyle w:val="TableTextRight"/>
              <w:rPr>
                <w:rFonts w:cs="Arial"/>
                <w:szCs w:val="16"/>
              </w:rPr>
            </w:pPr>
            <w:r w:rsidRPr="00673C1F">
              <w:rPr>
                <w:rFonts w:cs="Arial"/>
                <w:szCs w:val="16"/>
              </w:rPr>
              <w:t>4.6</w:t>
            </w:r>
          </w:p>
        </w:tc>
        <w:tc>
          <w:tcPr>
            <w:tcW w:w="850" w:type="dxa"/>
            <w:tcBorders>
              <w:top w:val="nil"/>
              <w:left w:val="nil"/>
              <w:bottom w:val="single" w:sz="4" w:space="0" w:color="002A54" w:themeColor="text2"/>
              <w:right w:val="nil"/>
            </w:tcBorders>
            <w:shd w:val="clear" w:color="auto" w:fill="auto"/>
            <w:noWrap/>
            <w:vAlign w:val="center"/>
          </w:tcPr>
          <w:p w14:paraId="50CFA147" w14:textId="77777777" w:rsidR="00681771" w:rsidRPr="00673C1F" w:rsidRDefault="00681771" w:rsidP="00A233CF">
            <w:pPr>
              <w:pStyle w:val="TableTextRight"/>
              <w:rPr>
                <w:rFonts w:cs="Arial"/>
                <w:szCs w:val="16"/>
              </w:rPr>
            </w:pPr>
            <w:r w:rsidRPr="00673C1F">
              <w:rPr>
                <w:rFonts w:cs="Arial"/>
                <w:szCs w:val="16"/>
              </w:rPr>
              <w:t>0.0</w:t>
            </w:r>
          </w:p>
        </w:tc>
      </w:tr>
    </w:tbl>
    <w:p w14:paraId="319391A1" w14:textId="10BFFC10" w:rsidR="00356E70" w:rsidRPr="00673C1F" w:rsidRDefault="00356E70" w:rsidP="00356E70">
      <w:pPr>
        <w:pStyle w:val="ChartandTableFootnote"/>
        <w:ind w:left="0" w:firstLine="0"/>
        <w:rPr>
          <w:color w:val="auto"/>
        </w:rPr>
      </w:pPr>
      <w:r w:rsidRPr="00673C1F">
        <w:rPr>
          <w:color w:val="auto"/>
        </w:rPr>
        <w:t xml:space="preserve">* For deductions, </w:t>
      </w:r>
      <w:r w:rsidR="006D727E" w:rsidRPr="00673C1F">
        <w:rPr>
          <w:color w:val="auto"/>
        </w:rPr>
        <w:t>‘</w:t>
      </w:r>
      <w:r w:rsidR="006819F6" w:rsidRPr="00673C1F">
        <w:rPr>
          <w:color w:val="auto"/>
        </w:rPr>
        <w:t>R</w:t>
      </w:r>
      <w:r w:rsidRPr="00673C1F">
        <w:rPr>
          <w:color w:val="auto"/>
        </w:rPr>
        <w:t>evenue forgone</w:t>
      </w:r>
      <w:r w:rsidR="006D727E" w:rsidRPr="00673C1F">
        <w:rPr>
          <w:color w:val="auto"/>
        </w:rPr>
        <w:t>’</w:t>
      </w:r>
      <w:r w:rsidRPr="00673C1F">
        <w:rPr>
          <w:color w:val="auto"/>
        </w:rPr>
        <w:t xml:space="preserve"> refers to the reduction in tax in relation to the specified income year due to the utilisation of deductions.</w:t>
      </w:r>
    </w:p>
    <w:p w14:paraId="3D3E9CA4" w14:textId="3449903D" w:rsidR="005640E7" w:rsidRPr="00673C1F" w:rsidRDefault="005640E7" w:rsidP="00250C63">
      <w:pPr>
        <w:pStyle w:val="TableLine"/>
      </w:pPr>
    </w:p>
    <w:p w14:paraId="7EB9DF49" w14:textId="2417FF7A" w:rsidR="00356E70" w:rsidRPr="00673C1F" w:rsidRDefault="00356E70" w:rsidP="00356E70">
      <w:pPr>
        <w:pStyle w:val="TableHeadingcontinued"/>
        <w:rPr>
          <w:rFonts w:eastAsiaTheme="minorHAnsi"/>
          <w:b w:val="0"/>
        </w:rPr>
      </w:pPr>
      <w:r w:rsidRPr="00673C1F">
        <w:rPr>
          <w:b w:val="0"/>
        </w:rPr>
        <w:lastRenderedPageBreak/>
        <w:t xml:space="preserve">Table A.1: Estimates of large measured tax expenditures </w:t>
      </w:r>
      <w:r w:rsidR="006819F6" w:rsidRPr="00673C1F">
        <w:rPr>
          <w:b w:val="0"/>
        </w:rPr>
        <w:t xml:space="preserve">and deductions </w:t>
      </w:r>
      <w:r w:rsidRPr="00673C1F">
        <w:rPr>
          <w:b w:val="0"/>
        </w:rPr>
        <w:t>(continued)</w:t>
      </w:r>
      <w:r w:rsidRPr="00673C1F">
        <w:t xml:space="preserve"> </w:t>
      </w:r>
      <w:bookmarkStart w:id="50" w:name="_1744872077"/>
      <w:bookmarkEnd w:id="50"/>
    </w:p>
    <w:tbl>
      <w:tblPr>
        <w:tblW w:w="5000" w:type="pct"/>
        <w:tblLayout w:type="fixed"/>
        <w:tblCellMar>
          <w:left w:w="28" w:type="dxa"/>
          <w:right w:w="28" w:type="dxa"/>
        </w:tblCellMar>
        <w:tblLook w:val="04A0" w:firstRow="1" w:lastRow="0" w:firstColumn="1" w:lastColumn="0" w:noHBand="0" w:noVBand="1"/>
      </w:tblPr>
      <w:tblGrid>
        <w:gridCol w:w="1088"/>
        <w:gridCol w:w="537"/>
        <w:gridCol w:w="3620"/>
        <w:gridCol w:w="889"/>
        <w:gridCol w:w="788"/>
        <w:gridCol w:w="788"/>
      </w:tblGrid>
      <w:tr w:rsidR="00297D6A" w:rsidRPr="00BD68BD" w14:paraId="385D1BD7" w14:textId="77777777" w:rsidTr="007160B7">
        <w:trPr>
          <w:trHeight w:val="23"/>
        </w:trPr>
        <w:tc>
          <w:tcPr>
            <w:tcW w:w="1088" w:type="dxa"/>
            <w:tcBorders>
              <w:top w:val="single" w:sz="4" w:space="0" w:color="002A54" w:themeColor="text2"/>
              <w:left w:val="nil"/>
              <w:bottom w:val="single" w:sz="4" w:space="0" w:color="002A54" w:themeColor="text2"/>
              <w:right w:val="nil"/>
            </w:tcBorders>
            <w:shd w:val="clear" w:color="auto" w:fill="auto"/>
            <w:noWrap/>
            <w:vAlign w:val="bottom"/>
            <w:hideMark/>
          </w:tcPr>
          <w:p w14:paraId="55DD64A3" w14:textId="77777777" w:rsidR="00297D6A" w:rsidRPr="00673C1F" w:rsidRDefault="00297D6A" w:rsidP="00A233CF">
            <w:pPr>
              <w:pStyle w:val="TableColumnHeadingLeft"/>
            </w:pPr>
            <w:r w:rsidRPr="00673C1F">
              <w:t>Benchmark</w:t>
            </w:r>
          </w:p>
        </w:tc>
        <w:tc>
          <w:tcPr>
            <w:tcW w:w="537" w:type="dxa"/>
            <w:tcBorders>
              <w:top w:val="single" w:sz="4" w:space="0" w:color="002A54" w:themeColor="text2"/>
              <w:left w:val="nil"/>
              <w:bottom w:val="single" w:sz="4" w:space="0" w:color="002A54" w:themeColor="text2"/>
              <w:right w:val="nil"/>
            </w:tcBorders>
            <w:shd w:val="clear" w:color="auto" w:fill="auto"/>
            <w:noWrap/>
            <w:vAlign w:val="bottom"/>
            <w:hideMark/>
          </w:tcPr>
          <w:p w14:paraId="296A93DD" w14:textId="77777777" w:rsidR="00297D6A" w:rsidRPr="00673C1F" w:rsidRDefault="00297D6A" w:rsidP="00A233CF">
            <w:pPr>
              <w:pStyle w:val="TableColumnHeadingLeft"/>
            </w:pPr>
            <w:r w:rsidRPr="00673C1F">
              <w:t>Code</w:t>
            </w:r>
          </w:p>
        </w:tc>
        <w:tc>
          <w:tcPr>
            <w:tcW w:w="3620" w:type="dxa"/>
            <w:tcBorders>
              <w:top w:val="single" w:sz="4" w:space="0" w:color="002A54" w:themeColor="text2"/>
              <w:left w:val="nil"/>
              <w:bottom w:val="single" w:sz="4" w:space="0" w:color="002A54" w:themeColor="text2"/>
              <w:right w:val="nil"/>
            </w:tcBorders>
            <w:shd w:val="clear" w:color="auto" w:fill="auto"/>
            <w:noWrap/>
            <w:vAlign w:val="bottom"/>
            <w:hideMark/>
          </w:tcPr>
          <w:p w14:paraId="78B7462C" w14:textId="77777777" w:rsidR="00297D6A" w:rsidRPr="00673C1F" w:rsidRDefault="00297D6A" w:rsidP="00A233CF">
            <w:pPr>
              <w:pStyle w:val="TableColumnHeadingLeft"/>
            </w:pPr>
            <w:r w:rsidRPr="00673C1F">
              <w:t>Title</w:t>
            </w:r>
          </w:p>
        </w:tc>
        <w:tc>
          <w:tcPr>
            <w:tcW w:w="889" w:type="dxa"/>
            <w:tcBorders>
              <w:top w:val="single" w:sz="4" w:space="0" w:color="002A54" w:themeColor="text2"/>
              <w:left w:val="nil"/>
              <w:bottom w:val="single" w:sz="4" w:space="0" w:color="002A54" w:themeColor="text2"/>
              <w:right w:val="nil"/>
            </w:tcBorders>
            <w:shd w:val="clear" w:color="auto" w:fill="auto"/>
            <w:vAlign w:val="bottom"/>
            <w:hideMark/>
          </w:tcPr>
          <w:p w14:paraId="2A0BEB5D" w14:textId="60A5EB89" w:rsidR="00297D6A" w:rsidRPr="00673C1F" w:rsidRDefault="00297D6A" w:rsidP="00A233CF">
            <w:pPr>
              <w:pStyle w:val="TableColumnHeadingRight"/>
            </w:pPr>
            <w:r w:rsidRPr="00673C1F">
              <w:t>Revenue forgone/ value of deduction 2023</w:t>
            </w:r>
            <w:r w:rsidR="007D2C39" w:rsidRPr="00673C1F">
              <w:t>-</w:t>
            </w:r>
            <w:r w:rsidRPr="00673C1F">
              <w:t>24</w:t>
            </w:r>
            <w:r w:rsidR="00306633" w:rsidRPr="00673C1F">
              <w:t>*</w:t>
            </w:r>
            <w:r w:rsidRPr="00673C1F">
              <w:t xml:space="preserve"> ($m)</w:t>
            </w:r>
          </w:p>
        </w:tc>
        <w:tc>
          <w:tcPr>
            <w:tcW w:w="788" w:type="dxa"/>
            <w:tcBorders>
              <w:top w:val="single" w:sz="4" w:space="0" w:color="002A54" w:themeColor="text2"/>
              <w:left w:val="nil"/>
              <w:bottom w:val="single" w:sz="4" w:space="0" w:color="002A54" w:themeColor="text2"/>
              <w:right w:val="nil"/>
            </w:tcBorders>
            <w:shd w:val="clear" w:color="auto" w:fill="auto"/>
            <w:vAlign w:val="bottom"/>
            <w:hideMark/>
          </w:tcPr>
          <w:p w14:paraId="26511F7C" w14:textId="462E7D8B" w:rsidR="00297D6A" w:rsidRPr="00673C1F" w:rsidRDefault="00297D6A" w:rsidP="00A233CF">
            <w:pPr>
              <w:pStyle w:val="TableColumnHeadingRight"/>
            </w:pPr>
            <w:r w:rsidRPr="00673C1F">
              <w:t>Average growth 2019</w:t>
            </w:r>
            <w:r w:rsidR="007D2C39" w:rsidRPr="00673C1F">
              <w:t>-</w:t>
            </w:r>
            <w:r w:rsidRPr="00673C1F">
              <w:t xml:space="preserve">20 to </w:t>
            </w:r>
            <w:r w:rsidRPr="00673C1F">
              <w:br/>
              <w:t>2022</w:t>
            </w:r>
            <w:r w:rsidR="007D2C39" w:rsidRPr="00673C1F">
              <w:t>-</w:t>
            </w:r>
            <w:r w:rsidRPr="00673C1F">
              <w:t>23</w:t>
            </w:r>
            <w:r w:rsidR="007D2C39" w:rsidRPr="00673C1F">
              <w:t xml:space="preserve"> (%)</w:t>
            </w:r>
          </w:p>
        </w:tc>
        <w:tc>
          <w:tcPr>
            <w:tcW w:w="788" w:type="dxa"/>
            <w:tcBorders>
              <w:top w:val="single" w:sz="4" w:space="0" w:color="002A54" w:themeColor="text2"/>
              <w:left w:val="nil"/>
              <w:bottom w:val="single" w:sz="4" w:space="0" w:color="002A54" w:themeColor="text2"/>
              <w:right w:val="nil"/>
            </w:tcBorders>
            <w:shd w:val="clear" w:color="auto" w:fill="auto"/>
            <w:vAlign w:val="bottom"/>
            <w:hideMark/>
          </w:tcPr>
          <w:p w14:paraId="1131A394" w14:textId="75CFA44A" w:rsidR="00297D6A" w:rsidRPr="00673C1F" w:rsidRDefault="00297D6A" w:rsidP="00A233CF">
            <w:pPr>
              <w:pStyle w:val="TableColumnHeadingRight"/>
            </w:pPr>
            <w:r w:rsidRPr="00673C1F">
              <w:t>Average</w:t>
            </w:r>
            <w:r w:rsidR="003C42B8" w:rsidRPr="00673C1F">
              <w:t xml:space="preserve"> project</w:t>
            </w:r>
            <w:r w:rsidR="00B73FAF" w:rsidRPr="00673C1F">
              <w:t>ed</w:t>
            </w:r>
            <w:r w:rsidRPr="00673C1F">
              <w:t xml:space="preserve"> growth over FEs (%)</w:t>
            </w:r>
          </w:p>
        </w:tc>
      </w:tr>
      <w:tr w:rsidR="00297D6A" w:rsidRPr="00BD68BD" w14:paraId="53FEB8CD" w14:textId="77777777" w:rsidTr="007160B7">
        <w:trPr>
          <w:trHeight w:val="23"/>
        </w:trPr>
        <w:tc>
          <w:tcPr>
            <w:tcW w:w="1088" w:type="dxa"/>
            <w:tcBorders>
              <w:top w:val="single" w:sz="4" w:space="0" w:color="002A54" w:themeColor="text2"/>
              <w:left w:val="nil"/>
              <w:bottom w:val="nil"/>
              <w:right w:val="nil"/>
            </w:tcBorders>
            <w:shd w:val="clear" w:color="auto" w:fill="auto"/>
            <w:noWrap/>
            <w:vAlign w:val="center"/>
          </w:tcPr>
          <w:p w14:paraId="6701CDFC" w14:textId="77777777" w:rsidR="00297D6A" w:rsidRPr="00673C1F" w:rsidRDefault="00297D6A" w:rsidP="00A233CF">
            <w:pPr>
              <w:pStyle w:val="TableTextLeft"/>
            </w:pPr>
            <w:r w:rsidRPr="00673C1F">
              <w:rPr>
                <w:rFonts w:cs="Arial"/>
                <w:szCs w:val="16"/>
              </w:rPr>
              <w:t>GST</w:t>
            </w:r>
          </w:p>
        </w:tc>
        <w:tc>
          <w:tcPr>
            <w:tcW w:w="537" w:type="dxa"/>
            <w:tcBorders>
              <w:top w:val="single" w:sz="4" w:space="0" w:color="002A54" w:themeColor="text2"/>
              <w:left w:val="nil"/>
              <w:bottom w:val="nil"/>
              <w:right w:val="nil"/>
            </w:tcBorders>
            <w:shd w:val="clear" w:color="auto" w:fill="auto"/>
            <w:noWrap/>
            <w:vAlign w:val="center"/>
          </w:tcPr>
          <w:p w14:paraId="4B48364E" w14:textId="77777777" w:rsidR="00297D6A" w:rsidRPr="00673C1F" w:rsidRDefault="00297D6A" w:rsidP="00A233CF">
            <w:pPr>
              <w:pStyle w:val="TableTextLeft"/>
            </w:pPr>
            <w:r w:rsidRPr="00673C1F">
              <w:rPr>
                <w:rFonts w:cs="Arial"/>
                <w:szCs w:val="16"/>
              </w:rPr>
              <w:t>H18</w:t>
            </w:r>
          </w:p>
        </w:tc>
        <w:tc>
          <w:tcPr>
            <w:tcW w:w="3620" w:type="dxa"/>
            <w:tcBorders>
              <w:top w:val="single" w:sz="4" w:space="0" w:color="002A54" w:themeColor="text2"/>
              <w:left w:val="nil"/>
              <w:bottom w:val="nil"/>
              <w:right w:val="nil"/>
            </w:tcBorders>
            <w:shd w:val="clear" w:color="auto" w:fill="auto"/>
            <w:vAlign w:val="center"/>
          </w:tcPr>
          <w:p w14:paraId="2C582E8C" w14:textId="77777777" w:rsidR="00297D6A" w:rsidRPr="00673C1F" w:rsidRDefault="00297D6A" w:rsidP="00A233CF">
            <w:pPr>
              <w:pStyle w:val="TableTextLeft"/>
            </w:pPr>
            <w:r w:rsidRPr="00673C1F">
              <w:rPr>
                <w:rFonts w:cs="Arial"/>
                <w:szCs w:val="16"/>
              </w:rPr>
              <w:t>Health – residential care, community care and other care services</w:t>
            </w:r>
          </w:p>
        </w:tc>
        <w:tc>
          <w:tcPr>
            <w:tcW w:w="889" w:type="dxa"/>
            <w:tcBorders>
              <w:top w:val="single" w:sz="4" w:space="0" w:color="002A54" w:themeColor="text2"/>
              <w:left w:val="nil"/>
              <w:bottom w:val="nil"/>
              <w:right w:val="nil"/>
            </w:tcBorders>
            <w:shd w:val="clear" w:color="auto" w:fill="auto"/>
            <w:noWrap/>
            <w:vAlign w:val="center"/>
          </w:tcPr>
          <w:p w14:paraId="4DFE6D07" w14:textId="77777777" w:rsidR="00297D6A" w:rsidRPr="00673C1F" w:rsidRDefault="00297D6A" w:rsidP="00A233CF">
            <w:pPr>
              <w:pStyle w:val="TableTextRight"/>
            </w:pPr>
            <w:r w:rsidRPr="00673C1F">
              <w:rPr>
                <w:rFonts w:cs="Arial"/>
                <w:szCs w:val="16"/>
              </w:rPr>
              <w:t>1,600</w:t>
            </w:r>
          </w:p>
        </w:tc>
        <w:tc>
          <w:tcPr>
            <w:tcW w:w="788" w:type="dxa"/>
            <w:tcBorders>
              <w:top w:val="single" w:sz="4" w:space="0" w:color="002A54" w:themeColor="text2"/>
              <w:left w:val="nil"/>
              <w:bottom w:val="nil"/>
              <w:right w:val="nil"/>
            </w:tcBorders>
            <w:shd w:val="clear" w:color="auto" w:fill="auto"/>
            <w:vAlign w:val="center"/>
          </w:tcPr>
          <w:p w14:paraId="34A979EA" w14:textId="77777777" w:rsidR="00297D6A" w:rsidRPr="00673C1F" w:rsidRDefault="00297D6A" w:rsidP="00A233CF">
            <w:pPr>
              <w:pStyle w:val="TableTextRight"/>
            </w:pPr>
            <w:r w:rsidRPr="00673C1F">
              <w:rPr>
                <w:rFonts w:cs="Arial"/>
                <w:szCs w:val="16"/>
              </w:rPr>
              <w:t>6.2</w:t>
            </w:r>
          </w:p>
        </w:tc>
        <w:tc>
          <w:tcPr>
            <w:tcW w:w="788" w:type="dxa"/>
            <w:tcBorders>
              <w:top w:val="single" w:sz="4" w:space="0" w:color="002A54" w:themeColor="text2"/>
              <w:left w:val="nil"/>
              <w:bottom w:val="nil"/>
              <w:right w:val="nil"/>
            </w:tcBorders>
            <w:shd w:val="clear" w:color="auto" w:fill="auto"/>
            <w:noWrap/>
            <w:vAlign w:val="center"/>
          </w:tcPr>
          <w:p w14:paraId="64B6CDB6" w14:textId="77777777" w:rsidR="00297D6A" w:rsidRPr="00673C1F" w:rsidRDefault="00297D6A" w:rsidP="00A233CF">
            <w:pPr>
              <w:pStyle w:val="TableTextRight"/>
            </w:pPr>
            <w:r w:rsidRPr="00673C1F">
              <w:rPr>
                <w:rFonts w:cs="Arial"/>
                <w:szCs w:val="16"/>
              </w:rPr>
              <w:t>5.9</w:t>
            </w:r>
          </w:p>
        </w:tc>
      </w:tr>
      <w:tr w:rsidR="00297D6A" w:rsidRPr="00BD68BD" w14:paraId="30CE1790" w14:textId="77777777" w:rsidTr="00A233CF">
        <w:trPr>
          <w:trHeight w:val="23"/>
        </w:trPr>
        <w:tc>
          <w:tcPr>
            <w:tcW w:w="1088" w:type="dxa"/>
            <w:tcBorders>
              <w:top w:val="nil"/>
              <w:left w:val="nil"/>
              <w:bottom w:val="nil"/>
              <w:right w:val="nil"/>
            </w:tcBorders>
            <w:shd w:val="clear" w:color="auto" w:fill="auto"/>
            <w:noWrap/>
            <w:vAlign w:val="center"/>
          </w:tcPr>
          <w:p w14:paraId="6E0469B6" w14:textId="77777777" w:rsidR="00297D6A" w:rsidRPr="00673C1F" w:rsidRDefault="00297D6A" w:rsidP="00A233CF">
            <w:pPr>
              <w:pStyle w:val="TableTextLeft"/>
            </w:pPr>
            <w:r w:rsidRPr="00673C1F">
              <w:rPr>
                <w:rFonts w:cs="Arial"/>
                <w:szCs w:val="16"/>
              </w:rPr>
              <w:t>Income</w:t>
            </w:r>
          </w:p>
        </w:tc>
        <w:tc>
          <w:tcPr>
            <w:tcW w:w="537" w:type="dxa"/>
            <w:tcBorders>
              <w:top w:val="nil"/>
              <w:left w:val="nil"/>
              <w:bottom w:val="nil"/>
              <w:right w:val="nil"/>
            </w:tcBorders>
            <w:shd w:val="clear" w:color="auto" w:fill="auto"/>
            <w:noWrap/>
            <w:vAlign w:val="center"/>
          </w:tcPr>
          <w:p w14:paraId="3A5851C5" w14:textId="77777777" w:rsidR="00297D6A" w:rsidRPr="00673C1F" w:rsidRDefault="00297D6A" w:rsidP="00A233CF">
            <w:pPr>
              <w:pStyle w:val="TableTextLeft"/>
            </w:pPr>
            <w:r w:rsidRPr="00673C1F">
              <w:rPr>
                <w:rFonts w:cs="Arial"/>
                <w:szCs w:val="16"/>
              </w:rPr>
              <w:t>A18</w:t>
            </w:r>
          </w:p>
        </w:tc>
        <w:tc>
          <w:tcPr>
            <w:tcW w:w="3620" w:type="dxa"/>
            <w:tcBorders>
              <w:top w:val="nil"/>
              <w:left w:val="nil"/>
              <w:bottom w:val="nil"/>
              <w:right w:val="nil"/>
            </w:tcBorders>
            <w:shd w:val="clear" w:color="auto" w:fill="auto"/>
            <w:vAlign w:val="center"/>
          </w:tcPr>
          <w:p w14:paraId="6945C6B5" w14:textId="77777777" w:rsidR="00297D6A" w:rsidRPr="00673C1F" w:rsidRDefault="00297D6A" w:rsidP="00A233CF">
            <w:pPr>
              <w:pStyle w:val="TableTextLeft"/>
            </w:pPr>
            <w:r w:rsidRPr="00673C1F">
              <w:rPr>
                <w:rFonts w:cs="Arial"/>
                <w:szCs w:val="16"/>
              </w:rPr>
              <w:t>Exemption of the Private Health Insurance Rebate</w:t>
            </w:r>
          </w:p>
        </w:tc>
        <w:tc>
          <w:tcPr>
            <w:tcW w:w="889" w:type="dxa"/>
            <w:tcBorders>
              <w:top w:val="nil"/>
              <w:left w:val="nil"/>
              <w:bottom w:val="nil"/>
              <w:right w:val="nil"/>
            </w:tcBorders>
            <w:shd w:val="clear" w:color="auto" w:fill="auto"/>
            <w:noWrap/>
            <w:vAlign w:val="center"/>
          </w:tcPr>
          <w:p w14:paraId="34E50D48" w14:textId="77777777" w:rsidR="00297D6A" w:rsidRPr="00673C1F" w:rsidRDefault="00297D6A" w:rsidP="00A233CF">
            <w:pPr>
              <w:pStyle w:val="TableTextRight"/>
            </w:pPr>
            <w:r w:rsidRPr="00673C1F">
              <w:rPr>
                <w:rFonts w:cs="Arial"/>
                <w:szCs w:val="16"/>
              </w:rPr>
              <w:t>1,550</w:t>
            </w:r>
          </w:p>
        </w:tc>
        <w:tc>
          <w:tcPr>
            <w:tcW w:w="788" w:type="dxa"/>
            <w:tcBorders>
              <w:top w:val="nil"/>
              <w:left w:val="nil"/>
              <w:bottom w:val="nil"/>
              <w:right w:val="nil"/>
            </w:tcBorders>
            <w:shd w:val="clear" w:color="auto" w:fill="auto"/>
            <w:vAlign w:val="center"/>
          </w:tcPr>
          <w:p w14:paraId="523B62D7" w14:textId="06F4D4FF" w:rsidR="00297D6A" w:rsidRPr="00673C1F" w:rsidRDefault="006D727E" w:rsidP="00A233CF">
            <w:pPr>
              <w:pStyle w:val="TableTextRight"/>
            </w:pPr>
            <w:r w:rsidRPr="00673C1F">
              <w:rPr>
                <w:rFonts w:cs="Arial"/>
                <w:szCs w:val="16"/>
              </w:rPr>
              <w:noBreakHyphen/>
            </w:r>
            <w:r w:rsidR="00297D6A" w:rsidRPr="00673C1F">
              <w:rPr>
                <w:rFonts w:cs="Arial"/>
                <w:szCs w:val="16"/>
              </w:rPr>
              <w:t>2.2</w:t>
            </w:r>
          </w:p>
        </w:tc>
        <w:tc>
          <w:tcPr>
            <w:tcW w:w="788" w:type="dxa"/>
            <w:tcBorders>
              <w:top w:val="nil"/>
              <w:left w:val="nil"/>
              <w:bottom w:val="nil"/>
              <w:right w:val="nil"/>
            </w:tcBorders>
            <w:shd w:val="clear" w:color="auto" w:fill="auto"/>
            <w:noWrap/>
            <w:vAlign w:val="center"/>
          </w:tcPr>
          <w:p w14:paraId="4B4BAA39" w14:textId="77777777" w:rsidR="00297D6A" w:rsidRPr="00673C1F" w:rsidRDefault="00297D6A" w:rsidP="00A233CF">
            <w:pPr>
              <w:pStyle w:val="TableTextRight"/>
            </w:pPr>
            <w:r w:rsidRPr="00673C1F">
              <w:rPr>
                <w:rFonts w:cs="Arial"/>
                <w:szCs w:val="16"/>
              </w:rPr>
              <w:t>2.5</w:t>
            </w:r>
          </w:p>
        </w:tc>
      </w:tr>
      <w:tr w:rsidR="00297D6A" w:rsidRPr="00BD68BD" w14:paraId="0D232983" w14:textId="77777777" w:rsidTr="00A233CF">
        <w:trPr>
          <w:trHeight w:val="23"/>
        </w:trPr>
        <w:tc>
          <w:tcPr>
            <w:tcW w:w="1088" w:type="dxa"/>
            <w:tcBorders>
              <w:top w:val="nil"/>
              <w:left w:val="nil"/>
              <w:bottom w:val="nil"/>
              <w:right w:val="nil"/>
            </w:tcBorders>
            <w:shd w:val="clear" w:color="auto" w:fill="auto"/>
            <w:noWrap/>
            <w:vAlign w:val="center"/>
          </w:tcPr>
          <w:p w14:paraId="6D6AB465" w14:textId="77777777" w:rsidR="00297D6A" w:rsidRPr="00673C1F" w:rsidRDefault="00297D6A" w:rsidP="00A233CF">
            <w:pPr>
              <w:pStyle w:val="TableTextLeft"/>
            </w:pPr>
            <w:r w:rsidRPr="00673C1F">
              <w:rPr>
                <w:rFonts w:cs="Arial"/>
                <w:szCs w:val="16"/>
              </w:rPr>
              <w:t>Income</w:t>
            </w:r>
          </w:p>
        </w:tc>
        <w:tc>
          <w:tcPr>
            <w:tcW w:w="537" w:type="dxa"/>
            <w:tcBorders>
              <w:top w:val="nil"/>
              <w:left w:val="nil"/>
              <w:bottom w:val="nil"/>
              <w:right w:val="nil"/>
            </w:tcBorders>
            <w:shd w:val="clear" w:color="auto" w:fill="auto"/>
            <w:noWrap/>
            <w:vAlign w:val="center"/>
          </w:tcPr>
          <w:p w14:paraId="319772AA" w14:textId="77777777" w:rsidR="00297D6A" w:rsidRPr="00673C1F" w:rsidRDefault="00297D6A" w:rsidP="00A233CF">
            <w:pPr>
              <w:pStyle w:val="TableTextLeft"/>
            </w:pPr>
            <w:r w:rsidRPr="00673C1F">
              <w:rPr>
                <w:rFonts w:cs="Arial"/>
                <w:szCs w:val="16"/>
              </w:rPr>
              <w:t>B82</w:t>
            </w:r>
          </w:p>
        </w:tc>
        <w:tc>
          <w:tcPr>
            <w:tcW w:w="3620" w:type="dxa"/>
            <w:tcBorders>
              <w:top w:val="nil"/>
              <w:left w:val="nil"/>
              <w:bottom w:val="nil"/>
              <w:right w:val="nil"/>
            </w:tcBorders>
            <w:shd w:val="clear" w:color="auto" w:fill="auto"/>
            <w:vAlign w:val="center"/>
          </w:tcPr>
          <w:p w14:paraId="1A16B3DC" w14:textId="77777777" w:rsidR="00297D6A" w:rsidRPr="00673C1F" w:rsidRDefault="00297D6A" w:rsidP="00A233CF">
            <w:pPr>
              <w:pStyle w:val="TableTextLeft"/>
            </w:pPr>
            <w:r w:rsidRPr="00673C1F">
              <w:rPr>
                <w:rFonts w:cs="Arial"/>
                <w:szCs w:val="16"/>
              </w:rPr>
              <w:t>Capital works expenditure deduction</w:t>
            </w:r>
          </w:p>
        </w:tc>
        <w:tc>
          <w:tcPr>
            <w:tcW w:w="889" w:type="dxa"/>
            <w:tcBorders>
              <w:top w:val="nil"/>
              <w:left w:val="nil"/>
              <w:bottom w:val="nil"/>
              <w:right w:val="nil"/>
            </w:tcBorders>
            <w:shd w:val="clear" w:color="auto" w:fill="auto"/>
            <w:noWrap/>
            <w:vAlign w:val="center"/>
          </w:tcPr>
          <w:p w14:paraId="73FEB910" w14:textId="77777777" w:rsidR="00297D6A" w:rsidRPr="00673C1F" w:rsidRDefault="00297D6A" w:rsidP="00A233CF">
            <w:pPr>
              <w:pStyle w:val="TableTextRight"/>
            </w:pPr>
            <w:r w:rsidRPr="00673C1F">
              <w:rPr>
                <w:rFonts w:cs="Arial"/>
                <w:szCs w:val="16"/>
              </w:rPr>
              <w:t>1,450</w:t>
            </w:r>
          </w:p>
        </w:tc>
        <w:tc>
          <w:tcPr>
            <w:tcW w:w="788" w:type="dxa"/>
            <w:tcBorders>
              <w:top w:val="nil"/>
              <w:left w:val="nil"/>
              <w:bottom w:val="nil"/>
              <w:right w:val="nil"/>
            </w:tcBorders>
            <w:shd w:val="clear" w:color="auto" w:fill="auto"/>
            <w:vAlign w:val="center"/>
          </w:tcPr>
          <w:p w14:paraId="0E0E9938" w14:textId="77777777" w:rsidR="00297D6A" w:rsidRPr="00673C1F" w:rsidRDefault="00297D6A" w:rsidP="00A233CF">
            <w:pPr>
              <w:pStyle w:val="TableTextRight"/>
            </w:pPr>
            <w:r w:rsidRPr="00673C1F">
              <w:rPr>
                <w:rFonts w:cs="Arial"/>
                <w:szCs w:val="16"/>
              </w:rPr>
              <w:t>1.7</w:t>
            </w:r>
          </w:p>
        </w:tc>
        <w:tc>
          <w:tcPr>
            <w:tcW w:w="788" w:type="dxa"/>
            <w:tcBorders>
              <w:top w:val="nil"/>
              <w:left w:val="nil"/>
              <w:bottom w:val="nil"/>
              <w:right w:val="nil"/>
            </w:tcBorders>
            <w:shd w:val="clear" w:color="auto" w:fill="auto"/>
            <w:noWrap/>
            <w:vAlign w:val="center"/>
          </w:tcPr>
          <w:p w14:paraId="6118BD4D" w14:textId="77777777" w:rsidR="00297D6A" w:rsidRPr="00673C1F" w:rsidRDefault="00297D6A" w:rsidP="00A233CF">
            <w:pPr>
              <w:pStyle w:val="TableTextRight"/>
            </w:pPr>
            <w:r w:rsidRPr="00673C1F">
              <w:rPr>
                <w:rFonts w:cs="Arial"/>
                <w:szCs w:val="16"/>
              </w:rPr>
              <w:t>1.6</w:t>
            </w:r>
          </w:p>
        </w:tc>
      </w:tr>
      <w:tr w:rsidR="00297D6A" w:rsidRPr="00BD68BD" w14:paraId="43382004" w14:textId="77777777" w:rsidTr="00A233CF">
        <w:trPr>
          <w:trHeight w:val="23"/>
        </w:trPr>
        <w:tc>
          <w:tcPr>
            <w:tcW w:w="1088" w:type="dxa"/>
            <w:tcBorders>
              <w:top w:val="nil"/>
              <w:left w:val="nil"/>
              <w:bottom w:val="nil"/>
              <w:right w:val="nil"/>
            </w:tcBorders>
            <w:shd w:val="clear" w:color="auto" w:fill="auto"/>
            <w:noWrap/>
            <w:vAlign w:val="center"/>
          </w:tcPr>
          <w:p w14:paraId="18FC47B5" w14:textId="77777777" w:rsidR="00297D6A" w:rsidRPr="00673C1F" w:rsidRDefault="00297D6A" w:rsidP="00A233CF">
            <w:pPr>
              <w:pStyle w:val="TableTextLeft"/>
            </w:pPr>
            <w:r w:rsidRPr="00673C1F">
              <w:rPr>
                <w:rFonts w:cs="Arial"/>
                <w:szCs w:val="16"/>
              </w:rPr>
              <w:t>Income</w:t>
            </w:r>
          </w:p>
        </w:tc>
        <w:tc>
          <w:tcPr>
            <w:tcW w:w="537" w:type="dxa"/>
            <w:tcBorders>
              <w:top w:val="nil"/>
              <w:left w:val="nil"/>
              <w:bottom w:val="nil"/>
              <w:right w:val="nil"/>
            </w:tcBorders>
            <w:shd w:val="clear" w:color="auto" w:fill="auto"/>
            <w:noWrap/>
            <w:vAlign w:val="center"/>
          </w:tcPr>
          <w:p w14:paraId="21579850" w14:textId="77777777" w:rsidR="00297D6A" w:rsidRPr="00673C1F" w:rsidRDefault="00297D6A" w:rsidP="00A233CF">
            <w:pPr>
              <w:pStyle w:val="TableTextLeft"/>
            </w:pPr>
            <w:r w:rsidRPr="00673C1F">
              <w:rPr>
                <w:rFonts w:cs="Arial"/>
                <w:szCs w:val="16"/>
              </w:rPr>
              <w:t>A38</w:t>
            </w:r>
          </w:p>
        </w:tc>
        <w:tc>
          <w:tcPr>
            <w:tcW w:w="3620" w:type="dxa"/>
            <w:tcBorders>
              <w:top w:val="nil"/>
              <w:left w:val="nil"/>
              <w:bottom w:val="nil"/>
              <w:right w:val="nil"/>
            </w:tcBorders>
            <w:shd w:val="clear" w:color="auto" w:fill="auto"/>
            <w:vAlign w:val="center"/>
          </w:tcPr>
          <w:p w14:paraId="387AF953" w14:textId="77777777" w:rsidR="00297D6A" w:rsidRPr="00673C1F" w:rsidRDefault="00297D6A" w:rsidP="00A233CF">
            <w:pPr>
              <w:pStyle w:val="TableTextLeft"/>
            </w:pPr>
            <w:r w:rsidRPr="00673C1F">
              <w:rPr>
                <w:rFonts w:cs="Arial"/>
                <w:szCs w:val="16"/>
              </w:rPr>
              <w:t>Exemption of certain income support benefits, pensions or allowances</w:t>
            </w:r>
          </w:p>
        </w:tc>
        <w:tc>
          <w:tcPr>
            <w:tcW w:w="889" w:type="dxa"/>
            <w:tcBorders>
              <w:top w:val="nil"/>
              <w:left w:val="nil"/>
              <w:bottom w:val="nil"/>
              <w:right w:val="nil"/>
            </w:tcBorders>
            <w:shd w:val="clear" w:color="auto" w:fill="auto"/>
            <w:noWrap/>
            <w:vAlign w:val="center"/>
          </w:tcPr>
          <w:p w14:paraId="60BBAAD6" w14:textId="77777777" w:rsidR="00297D6A" w:rsidRPr="00673C1F" w:rsidRDefault="00297D6A" w:rsidP="00A233CF">
            <w:pPr>
              <w:pStyle w:val="TableTextRight"/>
            </w:pPr>
            <w:r w:rsidRPr="00673C1F">
              <w:rPr>
                <w:rFonts w:cs="Arial"/>
                <w:szCs w:val="16"/>
              </w:rPr>
              <w:t>1,400</w:t>
            </w:r>
          </w:p>
        </w:tc>
        <w:tc>
          <w:tcPr>
            <w:tcW w:w="788" w:type="dxa"/>
            <w:tcBorders>
              <w:top w:val="nil"/>
              <w:left w:val="nil"/>
              <w:bottom w:val="nil"/>
              <w:right w:val="nil"/>
            </w:tcBorders>
            <w:shd w:val="clear" w:color="auto" w:fill="auto"/>
            <w:vAlign w:val="center"/>
          </w:tcPr>
          <w:p w14:paraId="1A95AABD" w14:textId="6EF375BB" w:rsidR="00297D6A" w:rsidRPr="00673C1F" w:rsidRDefault="006D727E" w:rsidP="00A233CF">
            <w:pPr>
              <w:pStyle w:val="TableTextRight"/>
            </w:pPr>
            <w:r w:rsidRPr="00673C1F">
              <w:rPr>
                <w:rFonts w:cs="Arial"/>
                <w:szCs w:val="16"/>
              </w:rPr>
              <w:noBreakHyphen/>
            </w:r>
            <w:r w:rsidR="00297D6A" w:rsidRPr="00673C1F">
              <w:rPr>
                <w:rFonts w:cs="Arial"/>
                <w:szCs w:val="16"/>
              </w:rPr>
              <w:t>10.8</w:t>
            </w:r>
          </w:p>
        </w:tc>
        <w:tc>
          <w:tcPr>
            <w:tcW w:w="788" w:type="dxa"/>
            <w:tcBorders>
              <w:top w:val="nil"/>
              <w:left w:val="nil"/>
              <w:bottom w:val="nil"/>
              <w:right w:val="nil"/>
            </w:tcBorders>
            <w:shd w:val="clear" w:color="auto" w:fill="auto"/>
            <w:noWrap/>
            <w:vAlign w:val="center"/>
          </w:tcPr>
          <w:p w14:paraId="7AC3C3B6" w14:textId="77777777" w:rsidR="00297D6A" w:rsidRPr="00673C1F" w:rsidRDefault="00297D6A" w:rsidP="00A233CF">
            <w:pPr>
              <w:pStyle w:val="TableTextRight"/>
            </w:pPr>
            <w:r w:rsidRPr="00673C1F">
              <w:rPr>
                <w:rFonts w:cs="Arial"/>
                <w:szCs w:val="16"/>
              </w:rPr>
              <w:t>1.4</w:t>
            </w:r>
          </w:p>
        </w:tc>
      </w:tr>
      <w:tr w:rsidR="00297D6A" w:rsidRPr="00BD68BD" w14:paraId="02DFF486" w14:textId="77777777" w:rsidTr="00A233CF">
        <w:trPr>
          <w:trHeight w:val="23"/>
        </w:trPr>
        <w:tc>
          <w:tcPr>
            <w:tcW w:w="1088" w:type="dxa"/>
            <w:tcBorders>
              <w:top w:val="nil"/>
              <w:left w:val="nil"/>
              <w:bottom w:val="nil"/>
              <w:right w:val="nil"/>
            </w:tcBorders>
            <w:shd w:val="clear" w:color="auto" w:fill="auto"/>
            <w:noWrap/>
            <w:vAlign w:val="center"/>
          </w:tcPr>
          <w:p w14:paraId="5B311FE1" w14:textId="77777777" w:rsidR="00297D6A" w:rsidRPr="00673C1F" w:rsidRDefault="00297D6A" w:rsidP="00A233CF">
            <w:pPr>
              <w:pStyle w:val="TableTextLeft"/>
            </w:pPr>
            <w:r w:rsidRPr="00673C1F">
              <w:rPr>
                <w:rFonts w:cs="Arial"/>
                <w:szCs w:val="16"/>
              </w:rPr>
              <w:t>Super</w:t>
            </w:r>
          </w:p>
        </w:tc>
        <w:tc>
          <w:tcPr>
            <w:tcW w:w="537" w:type="dxa"/>
            <w:tcBorders>
              <w:top w:val="nil"/>
              <w:left w:val="nil"/>
              <w:bottom w:val="nil"/>
              <w:right w:val="nil"/>
            </w:tcBorders>
            <w:shd w:val="clear" w:color="auto" w:fill="auto"/>
            <w:noWrap/>
            <w:vAlign w:val="center"/>
          </w:tcPr>
          <w:p w14:paraId="06A0E032" w14:textId="77777777" w:rsidR="00297D6A" w:rsidRPr="00673C1F" w:rsidRDefault="00297D6A" w:rsidP="00A233CF">
            <w:pPr>
              <w:pStyle w:val="TableTextLeft"/>
            </w:pPr>
            <w:r w:rsidRPr="00673C1F">
              <w:rPr>
                <w:rFonts w:cs="Arial"/>
                <w:szCs w:val="16"/>
              </w:rPr>
              <w:t>C1</w:t>
            </w:r>
          </w:p>
        </w:tc>
        <w:tc>
          <w:tcPr>
            <w:tcW w:w="3620" w:type="dxa"/>
            <w:tcBorders>
              <w:top w:val="nil"/>
              <w:left w:val="nil"/>
              <w:bottom w:val="nil"/>
              <w:right w:val="nil"/>
            </w:tcBorders>
            <w:shd w:val="clear" w:color="auto" w:fill="auto"/>
            <w:vAlign w:val="center"/>
          </w:tcPr>
          <w:p w14:paraId="64C58F64" w14:textId="77777777" w:rsidR="00297D6A" w:rsidRPr="00673C1F" w:rsidRDefault="00297D6A" w:rsidP="00A233CF">
            <w:pPr>
              <w:pStyle w:val="TableTextLeft"/>
            </w:pPr>
            <w:r w:rsidRPr="00673C1F">
              <w:rPr>
                <w:rFonts w:cs="Arial"/>
                <w:szCs w:val="16"/>
              </w:rPr>
              <w:t>Concessional taxation of capital gains for superannuation funds</w:t>
            </w:r>
          </w:p>
        </w:tc>
        <w:tc>
          <w:tcPr>
            <w:tcW w:w="889" w:type="dxa"/>
            <w:tcBorders>
              <w:top w:val="nil"/>
              <w:left w:val="nil"/>
              <w:bottom w:val="nil"/>
              <w:right w:val="nil"/>
            </w:tcBorders>
            <w:shd w:val="clear" w:color="auto" w:fill="auto"/>
            <w:noWrap/>
            <w:vAlign w:val="center"/>
          </w:tcPr>
          <w:p w14:paraId="0A1AD622" w14:textId="77777777" w:rsidR="00297D6A" w:rsidRPr="00673C1F" w:rsidRDefault="00297D6A" w:rsidP="00A233CF">
            <w:pPr>
              <w:pStyle w:val="TableTextRight"/>
            </w:pPr>
            <w:r w:rsidRPr="00673C1F">
              <w:rPr>
                <w:rFonts w:cs="Arial"/>
                <w:szCs w:val="16"/>
              </w:rPr>
              <w:t>1,300</w:t>
            </w:r>
          </w:p>
        </w:tc>
        <w:tc>
          <w:tcPr>
            <w:tcW w:w="788" w:type="dxa"/>
            <w:tcBorders>
              <w:top w:val="nil"/>
              <w:left w:val="nil"/>
              <w:bottom w:val="nil"/>
              <w:right w:val="nil"/>
            </w:tcBorders>
            <w:shd w:val="clear" w:color="auto" w:fill="auto"/>
            <w:vAlign w:val="center"/>
          </w:tcPr>
          <w:p w14:paraId="429591EB" w14:textId="77777777" w:rsidR="00297D6A" w:rsidRPr="00673C1F" w:rsidRDefault="00297D6A" w:rsidP="00A233CF">
            <w:pPr>
              <w:pStyle w:val="TableTextRight"/>
            </w:pPr>
            <w:r w:rsidRPr="00673C1F">
              <w:rPr>
                <w:rFonts w:cs="Arial"/>
                <w:szCs w:val="16"/>
              </w:rPr>
              <w:t>7.1</w:t>
            </w:r>
          </w:p>
        </w:tc>
        <w:tc>
          <w:tcPr>
            <w:tcW w:w="788" w:type="dxa"/>
            <w:tcBorders>
              <w:top w:val="nil"/>
              <w:left w:val="nil"/>
              <w:bottom w:val="nil"/>
              <w:right w:val="nil"/>
            </w:tcBorders>
            <w:shd w:val="clear" w:color="auto" w:fill="auto"/>
            <w:noWrap/>
            <w:vAlign w:val="center"/>
          </w:tcPr>
          <w:p w14:paraId="7F0BCDB7" w14:textId="77777777" w:rsidR="00297D6A" w:rsidRPr="00673C1F" w:rsidRDefault="00297D6A" w:rsidP="00A233CF">
            <w:pPr>
              <w:pStyle w:val="TableTextRight"/>
            </w:pPr>
            <w:r w:rsidRPr="00673C1F">
              <w:rPr>
                <w:rFonts w:cs="Arial"/>
                <w:szCs w:val="16"/>
              </w:rPr>
              <w:t>2.7</w:t>
            </w:r>
          </w:p>
        </w:tc>
      </w:tr>
      <w:tr w:rsidR="00297D6A" w:rsidRPr="00BD68BD" w14:paraId="0F5E6B61" w14:textId="77777777" w:rsidTr="00A233CF">
        <w:trPr>
          <w:trHeight w:val="23"/>
        </w:trPr>
        <w:tc>
          <w:tcPr>
            <w:tcW w:w="1088" w:type="dxa"/>
            <w:tcBorders>
              <w:top w:val="nil"/>
              <w:left w:val="nil"/>
              <w:bottom w:val="nil"/>
              <w:right w:val="nil"/>
            </w:tcBorders>
            <w:shd w:val="clear" w:color="auto" w:fill="auto"/>
            <w:noWrap/>
            <w:vAlign w:val="center"/>
          </w:tcPr>
          <w:p w14:paraId="64B462B6" w14:textId="77777777" w:rsidR="00297D6A" w:rsidRPr="00673C1F" w:rsidRDefault="00297D6A" w:rsidP="00A233CF">
            <w:pPr>
              <w:pStyle w:val="TableTextLeft"/>
            </w:pPr>
            <w:r w:rsidRPr="00673C1F">
              <w:rPr>
                <w:rFonts w:cs="Arial"/>
                <w:szCs w:val="16"/>
              </w:rPr>
              <w:t>GST</w:t>
            </w:r>
          </w:p>
        </w:tc>
        <w:tc>
          <w:tcPr>
            <w:tcW w:w="537" w:type="dxa"/>
            <w:tcBorders>
              <w:top w:val="nil"/>
              <w:left w:val="nil"/>
              <w:bottom w:val="nil"/>
              <w:right w:val="nil"/>
            </w:tcBorders>
            <w:shd w:val="clear" w:color="auto" w:fill="auto"/>
            <w:noWrap/>
            <w:vAlign w:val="center"/>
          </w:tcPr>
          <w:p w14:paraId="773BDC7F" w14:textId="77777777" w:rsidR="00297D6A" w:rsidRPr="00673C1F" w:rsidRDefault="00297D6A" w:rsidP="00A233CF">
            <w:pPr>
              <w:pStyle w:val="TableTextLeft"/>
            </w:pPr>
            <w:r w:rsidRPr="00673C1F">
              <w:rPr>
                <w:rFonts w:cs="Arial"/>
                <w:szCs w:val="16"/>
              </w:rPr>
              <w:t>H3</w:t>
            </w:r>
          </w:p>
        </w:tc>
        <w:tc>
          <w:tcPr>
            <w:tcW w:w="3620" w:type="dxa"/>
            <w:tcBorders>
              <w:top w:val="nil"/>
              <w:left w:val="nil"/>
              <w:bottom w:val="nil"/>
              <w:right w:val="nil"/>
            </w:tcBorders>
            <w:shd w:val="clear" w:color="auto" w:fill="auto"/>
            <w:vAlign w:val="center"/>
          </w:tcPr>
          <w:p w14:paraId="4E86F90F" w14:textId="77777777" w:rsidR="00297D6A" w:rsidRPr="00673C1F" w:rsidRDefault="00297D6A" w:rsidP="00A233CF">
            <w:pPr>
              <w:pStyle w:val="TableTextLeft"/>
            </w:pPr>
            <w:r w:rsidRPr="00673C1F">
              <w:rPr>
                <w:rFonts w:cs="Arial"/>
                <w:szCs w:val="16"/>
              </w:rPr>
              <w:t>Financial supplies – reduced input tax credits</w:t>
            </w:r>
          </w:p>
        </w:tc>
        <w:tc>
          <w:tcPr>
            <w:tcW w:w="889" w:type="dxa"/>
            <w:tcBorders>
              <w:top w:val="nil"/>
              <w:left w:val="nil"/>
              <w:bottom w:val="nil"/>
              <w:right w:val="nil"/>
            </w:tcBorders>
            <w:shd w:val="clear" w:color="auto" w:fill="auto"/>
            <w:noWrap/>
            <w:vAlign w:val="center"/>
          </w:tcPr>
          <w:p w14:paraId="2B0D9748" w14:textId="77777777" w:rsidR="00297D6A" w:rsidRPr="00673C1F" w:rsidRDefault="00297D6A" w:rsidP="00A233CF">
            <w:pPr>
              <w:pStyle w:val="TableTextRight"/>
            </w:pPr>
            <w:r w:rsidRPr="00673C1F">
              <w:rPr>
                <w:rFonts w:cs="Arial"/>
                <w:szCs w:val="16"/>
              </w:rPr>
              <w:t>1,200</w:t>
            </w:r>
          </w:p>
        </w:tc>
        <w:tc>
          <w:tcPr>
            <w:tcW w:w="788" w:type="dxa"/>
            <w:tcBorders>
              <w:top w:val="nil"/>
              <w:left w:val="nil"/>
              <w:bottom w:val="nil"/>
              <w:right w:val="nil"/>
            </w:tcBorders>
            <w:shd w:val="clear" w:color="auto" w:fill="auto"/>
            <w:vAlign w:val="center"/>
          </w:tcPr>
          <w:p w14:paraId="43716F09" w14:textId="77777777" w:rsidR="00297D6A" w:rsidRPr="00673C1F" w:rsidRDefault="00297D6A" w:rsidP="00A233CF">
            <w:pPr>
              <w:pStyle w:val="TableTextRight"/>
            </w:pPr>
            <w:r w:rsidRPr="00673C1F">
              <w:rPr>
                <w:rFonts w:cs="Arial"/>
                <w:szCs w:val="16"/>
              </w:rPr>
              <w:t>10.1</w:t>
            </w:r>
          </w:p>
        </w:tc>
        <w:tc>
          <w:tcPr>
            <w:tcW w:w="788" w:type="dxa"/>
            <w:tcBorders>
              <w:top w:val="nil"/>
              <w:left w:val="nil"/>
              <w:bottom w:val="nil"/>
              <w:right w:val="nil"/>
            </w:tcBorders>
            <w:shd w:val="clear" w:color="auto" w:fill="auto"/>
            <w:noWrap/>
            <w:vAlign w:val="center"/>
          </w:tcPr>
          <w:p w14:paraId="71BD89DA" w14:textId="77777777" w:rsidR="00297D6A" w:rsidRPr="00673C1F" w:rsidRDefault="00297D6A" w:rsidP="00A233CF">
            <w:pPr>
              <w:pStyle w:val="TableTextRight"/>
            </w:pPr>
            <w:r w:rsidRPr="00673C1F">
              <w:rPr>
                <w:rFonts w:cs="Arial"/>
                <w:szCs w:val="16"/>
              </w:rPr>
              <w:t>7.8</w:t>
            </w:r>
          </w:p>
        </w:tc>
      </w:tr>
      <w:tr w:rsidR="00297D6A" w:rsidRPr="00BD68BD" w14:paraId="25449DED" w14:textId="77777777" w:rsidTr="00A233CF">
        <w:trPr>
          <w:trHeight w:val="23"/>
        </w:trPr>
        <w:tc>
          <w:tcPr>
            <w:tcW w:w="1088" w:type="dxa"/>
            <w:tcBorders>
              <w:top w:val="nil"/>
              <w:left w:val="nil"/>
              <w:bottom w:val="nil"/>
              <w:right w:val="nil"/>
            </w:tcBorders>
            <w:shd w:val="clear" w:color="auto" w:fill="auto"/>
            <w:noWrap/>
            <w:vAlign w:val="center"/>
          </w:tcPr>
          <w:p w14:paraId="344A3364" w14:textId="77777777" w:rsidR="00297D6A" w:rsidRPr="00673C1F" w:rsidRDefault="00297D6A" w:rsidP="00A233CF">
            <w:pPr>
              <w:pStyle w:val="TableTextLeft"/>
            </w:pPr>
            <w:r w:rsidRPr="00673C1F">
              <w:rPr>
                <w:rFonts w:cs="Arial"/>
                <w:szCs w:val="16"/>
              </w:rPr>
              <w:t>GST</w:t>
            </w:r>
          </w:p>
        </w:tc>
        <w:tc>
          <w:tcPr>
            <w:tcW w:w="537" w:type="dxa"/>
            <w:tcBorders>
              <w:top w:val="nil"/>
              <w:left w:val="nil"/>
              <w:bottom w:val="nil"/>
              <w:right w:val="nil"/>
            </w:tcBorders>
            <w:shd w:val="clear" w:color="auto" w:fill="auto"/>
            <w:noWrap/>
            <w:vAlign w:val="center"/>
          </w:tcPr>
          <w:p w14:paraId="1DA2644A" w14:textId="77777777" w:rsidR="00297D6A" w:rsidRPr="00673C1F" w:rsidRDefault="00297D6A" w:rsidP="00A233CF">
            <w:pPr>
              <w:pStyle w:val="TableTextLeft"/>
            </w:pPr>
            <w:r w:rsidRPr="00673C1F">
              <w:rPr>
                <w:rFonts w:cs="Arial"/>
                <w:szCs w:val="16"/>
              </w:rPr>
              <w:t>H6</w:t>
            </w:r>
          </w:p>
        </w:tc>
        <w:tc>
          <w:tcPr>
            <w:tcW w:w="3620" w:type="dxa"/>
            <w:tcBorders>
              <w:top w:val="nil"/>
              <w:left w:val="nil"/>
              <w:bottom w:val="nil"/>
              <w:right w:val="nil"/>
            </w:tcBorders>
            <w:shd w:val="clear" w:color="auto" w:fill="auto"/>
            <w:vAlign w:val="center"/>
          </w:tcPr>
          <w:p w14:paraId="79EE2001" w14:textId="77777777" w:rsidR="00297D6A" w:rsidRPr="00673C1F" w:rsidRDefault="00297D6A" w:rsidP="00A233CF">
            <w:pPr>
              <w:pStyle w:val="TableTextLeft"/>
            </w:pPr>
            <w:r w:rsidRPr="00673C1F">
              <w:rPr>
                <w:rFonts w:cs="Arial"/>
                <w:szCs w:val="16"/>
              </w:rPr>
              <w:t>Water, sewerage and drainage</w:t>
            </w:r>
          </w:p>
        </w:tc>
        <w:tc>
          <w:tcPr>
            <w:tcW w:w="889" w:type="dxa"/>
            <w:tcBorders>
              <w:top w:val="nil"/>
              <w:left w:val="nil"/>
              <w:bottom w:val="nil"/>
              <w:right w:val="nil"/>
            </w:tcBorders>
            <w:shd w:val="clear" w:color="auto" w:fill="auto"/>
            <w:noWrap/>
            <w:vAlign w:val="center"/>
          </w:tcPr>
          <w:p w14:paraId="3F4EBE40" w14:textId="77777777" w:rsidR="00297D6A" w:rsidRPr="00673C1F" w:rsidRDefault="00297D6A" w:rsidP="00A233CF">
            <w:pPr>
              <w:pStyle w:val="TableTextRight"/>
            </w:pPr>
            <w:r w:rsidRPr="00673C1F">
              <w:rPr>
                <w:rFonts w:cs="Arial"/>
                <w:szCs w:val="16"/>
              </w:rPr>
              <w:t>1,190</w:t>
            </w:r>
          </w:p>
        </w:tc>
        <w:tc>
          <w:tcPr>
            <w:tcW w:w="788" w:type="dxa"/>
            <w:tcBorders>
              <w:top w:val="nil"/>
              <w:left w:val="nil"/>
              <w:bottom w:val="nil"/>
              <w:right w:val="nil"/>
            </w:tcBorders>
            <w:shd w:val="clear" w:color="auto" w:fill="auto"/>
            <w:vAlign w:val="center"/>
          </w:tcPr>
          <w:p w14:paraId="4AE568B4" w14:textId="77777777" w:rsidR="00297D6A" w:rsidRPr="00673C1F" w:rsidRDefault="00297D6A" w:rsidP="00A233CF">
            <w:pPr>
              <w:pStyle w:val="TableTextRight"/>
            </w:pPr>
            <w:r w:rsidRPr="00673C1F">
              <w:rPr>
                <w:rFonts w:cs="Arial"/>
                <w:szCs w:val="16"/>
              </w:rPr>
              <w:t>1.8</w:t>
            </w:r>
          </w:p>
        </w:tc>
        <w:tc>
          <w:tcPr>
            <w:tcW w:w="788" w:type="dxa"/>
            <w:tcBorders>
              <w:top w:val="nil"/>
              <w:left w:val="nil"/>
              <w:bottom w:val="nil"/>
              <w:right w:val="nil"/>
            </w:tcBorders>
            <w:shd w:val="clear" w:color="auto" w:fill="auto"/>
            <w:noWrap/>
            <w:vAlign w:val="center"/>
          </w:tcPr>
          <w:p w14:paraId="5DEE97DB" w14:textId="77777777" w:rsidR="00297D6A" w:rsidRPr="00673C1F" w:rsidRDefault="00297D6A" w:rsidP="00A233CF">
            <w:pPr>
              <w:pStyle w:val="TableTextRight"/>
            </w:pPr>
            <w:r w:rsidRPr="00673C1F">
              <w:rPr>
                <w:rFonts w:cs="Arial"/>
                <w:szCs w:val="16"/>
              </w:rPr>
              <w:t>2.9</w:t>
            </w:r>
          </w:p>
        </w:tc>
      </w:tr>
      <w:tr w:rsidR="00297D6A" w:rsidRPr="00BD68BD" w14:paraId="2842C7A1" w14:textId="77777777" w:rsidTr="00A233CF">
        <w:trPr>
          <w:trHeight w:val="23"/>
        </w:trPr>
        <w:tc>
          <w:tcPr>
            <w:tcW w:w="1088" w:type="dxa"/>
            <w:tcBorders>
              <w:top w:val="nil"/>
              <w:left w:val="nil"/>
              <w:bottom w:val="nil"/>
              <w:right w:val="nil"/>
            </w:tcBorders>
            <w:shd w:val="clear" w:color="auto" w:fill="auto"/>
            <w:noWrap/>
            <w:vAlign w:val="center"/>
          </w:tcPr>
          <w:p w14:paraId="546B601E" w14:textId="77777777" w:rsidR="00297D6A" w:rsidRPr="00673C1F" w:rsidRDefault="00297D6A" w:rsidP="00A233CF">
            <w:pPr>
              <w:pStyle w:val="TableTextLeft"/>
            </w:pPr>
            <w:r w:rsidRPr="00673C1F">
              <w:rPr>
                <w:rFonts w:cs="Arial"/>
                <w:szCs w:val="16"/>
              </w:rPr>
              <w:t>FBT</w:t>
            </w:r>
          </w:p>
        </w:tc>
        <w:tc>
          <w:tcPr>
            <w:tcW w:w="537" w:type="dxa"/>
            <w:tcBorders>
              <w:top w:val="nil"/>
              <w:left w:val="nil"/>
              <w:bottom w:val="nil"/>
              <w:right w:val="nil"/>
            </w:tcBorders>
            <w:shd w:val="clear" w:color="auto" w:fill="auto"/>
            <w:noWrap/>
            <w:vAlign w:val="center"/>
          </w:tcPr>
          <w:p w14:paraId="365342A1" w14:textId="77777777" w:rsidR="00297D6A" w:rsidRPr="00673C1F" w:rsidRDefault="00297D6A" w:rsidP="00A233CF">
            <w:pPr>
              <w:pStyle w:val="TableTextLeft"/>
            </w:pPr>
            <w:r w:rsidRPr="00673C1F">
              <w:rPr>
                <w:rFonts w:cs="Arial"/>
                <w:szCs w:val="16"/>
              </w:rPr>
              <w:t>D21</w:t>
            </w:r>
          </w:p>
        </w:tc>
        <w:tc>
          <w:tcPr>
            <w:tcW w:w="3620" w:type="dxa"/>
            <w:tcBorders>
              <w:top w:val="nil"/>
              <w:left w:val="nil"/>
              <w:bottom w:val="nil"/>
              <w:right w:val="nil"/>
            </w:tcBorders>
            <w:shd w:val="clear" w:color="auto" w:fill="auto"/>
            <w:vAlign w:val="center"/>
          </w:tcPr>
          <w:p w14:paraId="332FEB43" w14:textId="77777777" w:rsidR="00297D6A" w:rsidRPr="00673C1F" w:rsidRDefault="00297D6A" w:rsidP="00A233CF">
            <w:pPr>
              <w:pStyle w:val="TableTextLeft"/>
            </w:pPr>
            <w:r w:rsidRPr="00673C1F">
              <w:rPr>
                <w:rFonts w:cs="Arial"/>
                <w:szCs w:val="16"/>
              </w:rPr>
              <w:t>Application of statutory formula to value car benefits</w:t>
            </w:r>
          </w:p>
        </w:tc>
        <w:tc>
          <w:tcPr>
            <w:tcW w:w="889" w:type="dxa"/>
            <w:tcBorders>
              <w:top w:val="nil"/>
              <w:left w:val="nil"/>
              <w:bottom w:val="nil"/>
              <w:right w:val="nil"/>
            </w:tcBorders>
            <w:shd w:val="clear" w:color="auto" w:fill="auto"/>
            <w:noWrap/>
            <w:vAlign w:val="center"/>
          </w:tcPr>
          <w:p w14:paraId="50613BD6" w14:textId="77777777" w:rsidR="00297D6A" w:rsidRPr="00673C1F" w:rsidRDefault="00297D6A" w:rsidP="00A233CF">
            <w:pPr>
              <w:pStyle w:val="TableTextRight"/>
            </w:pPr>
            <w:r w:rsidRPr="00673C1F">
              <w:rPr>
                <w:rFonts w:cs="Arial"/>
                <w:szCs w:val="16"/>
              </w:rPr>
              <w:t>1,100</w:t>
            </w:r>
          </w:p>
        </w:tc>
        <w:tc>
          <w:tcPr>
            <w:tcW w:w="788" w:type="dxa"/>
            <w:tcBorders>
              <w:top w:val="nil"/>
              <w:left w:val="nil"/>
              <w:bottom w:val="nil"/>
              <w:right w:val="nil"/>
            </w:tcBorders>
            <w:shd w:val="clear" w:color="auto" w:fill="auto"/>
            <w:vAlign w:val="center"/>
          </w:tcPr>
          <w:p w14:paraId="3D415A0F" w14:textId="77777777" w:rsidR="00297D6A" w:rsidRPr="00673C1F" w:rsidRDefault="00297D6A" w:rsidP="00A233CF">
            <w:pPr>
              <w:pStyle w:val="TableTextRight"/>
            </w:pPr>
            <w:r w:rsidRPr="00673C1F">
              <w:rPr>
                <w:rFonts w:cs="Arial"/>
                <w:szCs w:val="16"/>
              </w:rPr>
              <w:t>12.4</w:t>
            </w:r>
          </w:p>
        </w:tc>
        <w:tc>
          <w:tcPr>
            <w:tcW w:w="788" w:type="dxa"/>
            <w:tcBorders>
              <w:top w:val="nil"/>
              <w:left w:val="nil"/>
              <w:bottom w:val="nil"/>
              <w:right w:val="nil"/>
            </w:tcBorders>
            <w:shd w:val="clear" w:color="auto" w:fill="auto"/>
            <w:noWrap/>
            <w:vAlign w:val="center"/>
          </w:tcPr>
          <w:p w14:paraId="0F28B8B6" w14:textId="77777777" w:rsidR="00297D6A" w:rsidRPr="00673C1F" w:rsidRDefault="00297D6A" w:rsidP="00A233CF">
            <w:pPr>
              <w:pStyle w:val="TableTextRight"/>
            </w:pPr>
            <w:r w:rsidRPr="00673C1F">
              <w:rPr>
                <w:rFonts w:cs="Arial"/>
                <w:szCs w:val="16"/>
              </w:rPr>
              <w:t>1.7</w:t>
            </w:r>
          </w:p>
        </w:tc>
      </w:tr>
      <w:tr w:rsidR="00297D6A" w:rsidRPr="00BD68BD" w14:paraId="478143E2" w14:textId="77777777" w:rsidTr="00A233CF">
        <w:trPr>
          <w:trHeight w:val="23"/>
        </w:trPr>
        <w:tc>
          <w:tcPr>
            <w:tcW w:w="1088" w:type="dxa"/>
            <w:tcBorders>
              <w:top w:val="nil"/>
              <w:left w:val="nil"/>
              <w:bottom w:val="nil"/>
              <w:right w:val="nil"/>
            </w:tcBorders>
            <w:shd w:val="clear" w:color="auto" w:fill="auto"/>
            <w:noWrap/>
            <w:vAlign w:val="center"/>
          </w:tcPr>
          <w:p w14:paraId="24F13718" w14:textId="77777777" w:rsidR="00297D6A" w:rsidRPr="00673C1F" w:rsidRDefault="00297D6A" w:rsidP="00A233CF">
            <w:pPr>
              <w:pStyle w:val="TableTextLeft"/>
              <w:rPr>
                <w:rFonts w:cs="Arial"/>
                <w:szCs w:val="16"/>
              </w:rPr>
            </w:pPr>
            <w:r w:rsidRPr="00673C1F">
              <w:rPr>
                <w:rFonts w:cs="Arial"/>
                <w:szCs w:val="16"/>
              </w:rPr>
              <w:t>Income</w:t>
            </w:r>
          </w:p>
        </w:tc>
        <w:tc>
          <w:tcPr>
            <w:tcW w:w="537" w:type="dxa"/>
            <w:tcBorders>
              <w:top w:val="nil"/>
              <w:left w:val="nil"/>
              <w:bottom w:val="nil"/>
              <w:right w:val="nil"/>
            </w:tcBorders>
            <w:shd w:val="clear" w:color="auto" w:fill="auto"/>
            <w:noWrap/>
            <w:vAlign w:val="center"/>
          </w:tcPr>
          <w:p w14:paraId="54DB51C2" w14:textId="77777777" w:rsidR="00297D6A" w:rsidRPr="00673C1F" w:rsidRDefault="00297D6A" w:rsidP="00A233CF">
            <w:pPr>
              <w:pStyle w:val="TableTextLeft"/>
              <w:rPr>
                <w:rFonts w:cs="Arial"/>
                <w:szCs w:val="16"/>
              </w:rPr>
            </w:pPr>
            <w:r w:rsidRPr="00673C1F">
              <w:rPr>
                <w:rFonts w:cs="Arial"/>
                <w:szCs w:val="16"/>
              </w:rPr>
              <w:t>B12</w:t>
            </w:r>
          </w:p>
        </w:tc>
        <w:tc>
          <w:tcPr>
            <w:tcW w:w="3620" w:type="dxa"/>
            <w:tcBorders>
              <w:top w:val="nil"/>
              <w:left w:val="nil"/>
              <w:bottom w:val="nil"/>
              <w:right w:val="nil"/>
            </w:tcBorders>
            <w:shd w:val="clear" w:color="auto" w:fill="auto"/>
            <w:vAlign w:val="center"/>
          </w:tcPr>
          <w:p w14:paraId="7CDC6899" w14:textId="314ECA8A" w:rsidR="00297D6A" w:rsidRPr="00673C1F" w:rsidRDefault="00297D6A" w:rsidP="00A233CF">
            <w:pPr>
              <w:pStyle w:val="TableTextLeft"/>
              <w:rPr>
                <w:rFonts w:cs="Arial"/>
                <w:szCs w:val="16"/>
              </w:rPr>
            </w:pPr>
            <w:r w:rsidRPr="00673C1F">
              <w:rPr>
                <w:rFonts w:cs="Arial"/>
                <w:szCs w:val="16"/>
              </w:rPr>
              <w:t>Exemption of inbound non</w:t>
            </w:r>
            <w:r w:rsidR="006D727E" w:rsidRPr="00673C1F">
              <w:rPr>
                <w:rFonts w:cs="Arial"/>
                <w:szCs w:val="16"/>
              </w:rPr>
              <w:noBreakHyphen/>
            </w:r>
            <w:r w:rsidRPr="00673C1F">
              <w:rPr>
                <w:rFonts w:cs="Arial"/>
                <w:szCs w:val="16"/>
              </w:rPr>
              <w:t>portfolio distributions from income tax</w:t>
            </w:r>
          </w:p>
        </w:tc>
        <w:tc>
          <w:tcPr>
            <w:tcW w:w="889" w:type="dxa"/>
            <w:tcBorders>
              <w:top w:val="nil"/>
              <w:left w:val="nil"/>
              <w:bottom w:val="nil"/>
              <w:right w:val="nil"/>
            </w:tcBorders>
            <w:shd w:val="clear" w:color="auto" w:fill="auto"/>
            <w:noWrap/>
            <w:vAlign w:val="center"/>
          </w:tcPr>
          <w:p w14:paraId="2EA5AFB7" w14:textId="77777777" w:rsidR="00297D6A" w:rsidRPr="00673C1F" w:rsidRDefault="00297D6A" w:rsidP="00A233CF">
            <w:pPr>
              <w:pStyle w:val="TableTextRight"/>
              <w:rPr>
                <w:rFonts w:cs="Arial"/>
                <w:szCs w:val="16"/>
              </w:rPr>
            </w:pPr>
            <w:r w:rsidRPr="00673C1F">
              <w:rPr>
                <w:rFonts w:cs="Arial"/>
                <w:szCs w:val="16"/>
              </w:rPr>
              <w:t>1,060</w:t>
            </w:r>
          </w:p>
        </w:tc>
        <w:tc>
          <w:tcPr>
            <w:tcW w:w="788" w:type="dxa"/>
            <w:tcBorders>
              <w:top w:val="nil"/>
              <w:left w:val="nil"/>
              <w:bottom w:val="nil"/>
              <w:right w:val="nil"/>
            </w:tcBorders>
            <w:shd w:val="clear" w:color="auto" w:fill="auto"/>
            <w:vAlign w:val="center"/>
          </w:tcPr>
          <w:p w14:paraId="2552DC52" w14:textId="77777777" w:rsidR="00297D6A" w:rsidRPr="00673C1F" w:rsidRDefault="00297D6A" w:rsidP="00A233CF">
            <w:pPr>
              <w:pStyle w:val="TableTextRight"/>
              <w:rPr>
                <w:rFonts w:cs="Arial"/>
                <w:szCs w:val="16"/>
              </w:rPr>
            </w:pPr>
            <w:r w:rsidRPr="00673C1F">
              <w:rPr>
                <w:rFonts w:cs="Arial"/>
                <w:szCs w:val="16"/>
              </w:rPr>
              <w:t>1.9</w:t>
            </w:r>
          </w:p>
        </w:tc>
        <w:tc>
          <w:tcPr>
            <w:tcW w:w="788" w:type="dxa"/>
            <w:tcBorders>
              <w:top w:val="nil"/>
              <w:left w:val="nil"/>
              <w:bottom w:val="nil"/>
              <w:right w:val="nil"/>
            </w:tcBorders>
            <w:shd w:val="clear" w:color="auto" w:fill="auto"/>
            <w:noWrap/>
            <w:vAlign w:val="center"/>
          </w:tcPr>
          <w:p w14:paraId="76DAEB49" w14:textId="0438975F" w:rsidR="00297D6A" w:rsidRPr="00673C1F" w:rsidRDefault="006D727E" w:rsidP="00A233CF">
            <w:pPr>
              <w:pStyle w:val="TableTextRight"/>
              <w:rPr>
                <w:rFonts w:cs="Arial"/>
                <w:szCs w:val="16"/>
              </w:rPr>
            </w:pPr>
            <w:r w:rsidRPr="00673C1F">
              <w:rPr>
                <w:rFonts w:cs="Arial"/>
                <w:szCs w:val="16"/>
              </w:rPr>
              <w:noBreakHyphen/>
            </w:r>
            <w:r w:rsidR="00297D6A" w:rsidRPr="00673C1F">
              <w:rPr>
                <w:rFonts w:cs="Arial"/>
                <w:szCs w:val="16"/>
              </w:rPr>
              <w:t>0.2</w:t>
            </w:r>
          </w:p>
        </w:tc>
      </w:tr>
      <w:tr w:rsidR="00297D6A" w:rsidRPr="00BD68BD" w14:paraId="475A2517" w14:textId="77777777" w:rsidTr="00A233CF">
        <w:trPr>
          <w:trHeight w:val="23"/>
        </w:trPr>
        <w:tc>
          <w:tcPr>
            <w:tcW w:w="1088" w:type="dxa"/>
            <w:tcBorders>
              <w:top w:val="nil"/>
              <w:left w:val="nil"/>
              <w:bottom w:val="nil"/>
              <w:right w:val="nil"/>
            </w:tcBorders>
            <w:shd w:val="clear" w:color="auto" w:fill="auto"/>
            <w:noWrap/>
            <w:vAlign w:val="center"/>
          </w:tcPr>
          <w:p w14:paraId="45161263" w14:textId="77777777" w:rsidR="00297D6A" w:rsidRPr="00673C1F" w:rsidRDefault="00297D6A" w:rsidP="00A233CF">
            <w:pPr>
              <w:pStyle w:val="TableTextLeft"/>
              <w:rPr>
                <w:rFonts w:cs="Arial"/>
                <w:szCs w:val="16"/>
              </w:rPr>
            </w:pPr>
            <w:r w:rsidRPr="00673C1F">
              <w:rPr>
                <w:rFonts w:cs="Arial"/>
                <w:szCs w:val="16"/>
              </w:rPr>
              <w:t>Income</w:t>
            </w:r>
          </w:p>
        </w:tc>
        <w:tc>
          <w:tcPr>
            <w:tcW w:w="537" w:type="dxa"/>
            <w:tcBorders>
              <w:top w:val="nil"/>
              <w:left w:val="nil"/>
              <w:bottom w:val="nil"/>
              <w:right w:val="nil"/>
            </w:tcBorders>
            <w:shd w:val="clear" w:color="auto" w:fill="auto"/>
            <w:noWrap/>
            <w:vAlign w:val="center"/>
          </w:tcPr>
          <w:p w14:paraId="7ACC3F45" w14:textId="77777777" w:rsidR="00297D6A" w:rsidRPr="00673C1F" w:rsidRDefault="00297D6A" w:rsidP="00A233CF">
            <w:pPr>
              <w:pStyle w:val="TableTextLeft"/>
              <w:rPr>
                <w:rFonts w:cs="Arial"/>
                <w:szCs w:val="16"/>
              </w:rPr>
            </w:pPr>
            <w:r w:rsidRPr="00673C1F">
              <w:rPr>
                <w:rFonts w:cs="Arial"/>
                <w:szCs w:val="16"/>
              </w:rPr>
              <w:t>B5</w:t>
            </w:r>
          </w:p>
        </w:tc>
        <w:tc>
          <w:tcPr>
            <w:tcW w:w="3620" w:type="dxa"/>
            <w:tcBorders>
              <w:top w:val="nil"/>
              <w:left w:val="nil"/>
              <w:bottom w:val="nil"/>
              <w:right w:val="nil"/>
            </w:tcBorders>
            <w:shd w:val="clear" w:color="auto" w:fill="auto"/>
            <w:vAlign w:val="center"/>
          </w:tcPr>
          <w:p w14:paraId="08A43C12" w14:textId="77777777" w:rsidR="00297D6A" w:rsidRPr="00673C1F" w:rsidRDefault="00297D6A" w:rsidP="00A233CF">
            <w:pPr>
              <w:pStyle w:val="TableTextLeft"/>
              <w:rPr>
                <w:rFonts w:cs="Arial"/>
                <w:szCs w:val="16"/>
              </w:rPr>
            </w:pPr>
            <w:r w:rsidRPr="00673C1F">
              <w:rPr>
                <w:rFonts w:cs="Arial"/>
                <w:szCs w:val="16"/>
              </w:rPr>
              <w:t>Reduced withholding tax under international tax treaties</w:t>
            </w:r>
          </w:p>
        </w:tc>
        <w:tc>
          <w:tcPr>
            <w:tcW w:w="889" w:type="dxa"/>
            <w:tcBorders>
              <w:top w:val="nil"/>
              <w:left w:val="nil"/>
              <w:bottom w:val="nil"/>
              <w:right w:val="nil"/>
            </w:tcBorders>
            <w:shd w:val="clear" w:color="auto" w:fill="auto"/>
            <w:noWrap/>
            <w:vAlign w:val="center"/>
          </w:tcPr>
          <w:p w14:paraId="1FA137B6" w14:textId="77777777" w:rsidR="00297D6A" w:rsidRPr="00673C1F" w:rsidRDefault="00297D6A" w:rsidP="00A233CF">
            <w:pPr>
              <w:pStyle w:val="TableTextRight"/>
              <w:rPr>
                <w:rFonts w:cs="Arial"/>
                <w:szCs w:val="16"/>
              </w:rPr>
            </w:pPr>
            <w:r w:rsidRPr="00673C1F">
              <w:rPr>
                <w:rFonts w:cs="Arial"/>
                <w:szCs w:val="16"/>
              </w:rPr>
              <w:t>1,040</w:t>
            </w:r>
          </w:p>
        </w:tc>
        <w:tc>
          <w:tcPr>
            <w:tcW w:w="788" w:type="dxa"/>
            <w:tcBorders>
              <w:top w:val="nil"/>
              <w:left w:val="nil"/>
              <w:bottom w:val="nil"/>
              <w:right w:val="nil"/>
            </w:tcBorders>
            <w:shd w:val="clear" w:color="auto" w:fill="auto"/>
            <w:vAlign w:val="center"/>
          </w:tcPr>
          <w:p w14:paraId="06E30B4D" w14:textId="77777777" w:rsidR="00297D6A" w:rsidRPr="00673C1F" w:rsidRDefault="00297D6A" w:rsidP="00A233CF">
            <w:pPr>
              <w:pStyle w:val="TableTextRight"/>
              <w:rPr>
                <w:rFonts w:cs="Arial"/>
                <w:szCs w:val="16"/>
              </w:rPr>
            </w:pPr>
            <w:r w:rsidRPr="00673C1F">
              <w:rPr>
                <w:rFonts w:cs="Arial"/>
                <w:szCs w:val="16"/>
              </w:rPr>
              <w:t>6.3</w:t>
            </w:r>
          </w:p>
        </w:tc>
        <w:tc>
          <w:tcPr>
            <w:tcW w:w="788" w:type="dxa"/>
            <w:tcBorders>
              <w:top w:val="nil"/>
              <w:left w:val="nil"/>
              <w:bottom w:val="nil"/>
              <w:right w:val="nil"/>
            </w:tcBorders>
            <w:shd w:val="clear" w:color="auto" w:fill="auto"/>
            <w:noWrap/>
            <w:vAlign w:val="center"/>
          </w:tcPr>
          <w:p w14:paraId="4F3535B4" w14:textId="77777777" w:rsidR="00297D6A" w:rsidRPr="00673C1F" w:rsidRDefault="00297D6A" w:rsidP="00A233CF">
            <w:pPr>
              <w:pStyle w:val="TableTextRight"/>
              <w:rPr>
                <w:rFonts w:cs="Arial"/>
                <w:szCs w:val="16"/>
              </w:rPr>
            </w:pPr>
            <w:r w:rsidRPr="00673C1F">
              <w:rPr>
                <w:rFonts w:cs="Arial"/>
                <w:szCs w:val="16"/>
              </w:rPr>
              <w:t>14.9</w:t>
            </w:r>
          </w:p>
        </w:tc>
      </w:tr>
      <w:tr w:rsidR="00297D6A" w:rsidRPr="00BD68BD" w14:paraId="07F2D4C4" w14:textId="77777777" w:rsidTr="00A233CF">
        <w:trPr>
          <w:trHeight w:val="23"/>
        </w:trPr>
        <w:tc>
          <w:tcPr>
            <w:tcW w:w="1088" w:type="dxa"/>
            <w:tcBorders>
              <w:top w:val="nil"/>
              <w:left w:val="nil"/>
              <w:bottom w:val="nil"/>
              <w:right w:val="nil"/>
            </w:tcBorders>
            <w:shd w:val="clear" w:color="auto" w:fill="auto"/>
            <w:noWrap/>
          </w:tcPr>
          <w:p w14:paraId="684DB001" w14:textId="77777777" w:rsidR="00297D6A" w:rsidRPr="00673C1F" w:rsidRDefault="00297D6A" w:rsidP="00A233CF">
            <w:pPr>
              <w:pStyle w:val="TableColumnHeadingLeft"/>
            </w:pPr>
          </w:p>
        </w:tc>
        <w:tc>
          <w:tcPr>
            <w:tcW w:w="4157" w:type="dxa"/>
            <w:gridSpan w:val="2"/>
            <w:tcBorders>
              <w:top w:val="nil"/>
              <w:left w:val="nil"/>
              <w:bottom w:val="nil"/>
              <w:right w:val="nil"/>
            </w:tcBorders>
            <w:shd w:val="clear" w:color="auto" w:fill="auto"/>
            <w:noWrap/>
          </w:tcPr>
          <w:p w14:paraId="07660F9A" w14:textId="77777777" w:rsidR="00297D6A" w:rsidRPr="00673C1F" w:rsidRDefault="00297D6A" w:rsidP="00A233CF">
            <w:pPr>
              <w:pStyle w:val="TableColumnHeadingLeft"/>
            </w:pPr>
            <w:r w:rsidRPr="00673C1F">
              <w:t>Negative tax expenditures</w:t>
            </w:r>
          </w:p>
        </w:tc>
        <w:tc>
          <w:tcPr>
            <w:tcW w:w="889" w:type="dxa"/>
            <w:tcBorders>
              <w:top w:val="nil"/>
              <w:left w:val="nil"/>
              <w:bottom w:val="nil"/>
              <w:right w:val="nil"/>
            </w:tcBorders>
            <w:shd w:val="clear" w:color="auto" w:fill="auto"/>
            <w:noWrap/>
          </w:tcPr>
          <w:p w14:paraId="7171365F" w14:textId="77777777" w:rsidR="00297D6A" w:rsidRPr="00673C1F" w:rsidRDefault="00297D6A" w:rsidP="00A233CF">
            <w:pPr>
              <w:pStyle w:val="TableTextRight"/>
            </w:pPr>
          </w:p>
        </w:tc>
        <w:tc>
          <w:tcPr>
            <w:tcW w:w="788" w:type="dxa"/>
            <w:tcBorders>
              <w:top w:val="nil"/>
              <w:left w:val="nil"/>
              <w:bottom w:val="nil"/>
              <w:right w:val="nil"/>
            </w:tcBorders>
            <w:shd w:val="clear" w:color="auto" w:fill="auto"/>
          </w:tcPr>
          <w:p w14:paraId="1F3FD9E4" w14:textId="77777777" w:rsidR="00297D6A" w:rsidRPr="00673C1F" w:rsidRDefault="00297D6A" w:rsidP="00A233CF">
            <w:pPr>
              <w:pStyle w:val="TableTextRight"/>
            </w:pPr>
          </w:p>
        </w:tc>
        <w:tc>
          <w:tcPr>
            <w:tcW w:w="788" w:type="dxa"/>
            <w:tcBorders>
              <w:top w:val="nil"/>
              <w:left w:val="nil"/>
              <w:bottom w:val="nil"/>
              <w:right w:val="nil"/>
            </w:tcBorders>
            <w:shd w:val="clear" w:color="auto" w:fill="auto"/>
            <w:noWrap/>
          </w:tcPr>
          <w:p w14:paraId="6F96D193" w14:textId="77777777" w:rsidR="00297D6A" w:rsidRPr="00673C1F" w:rsidRDefault="00297D6A" w:rsidP="00A233CF">
            <w:pPr>
              <w:pStyle w:val="TableTextRight"/>
            </w:pPr>
          </w:p>
        </w:tc>
      </w:tr>
      <w:tr w:rsidR="00297D6A" w:rsidRPr="00BD68BD" w14:paraId="73FD7F1C" w14:textId="77777777" w:rsidTr="00A233CF">
        <w:trPr>
          <w:trHeight w:val="23"/>
        </w:trPr>
        <w:tc>
          <w:tcPr>
            <w:tcW w:w="1088" w:type="dxa"/>
            <w:tcBorders>
              <w:top w:val="nil"/>
              <w:left w:val="nil"/>
              <w:right w:val="nil"/>
            </w:tcBorders>
            <w:shd w:val="clear" w:color="auto" w:fill="auto"/>
            <w:noWrap/>
            <w:vAlign w:val="center"/>
          </w:tcPr>
          <w:p w14:paraId="09D90719" w14:textId="77777777" w:rsidR="00297D6A" w:rsidRPr="00673C1F" w:rsidRDefault="00297D6A" w:rsidP="00A233CF">
            <w:pPr>
              <w:pStyle w:val="TableTextLeft"/>
            </w:pPr>
            <w:r w:rsidRPr="00673C1F">
              <w:rPr>
                <w:rFonts w:cs="Arial"/>
                <w:szCs w:val="16"/>
              </w:rPr>
              <w:t>Other</w:t>
            </w:r>
          </w:p>
        </w:tc>
        <w:tc>
          <w:tcPr>
            <w:tcW w:w="537" w:type="dxa"/>
            <w:tcBorders>
              <w:top w:val="nil"/>
              <w:left w:val="nil"/>
              <w:right w:val="nil"/>
            </w:tcBorders>
            <w:shd w:val="clear" w:color="auto" w:fill="auto"/>
            <w:noWrap/>
            <w:vAlign w:val="center"/>
          </w:tcPr>
          <w:p w14:paraId="65F1FDC8" w14:textId="77777777" w:rsidR="00297D6A" w:rsidRPr="00673C1F" w:rsidRDefault="00297D6A" w:rsidP="00A233CF">
            <w:pPr>
              <w:pStyle w:val="TableTextLeft"/>
            </w:pPr>
            <w:r w:rsidRPr="00673C1F">
              <w:rPr>
                <w:rFonts w:cs="Arial"/>
                <w:szCs w:val="16"/>
              </w:rPr>
              <w:t>F21</w:t>
            </w:r>
          </w:p>
        </w:tc>
        <w:tc>
          <w:tcPr>
            <w:tcW w:w="3620" w:type="dxa"/>
            <w:tcBorders>
              <w:top w:val="nil"/>
              <w:left w:val="nil"/>
              <w:right w:val="nil"/>
            </w:tcBorders>
            <w:shd w:val="clear" w:color="auto" w:fill="auto"/>
            <w:vAlign w:val="center"/>
          </w:tcPr>
          <w:p w14:paraId="0FA1C83D" w14:textId="77777777" w:rsidR="00297D6A" w:rsidRPr="00673C1F" w:rsidRDefault="00297D6A" w:rsidP="00A233CF">
            <w:pPr>
              <w:pStyle w:val="TableTextLeft"/>
            </w:pPr>
            <w:r w:rsidRPr="00673C1F">
              <w:rPr>
                <w:rFonts w:cs="Arial"/>
                <w:szCs w:val="16"/>
              </w:rPr>
              <w:t>Customs duty</w:t>
            </w:r>
          </w:p>
        </w:tc>
        <w:tc>
          <w:tcPr>
            <w:tcW w:w="889" w:type="dxa"/>
            <w:tcBorders>
              <w:top w:val="nil"/>
              <w:left w:val="nil"/>
              <w:right w:val="nil"/>
            </w:tcBorders>
            <w:shd w:val="clear" w:color="auto" w:fill="auto"/>
            <w:noWrap/>
            <w:vAlign w:val="center"/>
          </w:tcPr>
          <w:p w14:paraId="4C8B72D3" w14:textId="34B279D5" w:rsidR="00297D6A" w:rsidRPr="00673C1F" w:rsidRDefault="006D727E" w:rsidP="00A233CF">
            <w:pPr>
              <w:pStyle w:val="TableTextRight"/>
            </w:pPr>
            <w:r w:rsidRPr="00673C1F">
              <w:rPr>
                <w:rFonts w:cs="Arial"/>
                <w:szCs w:val="16"/>
              </w:rPr>
              <w:noBreakHyphen/>
            </w:r>
            <w:r w:rsidR="00297D6A" w:rsidRPr="00673C1F">
              <w:rPr>
                <w:rFonts w:cs="Arial"/>
                <w:szCs w:val="16"/>
              </w:rPr>
              <w:t>2,160</w:t>
            </w:r>
          </w:p>
        </w:tc>
        <w:tc>
          <w:tcPr>
            <w:tcW w:w="788" w:type="dxa"/>
            <w:tcBorders>
              <w:top w:val="nil"/>
              <w:left w:val="nil"/>
              <w:right w:val="nil"/>
            </w:tcBorders>
            <w:shd w:val="clear" w:color="auto" w:fill="auto"/>
            <w:vAlign w:val="center"/>
          </w:tcPr>
          <w:p w14:paraId="1CC0D801" w14:textId="77777777" w:rsidR="00297D6A" w:rsidRPr="00673C1F" w:rsidRDefault="00297D6A" w:rsidP="00A233CF">
            <w:pPr>
              <w:pStyle w:val="TableTextRight"/>
            </w:pPr>
            <w:r w:rsidRPr="00673C1F">
              <w:rPr>
                <w:rFonts w:cs="Arial"/>
                <w:szCs w:val="16"/>
              </w:rPr>
              <w:t>8.8</w:t>
            </w:r>
          </w:p>
        </w:tc>
        <w:tc>
          <w:tcPr>
            <w:tcW w:w="788" w:type="dxa"/>
            <w:tcBorders>
              <w:top w:val="nil"/>
              <w:left w:val="nil"/>
              <w:right w:val="nil"/>
            </w:tcBorders>
            <w:shd w:val="clear" w:color="auto" w:fill="auto"/>
            <w:noWrap/>
            <w:vAlign w:val="center"/>
          </w:tcPr>
          <w:p w14:paraId="2D2B5F8D" w14:textId="0951F06D" w:rsidR="00297D6A" w:rsidRPr="00673C1F" w:rsidRDefault="006D727E" w:rsidP="00A233CF">
            <w:pPr>
              <w:pStyle w:val="TableTextRight"/>
            </w:pPr>
            <w:r w:rsidRPr="00673C1F">
              <w:rPr>
                <w:rFonts w:cs="Arial"/>
                <w:szCs w:val="16"/>
              </w:rPr>
              <w:noBreakHyphen/>
            </w:r>
            <w:r w:rsidR="00297D6A" w:rsidRPr="00673C1F">
              <w:rPr>
                <w:rFonts w:cs="Arial"/>
                <w:szCs w:val="16"/>
              </w:rPr>
              <w:t>14.1</w:t>
            </w:r>
          </w:p>
        </w:tc>
      </w:tr>
      <w:tr w:rsidR="00297D6A" w:rsidRPr="00BD68BD" w14:paraId="3F5FD3CF" w14:textId="77777777" w:rsidTr="007160B7">
        <w:trPr>
          <w:trHeight w:val="23"/>
        </w:trPr>
        <w:tc>
          <w:tcPr>
            <w:tcW w:w="1088" w:type="dxa"/>
            <w:tcBorders>
              <w:top w:val="nil"/>
              <w:left w:val="nil"/>
              <w:right w:val="nil"/>
            </w:tcBorders>
            <w:shd w:val="clear" w:color="auto" w:fill="auto"/>
            <w:noWrap/>
            <w:vAlign w:val="center"/>
          </w:tcPr>
          <w:p w14:paraId="5F023BAC" w14:textId="77777777" w:rsidR="00297D6A" w:rsidRPr="00673C1F" w:rsidRDefault="00297D6A" w:rsidP="00A233CF">
            <w:pPr>
              <w:pStyle w:val="TableTextLeft"/>
            </w:pPr>
            <w:r w:rsidRPr="00673C1F">
              <w:rPr>
                <w:rFonts w:cs="Arial"/>
                <w:szCs w:val="16"/>
              </w:rPr>
              <w:t>Other</w:t>
            </w:r>
          </w:p>
        </w:tc>
        <w:tc>
          <w:tcPr>
            <w:tcW w:w="537" w:type="dxa"/>
            <w:tcBorders>
              <w:top w:val="nil"/>
              <w:left w:val="nil"/>
              <w:right w:val="nil"/>
            </w:tcBorders>
            <w:shd w:val="clear" w:color="auto" w:fill="auto"/>
            <w:noWrap/>
            <w:vAlign w:val="center"/>
          </w:tcPr>
          <w:p w14:paraId="73B821E7" w14:textId="77777777" w:rsidR="00297D6A" w:rsidRPr="00673C1F" w:rsidRDefault="00297D6A" w:rsidP="00A233CF">
            <w:pPr>
              <w:pStyle w:val="TableTextLeft"/>
            </w:pPr>
            <w:r w:rsidRPr="00673C1F">
              <w:rPr>
                <w:rFonts w:cs="Arial"/>
                <w:szCs w:val="16"/>
              </w:rPr>
              <w:t>F5</w:t>
            </w:r>
          </w:p>
        </w:tc>
        <w:tc>
          <w:tcPr>
            <w:tcW w:w="3620" w:type="dxa"/>
            <w:tcBorders>
              <w:top w:val="nil"/>
              <w:left w:val="nil"/>
              <w:right w:val="nil"/>
            </w:tcBorders>
            <w:shd w:val="clear" w:color="auto" w:fill="auto"/>
            <w:vAlign w:val="center"/>
          </w:tcPr>
          <w:p w14:paraId="79F994C0" w14:textId="77777777" w:rsidR="00297D6A" w:rsidRPr="00673C1F" w:rsidRDefault="00297D6A" w:rsidP="00A233CF">
            <w:pPr>
              <w:pStyle w:val="TableTextLeft"/>
            </w:pPr>
            <w:r w:rsidRPr="00673C1F">
              <w:rPr>
                <w:rFonts w:cs="Arial"/>
                <w:szCs w:val="16"/>
              </w:rPr>
              <w:t>Luxury car tax</w:t>
            </w:r>
          </w:p>
        </w:tc>
        <w:tc>
          <w:tcPr>
            <w:tcW w:w="889" w:type="dxa"/>
            <w:tcBorders>
              <w:top w:val="nil"/>
              <w:left w:val="nil"/>
              <w:right w:val="nil"/>
            </w:tcBorders>
            <w:shd w:val="clear" w:color="auto" w:fill="auto"/>
            <w:noWrap/>
            <w:vAlign w:val="center"/>
          </w:tcPr>
          <w:p w14:paraId="76CC7113" w14:textId="234C4184" w:rsidR="00297D6A" w:rsidRPr="00673C1F" w:rsidRDefault="006D727E" w:rsidP="00A233CF">
            <w:pPr>
              <w:pStyle w:val="TableTextRight"/>
            </w:pPr>
            <w:r w:rsidRPr="00673C1F">
              <w:rPr>
                <w:rFonts w:cs="Arial"/>
                <w:szCs w:val="16"/>
              </w:rPr>
              <w:noBreakHyphen/>
            </w:r>
            <w:r w:rsidR="00297D6A" w:rsidRPr="00673C1F">
              <w:rPr>
                <w:rFonts w:cs="Arial"/>
                <w:szCs w:val="16"/>
              </w:rPr>
              <w:t>1,180</w:t>
            </w:r>
          </w:p>
        </w:tc>
        <w:tc>
          <w:tcPr>
            <w:tcW w:w="788" w:type="dxa"/>
            <w:tcBorders>
              <w:top w:val="nil"/>
              <w:left w:val="nil"/>
              <w:right w:val="nil"/>
            </w:tcBorders>
            <w:shd w:val="clear" w:color="auto" w:fill="auto"/>
            <w:vAlign w:val="center"/>
          </w:tcPr>
          <w:p w14:paraId="1C1AD253" w14:textId="77777777" w:rsidR="00297D6A" w:rsidRPr="00673C1F" w:rsidRDefault="00297D6A" w:rsidP="00A233CF">
            <w:pPr>
              <w:pStyle w:val="TableTextRight"/>
            </w:pPr>
            <w:r w:rsidRPr="00673C1F">
              <w:rPr>
                <w:rFonts w:cs="Arial"/>
                <w:szCs w:val="16"/>
              </w:rPr>
              <w:t>23.4</w:t>
            </w:r>
          </w:p>
        </w:tc>
        <w:tc>
          <w:tcPr>
            <w:tcW w:w="788" w:type="dxa"/>
            <w:tcBorders>
              <w:top w:val="nil"/>
              <w:left w:val="nil"/>
              <w:right w:val="nil"/>
            </w:tcBorders>
            <w:shd w:val="clear" w:color="auto" w:fill="auto"/>
            <w:noWrap/>
            <w:vAlign w:val="center"/>
          </w:tcPr>
          <w:p w14:paraId="4C038DB2" w14:textId="77777777" w:rsidR="00297D6A" w:rsidRPr="00673C1F" w:rsidRDefault="00297D6A" w:rsidP="00A233CF">
            <w:pPr>
              <w:pStyle w:val="TableTextRight"/>
            </w:pPr>
            <w:r w:rsidRPr="00673C1F">
              <w:rPr>
                <w:rFonts w:cs="Arial"/>
                <w:szCs w:val="16"/>
              </w:rPr>
              <w:t>2.1</w:t>
            </w:r>
          </w:p>
        </w:tc>
      </w:tr>
      <w:tr w:rsidR="00297D6A" w:rsidRPr="00BD68BD" w14:paraId="7B481059" w14:textId="77777777" w:rsidTr="007160B7">
        <w:trPr>
          <w:trHeight w:val="23"/>
        </w:trPr>
        <w:tc>
          <w:tcPr>
            <w:tcW w:w="1088" w:type="dxa"/>
            <w:tcBorders>
              <w:top w:val="nil"/>
              <w:left w:val="nil"/>
              <w:bottom w:val="single" w:sz="4" w:space="0" w:color="002A54" w:themeColor="text2"/>
              <w:right w:val="nil"/>
            </w:tcBorders>
            <w:shd w:val="clear" w:color="auto" w:fill="auto"/>
            <w:noWrap/>
            <w:vAlign w:val="center"/>
          </w:tcPr>
          <w:p w14:paraId="5A4D867D" w14:textId="77777777" w:rsidR="00297D6A" w:rsidRPr="00673C1F" w:rsidRDefault="00297D6A" w:rsidP="00A233CF">
            <w:pPr>
              <w:pStyle w:val="TableTextLeft"/>
            </w:pPr>
            <w:r w:rsidRPr="00673C1F">
              <w:rPr>
                <w:rFonts w:cs="Arial"/>
                <w:szCs w:val="16"/>
              </w:rPr>
              <w:t>Income</w:t>
            </w:r>
          </w:p>
        </w:tc>
        <w:tc>
          <w:tcPr>
            <w:tcW w:w="537" w:type="dxa"/>
            <w:tcBorders>
              <w:top w:val="nil"/>
              <w:left w:val="nil"/>
              <w:bottom w:val="single" w:sz="4" w:space="0" w:color="002A54" w:themeColor="text2"/>
              <w:right w:val="nil"/>
            </w:tcBorders>
            <w:shd w:val="clear" w:color="auto" w:fill="auto"/>
            <w:noWrap/>
            <w:vAlign w:val="center"/>
          </w:tcPr>
          <w:p w14:paraId="6B2D3E87" w14:textId="77777777" w:rsidR="00297D6A" w:rsidRPr="00673C1F" w:rsidRDefault="00297D6A" w:rsidP="00A233CF">
            <w:pPr>
              <w:pStyle w:val="TableTextLeft"/>
            </w:pPr>
            <w:r w:rsidRPr="00673C1F">
              <w:rPr>
                <w:rFonts w:cs="Arial"/>
                <w:szCs w:val="16"/>
              </w:rPr>
              <w:t>A21</w:t>
            </w:r>
          </w:p>
        </w:tc>
        <w:tc>
          <w:tcPr>
            <w:tcW w:w="3620" w:type="dxa"/>
            <w:tcBorders>
              <w:top w:val="nil"/>
              <w:left w:val="nil"/>
              <w:bottom w:val="single" w:sz="4" w:space="0" w:color="002A54" w:themeColor="text2"/>
              <w:right w:val="nil"/>
            </w:tcBorders>
            <w:shd w:val="clear" w:color="auto" w:fill="auto"/>
            <w:vAlign w:val="center"/>
          </w:tcPr>
          <w:p w14:paraId="41C4A812" w14:textId="77777777" w:rsidR="00297D6A" w:rsidRPr="00673C1F" w:rsidRDefault="00297D6A" w:rsidP="00A233CF">
            <w:pPr>
              <w:pStyle w:val="TableTextLeft"/>
            </w:pPr>
            <w:r w:rsidRPr="00673C1F">
              <w:rPr>
                <w:rFonts w:cs="Arial"/>
                <w:szCs w:val="16"/>
              </w:rPr>
              <w:t>Medicare levy surcharge</w:t>
            </w:r>
          </w:p>
        </w:tc>
        <w:tc>
          <w:tcPr>
            <w:tcW w:w="889" w:type="dxa"/>
            <w:tcBorders>
              <w:top w:val="nil"/>
              <w:left w:val="nil"/>
              <w:bottom w:val="single" w:sz="4" w:space="0" w:color="002A54" w:themeColor="text2"/>
              <w:right w:val="nil"/>
            </w:tcBorders>
            <w:shd w:val="clear" w:color="auto" w:fill="auto"/>
            <w:noWrap/>
            <w:vAlign w:val="center"/>
          </w:tcPr>
          <w:p w14:paraId="30708B17" w14:textId="4D7A7DEE" w:rsidR="00297D6A" w:rsidRPr="00673C1F" w:rsidRDefault="006D727E" w:rsidP="00A233CF">
            <w:pPr>
              <w:pStyle w:val="TableTextRight"/>
            </w:pPr>
            <w:r w:rsidRPr="00673C1F">
              <w:rPr>
                <w:rFonts w:cs="Arial"/>
                <w:szCs w:val="16"/>
              </w:rPr>
              <w:noBreakHyphen/>
            </w:r>
            <w:r w:rsidR="00297D6A" w:rsidRPr="00673C1F">
              <w:rPr>
                <w:rFonts w:cs="Arial"/>
                <w:szCs w:val="16"/>
              </w:rPr>
              <w:t>1,070</w:t>
            </w:r>
          </w:p>
        </w:tc>
        <w:tc>
          <w:tcPr>
            <w:tcW w:w="788" w:type="dxa"/>
            <w:tcBorders>
              <w:top w:val="nil"/>
              <w:left w:val="nil"/>
              <w:bottom w:val="single" w:sz="4" w:space="0" w:color="002A54" w:themeColor="text2"/>
              <w:right w:val="nil"/>
            </w:tcBorders>
            <w:shd w:val="clear" w:color="auto" w:fill="auto"/>
            <w:vAlign w:val="center"/>
          </w:tcPr>
          <w:p w14:paraId="6894AEF2" w14:textId="77777777" w:rsidR="00297D6A" w:rsidRPr="00673C1F" w:rsidRDefault="00297D6A" w:rsidP="00A233CF">
            <w:pPr>
              <w:pStyle w:val="TableTextRight"/>
            </w:pPr>
            <w:r w:rsidRPr="00673C1F">
              <w:rPr>
                <w:rFonts w:cs="Arial"/>
                <w:szCs w:val="16"/>
              </w:rPr>
              <w:t>24.1</w:t>
            </w:r>
          </w:p>
        </w:tc>
        <w:tc>
          <w:tcPr>
            <w:tcW w:w="788" w:type="dxa"/>
            <w:tcBorders>
              <w:top w:val="nil"/>
              <w:left w:val="nil"/>
              <w:bottom w:val="single" w:sz="4" w:space="0" w:color="002A54" w:themeColor="text2"/>
              <w:right w:val="nil"/>
            </w:tcBorders>
            <w:shd w:val="clear" w:color="auto" w:fill="auto"/>
            <w:noWrap/>
            <w:vAlign w:val="center"/>
          </w:tcPr>
          <w:p w14:paraId="2B085F98" w14:textId="77777777" w:rsidR="00297D6A" w:rsidRPr="00673C1F" w:rsidRDefault="00297D6A" w:rsidP="00A233CF">
            <w:pPr>
              <w:pStyle w:val="TableTextRight"/>
            </w:pPr>
            <w:r w:rsidRPr="00673C1F">
              <w:rPr>
                <w:rFonts w:cs="Arial"/>
                <w:szCs w:val="16"/>
              </w:rPr>
              <w:t>8.1</w:t>
            </w:r>
          </w:p>
        </w:tc>
      </w:tr>
    </w:tbl>
    <w:p w14:paraId="3CEE99FC" w14:textId="13374509" w:rsidR="00AF34A5" w:rsidRPr="00673C1F" w:rsidRDefault="00356E70" w:rsidP="007160B7">
      <w:pPr>
        <w:pStyle w:val="ChartandTableFootnote"/>
        <w:ind w:left="0" w:firstLine="0"/>
        <w:rPr>
          <w:color w:val="auto"/>
        </w:rPr>
      </w:pPr>
      <w:r w:rsidRPr="00673C1F">
        <w:rPr>
          <w:color w:val="auto"/>
        </w:rPr>
        <w:t>*</w:t>
      </w:r>
      <w:r w:rsidR="00663DDE" w:rsidRPr="00673C1F">
        <w:rPr>
          <w:color w:val="auto"/>
        </w:rPr>
        <w:t xml:space="preserve"> </w:t>
      </w:r>
      <w:r w:rsidRPr="00673C1F">
        <w:rPr>
          <w:color w:val="auto"/>
        </w:rPr>
        <w:t xml:space="preserve">For deductions, </w:t>
      </w:r>
      <w:r w:rsidR="006D727E" w:rsidRPr="00673C1F">
        <w:rPr>
          <w:color w:val="auto"/>
        </w:rPr>
        <w:t>‘</w:t>
      </w:r>
      <w:r w:rsidR="006819F6" w:rsidRPr="00673C1F">
        <w:rPr>
          <w:color w:val="auto"/>
        </w:rPr>
        <w:t>R</w:t>
      </w:r>
      <w:r w:rsidRPr="00673C1F">
        <w:rPr>
          <w:color w:val="auto"/>
        </w:rPr>
        <w:t>evenue forgone</w:t>
      </w:r>
      <w:r w:rsidR="006D727E" w:rsidRPr="00673C1F">
        <w:rPr>
          <w:color w:val="auto"/>
        </w:rPr>
        <w:t>’</w:t>
      </w:r>
      <w:r w:rsidRPr="00673C1F">
        <w:rPr>
          <w:color w:val="auto"/>
        </w:rPr>
        <w:t xml:space="preserve"> refers to the reduction in tax in relation to the specified income year due to the utilisation of deductions.</w:t>
      </w:r>
    </w:p>
    <w:p w14:paraId="1C975DCB" w14:textId="05B40EF4" w:rsidR="00945023" w:rsidRPr="00E67E4F" w:rsidRDefault="00945023" w:rsidP="00954823">
      <w:pPr>
        <w:pStyle w:val="ChartLine"/>
      </w:pPr>
    </w:p>
    <w:sectPr w:rsidR="00945023" w:rsidRPr="00E67E4F" w:rsidSect="00B71C50">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47E09" w14:textId="77777777" w:rsidR="00C40FA2" w:rsidRDefault="00C40FA2" w:rsidP="00E40261">
      <w:pPr>
        <w:spacing w:after="0" w:line="240" w:lineRule="auto"/>
      </w:pPr>
      <w:r>
        <w:separator/>
      </w:r>
    </w:p>
  </w:endnote>
  <w:endnote w:type="continuationSeparator" w:id="0">
    <w:p w14:paraId="0AEDD2EA" w14:textId="77777777" w:rsidR="00C40FA2" w:rsidRDefault="00C40FA2" w:rsidP="00E40261">
      <w:pPr>
        <w:spacing w:after="0" w:line="240" w:lineRule="auto"/>
      </w:pPr>
      <w:r>
        <w:continuationSeparator/>
      </w:r>
    </w:p>
  </w:endnote>
  <w:endnote w:type="continuationNotice" w:id="1">
    <w:p w14:paraId="6A9A4E1A" w14:textId="77777777" w:rsidR="00C40FA2" w:rsidRDefault="00C40FA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895B" w14:textId="7FA67FCD" w:rsidR="00356E70" w:rsidRDefault="00D42EF7" w:rsidP="00A233CF">
    <w:pPr>
      <w:pStyle w:val="FooterOdd"/>
    </w:pPr>
    <w:r>
      <w:fldChar w:fldCharType="begin"/>
    </w:r>
    <w:r>
      <w:instrText xml:space="preserve"> SUBJECT   \* MERGEFORMAT </w:instrText>
    </w:r>
    <w:r>
      <w:fldChar w:fldCharType="separate"/>
    </w:r>
    <w:r w:rsidR="00BB41CC">
      <w:t>Statement 5: Revenue</w:t>
    </w:r>
    <w:r>
      <w:fldChar w:fldCharType="end"/>
    </w:r>
    <w:r w:rsidR="00356E70" w:rsidRPr="00B3705D">
      <w:t xml:space="preserve">  |  </w:t>
    </w:r>
    <w:r w:rsidR="00356E70" w:rsidRPr="00B3705D">
      <w:rPr>
        <w:b/>
        <w:bCs/>
      </w:rPr>
      <w:t xml:space="preserve">Page </w:t>
    </w:r>
    <w:r w:rsidR="00356E70" w:rsidRPr="00B3705D">
      <w:rPr>
        <w:b/>
        <w:bCs/>
      </w:rPr>
      <w:fldChar w:fldCharType="begin"/>
    </w:r>
    <w:r w:rsidR="00356E70" w:rsidRPr="00B3705D">
      <w:rPr>
        <w:b/>
        <w:bCs/>
      </w:rPr>
      <w:instrText xml:space="preserve"> PAGE  \* Arabic  \* MERGEFORMAT </w:instrText>
    </w:r>
    <w:r w:rsidR="00356E70" w:rsidRPr="00B3705D">
      <w:rPr>
        <w:b/>
        <w:bCs/>
      </w:rPr>
      <w:fldChar w:fldCharType="separate"/>
    </w:r>
    <w:r w:rsidR="00356E70">
      <w:rPr>
        <w:b/>
        <w:bCs/>
      </w:rPr>
      <w:t>1</w:t>
    </w:r>
    <w:r w:rsidR="00356E70" w:rsidRPr="00B3705D">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1D2F7" w14:textId="5CAA5B0B" w:rsidR="00356E70" w:rsidRPr="001A7712" w:rsidRDefault="00D42EF7" w:rsidP="00BF5E88">
    <w:pPr>
      <w:pStyle w:val="FooterOdd"/>
    </w:pPr>
    <w:r>
      <w:fldChar w:fldCharType="begin"/>
    </w:r>
    <w:r>
      <w:instrText xml:space="preserve"> SUBJECT   \* MERGEFORMAT </w:instrText>
    </w:r>
    <w:r>
      <w:fldChar w:fldCharType="separate"/>
    </w:r>
    <w:r w:rsidR="00BB41CC">
      <w:t>Statement 5: Revenue</w:t>
    </w:r>
    <w:r>
      <w:fldChar w:fldCharType="end"/>
    </w:r>
    <w:r w:rsidR="00356E70" w:rsidRPr="001A7712">
      <w:t xml:space="preserve">  |  </w:t>
    </w:r>
    <w:r w:rsidR="00356E70" w:rsidRPr="00653D2B">
      <w:rPr>
        <w:b/>
        <w:bCs/>
      </w:rPr>
      <w:t xml:space="preserve">Page </w:t>
    </w:r>
    <w:r w:rsidR="00356E70" w:rsidRPr="00653D2B">
      <w:rPr>
        <w:b/>
        <w:bCs/>
      </w:rPr>
      <w:fldChar w:fldCharType="begin"/>
    </w:r>
    <w:r w:rsidR="00356E70" w:rsidRPr="00653D2B">
      <w:rPr>
        <w:b/>
        <w:bCs/>
      </w:rPr>
      <w:instrText xml:space="preserve"> PAGE  \* Arabic  \* MERGEFORMAT </w:instrText>
    </w:r>
    <w:r w:rsidR="00356E70" w:rsidRPr="00653D2B">
      <w:rPr>
        <w:b/>
        <w:bCs/>
      </w:rPr>
      <w:fldChar w:fldCharType="separate"/>
    </w:r>
    <w:r w:rsidR="00356E70" w:rsidRPr="00653D2B">
      <w:rPr>
        <w:b/>
        <w:bCs/>
      </w:rPr>
      <w:t>1</w:t>
    </w:r>
    <w:r w:rsidR="00356E70" w:rsidRPr="00653D2B">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FD98" w14:textId="049815C1" w:rsidR="00FB5DDD" w:rsidRDefault="00FB5DDD"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D42EF7">
      <w:fldChar w:fldCharType="begin"/>
    </w:r>
    <w:r w:rsidR="00D42EF7">
      <w:instrText xml:space="preserve"> SUBJECT   \* MERGEFORMAT </w:instrText>
    </w:r>
    <w:r w:rsidR="00D42EF7">
      <w:fldChar w:fldCharType="separate"/>
    </w:r>
    <w:r w:rsidR="00BB41CC">
      <w:t>Statement 5: Revenue</w:t>
    </w:r>
    <w:r w:rsidR="00D42EF7">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2CDB" w14:textId="33362481" w:rsidR="00FB5DDD" w:rsidRDefault="00D42EF7" w:rsidP="002A6A16">
    <w:pPr>
      <w:pStyle w:val="FooterOdd"/>
    </w:pPr>
    <w:r>
      <w:fldChar w:fldCharType="begin"/>
    </w:r>
    <w:r>
      <w:instrText xml:space="preserve"> SUBJECT   \* MERGEFORMAT </w:instrText>
    </w:r>
    <w:r>
      <w:fldChar w:fldCharType="separate"/>
    </w:r>
    <w:r w:rsidR="00BB41CC">
      <w:t>Statement 5: Revenue</w:t>
    </w:r>
    <w:r>
      <w:fldChar w:fldCharType="end"/>
    </w:r>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FB364" w14:textId="464CEA5D" w:rsidR="00FB5DDD" w:rsidRDefault="00D42EF7" w:rsidP="00360947">
    <w:pPr>
      <w:pStyle w:val="FooterOdd"/>
    </w:pPr>
    <w:r>
      <w:fldChar w:fldCharType="begin"/>
    </w:r>
    <w:r>
      <w:instrText xml:space="preserve"> SUBJECT   \* MERGEFORMAT </w:instrText>
    </w:r>
    <w:r>
      <w:fldChar w:fldCharType="separate"/>
    </w:r>
    <w:r w:rsidR="00BB41CC">
      <w:t>Statement 5: Revenue</w:t>
    </w:r>
    <w:r>
      <w:fldChar w:fldCharType="end"/>
    </w:r>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728F0" w14:textId="77777777" w:rsidR="00C40FA2" w:rsidRPr="003C1CA4" w:rsidRDefault="00C40FA2"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06CF8F9A" w14:textId="77777777" w:rsidR="00C40FA2" w:rsidRDefault="00C40FA2" w:rsidP="00E40261">
      <w:pPr>
        <w:spacing w:after="0" w:line="240" w:lineRule="auto"/>
      </w:pPr>
      <w:r>
        <w:continuationSeparator/>
      </w:r>
    </w:p>
  </w:footnote>
  <w:footnote w:type="continuationNotice" w:id="1">
    <w:p w14:paraId="0A705298" w14:textId="77777777" w:rsidR="00C40FA2" w:rsidRDefault="00C40FA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74EA" w14:textId="77777777" w:rsidR="00356E70" w:rsidRDefault="00356E70" w:rsidP="001C5E21">
    <w:pPr>
      <w:pStyle w:val="Header"/>
      <w:tabs>
        <w:tab w:val="clear" w:pos="4153"/>
        <w:tab w:val="clear" w:pos="8306"/>
        <w:tab w:val="left" w:pos="5086"/>
      </w:tabs>
    </w:pPr>
    <w:r>
      <w:rPr>
        <w:noProof/>
      </w:rPr>
      <w:drawing>
        <wp:anchor distT="0" distB="0" distL="114300" distR="114300" simplePos="0" relativeHeight="251658241" behindDoc="1" locked="0" layoutInCell="1" allowOverlap="1" wp14:anchorId="6C0DAFC5" wp14:editId="641D17F1">
          <wp:simplePos x="0" y="0"/>
          <wp:positionH relativeFrom="page">
            <wp:align>center</wp:align>
          </wp:positionH>
          <wp:positionV relativeFrom="page">
            <wp:align>top</wp:align>
          </wp:positionV>
          <wp:extent cx="7560000" cy="10692000"/>
          <wp:effectExtent l="0" t="0" r="3175"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1C55" w14:textId="77777777" w:rsidR="00356E70" w:rsidRPr="000004EA" w:rsidRDefault="00356E70" w:rsidP="000004EA">
    <w:pPr>
      <w:pStyle w:val="Header"/>
    </w:pPr>
    <w:r>
      <w:rPr>
        <w:noProof/>
      </w:rPr>
      <w:drawing>
        <wp:anchor distT="0" distB="0" distL="114300" distR="114300" simplePos="0" relativeHeight="251658240" behindDoc="1" locked="0" layoutInCell="1" allowOverlap="1" wp14:anchorId="4B2C70A9" wp14:editId="731820E3">
          <wp:simplePos x="0" y="0"/>
          <wp:positionH relativeFrom="page">
            <wp:align>center</wp:align>
          </wp:positionH>
          <wp:positionV relativeFrom="page">
            <wp:align>top</wp:align>
          </wp:positionV>
          <wp:extent cx="7560000" cy="10691902"/>
          <wp:effectExtent l="0" t="0" r="3175"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19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1AF00" w14:textId="70F1AF31" w:rsidR="00FB5DDD" w:rsidRPr="00AA5439" w:rsidRDefault="00356E70" w:rsidP="00AA5439">
    <w:pPr>
      <w:pStyle w:val="HeaderEven"/>
      <w:rPr>
        <w:sz w:val="2"/>
        <w:szCs w:val="2"/>
      </w:rPr>
    </w:pPr>
    <w:r>
      <w:rPr>
        <w:noProof/>
      </w:rPr>
      <w:drawing>
        <wp:anchor distT="0" distB="0" distL="114300" distR="114300" simplePos="0" relativeHeight="251658243" behindDoc="1" locked="1" layoutInCell="1" allowOverlap="1" wp14:anchorId="75693495" wp14:editId="01495435">
          <wp:simplePos x="0" y="0"/>
          <wp:positionH relativeFrom="page">
            <wp:align>left</wp:align>
          </wp:positionH>
          <wp:positionV relativeFrom="page">
            <wp:align>top</wp:align>
          </wp:positionV>
          <wp:extent cx="7560000" cy="10692000"/>
          <wp:effectExtent l="0" t="0" r="3175"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B5DDD" w14:paraId="729EAB5D" w14:textId="77777777" w:rsidTr="00A233CF">
      <w:trPr>
        <w:trHeight w:hRule="exact" w:val="340"/>
      </w:trPr>
      <w:tc>
        <w:tcPr>
          <w:tcW w:w="7797" w:type="dxa"/>
        </w:tcPr>
        <w:p w14:paraId="69335DB4" w14:textId="043282C9" w:rsidR="00FB5DDD" w:rsidRPr="008C56E1" w:rsidRDefault="00FB5DDD" w:rsidP="00F60EA1">
          <w:pPr>
            <w:pStyle w:val="HeaderEven"/>
          </w:pPr>
          <w:r w:rsidRPr="008C56E1">
            <w:rPr>
              <w:noProof/>
              <w:position w:val="-8"/>
            </w:rPr>
            <w:drawing>
              <wp:inline distT="0" distB="0" distL="0" distR="0" wp14:anchorId="49BDE24A" wp14:editId="0F916F06">
                <wp:extent cx="874979" cy="198000"/>
                <wp:effectExtent l="0" t="0" r="1905"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r w:rsidR="00D42EF7">
            <w:fldChar w:fldCharType="begin"/>
          </w:r>
          <w:r w:rsidR="00D42EF7">
            <w:instrText xml:space="preserve"> TITLE   \* MERGEFORMAT </w:instrText>
          </w:r>
          <w:r w:rsidR="00D42EF7">
            <w:fldChar w:fldCharType="separate"/>
          </w:r>
          <w:r w:rsidR="00BB41CC">
            <w:t>Budget Paper No. 1</w:t>
          </w:r>
          <w:r w:rsidR="00D42EF7">
            <w:fldChar w:fldCharType="end"/>
          </w:r>
        </w:p>
      </w:tc>
    </w:tr>
  </w:tbl>
  <w:p w14:paraId="4C20FAFB" w14:textId="77777777" w:rsidR="00FB5DDD" w:rsidRPr="00AA5439" w:rsidRDefault="00FB5DDD" w:rsidP="00AA5439">
    <w:pPr>
      <w:pStyle w:val="HeaderEven"/>
      <w:rPr>
        <w:sz w:val="2"/>
        <w:szCs w:val="4"/>
      </w:rPr>
    </w:pPr>
  </w:p>
  <w:p w14:paraId="2849541D" w14:textId="77777777" w:rsidR="00FB5DDD" w:rsidRPr="007703C7" w:rsidRDefault="00FB5DDD" w:rsidP="007703C7">
    <w:pPr>
      <w:pStyle w:val="Heade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8867" w14:textId="2B0F714F" w:rsidR="00FB5DDD" w:rsidRPr="000635BE" w:rsidRDefault="00356E70" w:rsidP="000635BE">
    <w:pPr>
      <w:pStyle w:val="HeaderOdd"/>
      <w:rPr>
        <w:sz w:val="2"/>
        <w:szCs w:val="4"/>
      </w:rPr>
    </w:pPr>
    <w:r>
      <w:rPr>
        <w:noProof/>
      </w:rPr>
      <w:drawing>
        <wp:anchor distT="0" distB="0" distL="114300" distR="114300" simplePos="0" relativeHeight="251658244" behindDoc="1" locked="0" layoutInCell="1" allowOverlap="1" wp14:anchorId="3D7D626F" wp14:editId="29B09C57">
          <wp:simplePos x="0" y="0"/>
          <wp:positionH relativeFrom="page">
            <wp:align>center</wp:align>
          </wp:positionH>
          <wp:positionV relativeFrom="page">
            <wp:align>top</wp:align>
          </wp:positionV>
          <wp:extent cx="7560000" cy="10692000"/>
          <wp:effectExtent l="0" t="0" r="3175"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475870" w14:paraId="5D750738" w14:textId="77777777" w:rsidTr="00A233CF">
      <w:trPr>
        <w:trHeight w:hRule="exact" w:val="340"/>
      </w:trPr>
      <w:tc>
        <w:tcPr>
          <w:tcW w:w="7797" w:type="dxa"/>
          <w:tcMar>
            <w:left w:w="108" w:type="dxa"/>
            <w:right w:w="108" w:type="dxa"/>
          </w:tcMar>
        </w:tcPr>
        <w:p w14:paraId="25057562" w14:textId="69930943" w:rsidR="00475870" w:rsidRPr="00D13BF9" w:rsidRDefault="00D42EF7" w:rsidP="00D13BF9">
          <w:pPr>
            <w:pStyle w:val="HeaderOdd"/>
          </w:pPr>
          <w:r>
            <w:fldChar w:fldCharType="begin"/>
          </w:r>
          <w:r>
            <w:instrText xml:space="preserve"> TITLE   \* MERGEFORMAT </w:instrText>
          </w:r>
          <w:r>
            <w:fldChar w:fldCharType="separate"/>
          </w:r>
          <w:r w:rsidR="00BB41CC">
            <w:t>Budget Paper No. 1</w:t>
          </w:r>
          <w:r>
            <w:fldChar w:fldCharType="end"/>
          </w:r>
          <w:r w:rsidR="00475870" w:rsidRPr="00D13BF9">
            <w:t xml:space="preserve">  |  </w:t>
          </w:r>
          <w:r w:rsidR="00475870" w:rsidRPr="00C9389A">
            <w:rPr>
              <w:noProof/>
              <w:position w:val="-8"/>
            </w:rPr>
            <w:drawing>
              <wp:inline distT="0" distB="0" distL="0" distR="0" wp14:anchorId="6DA2D6AB" wp14:editId="1B11223F">
                <wp:extent cx="878400" cy="198000"/>
                <wp:effectExtent l="0" t="0" r="0"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7E07A5B6" w14:textId="77777777" w:rsidR="00FB5DDD" w:rsidRPr="00AA5439" w:rsidRDefault="00FB5DDD" w:rsidP="00AA5439">
    <w:pPr>
      <w:pStyle w:val="Heade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24D8C" w14:textId="44D86261" w:rsidR="00FB5DDD" w:rsidRDefault="00356E70">
    <w:pPr>
      <w:pStyle w:val="Header"/>
      <w:rPr>
        <w:sz w:val="2"/>
        <w:szCs w:val="2"/>
      </w:rPr>
    </w:pPr>
    <w:r>
      <w:rPr>
        <w:noProof/>
      </w:rPr>
      <w:drawing>
        <wp:anchor distT="0" distB="0" distL="114300" distR="114300" simplePos="0" relativeHeight="251658242" behindDoc="1" locked="0" layoutInCell="1" allowOverlap="1" wp14:anchorId="3852BD91" wp14:editId="3339D991">
          <wp:simplePos x="0" y="0"/>
          <wp:positionH relativeFrom="page">
            <wp:align>center</wp:align>
          </wp:positionH>
          <wp:positionV relativeFrom="page">
            <wp:align>top</wp:align>
          </wp:positionV>
          <wp:extent cx="7560000" cy="10692000"/>
          <wp:effectExtent l="0" t="0" r="3175"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14:paraId="34F5A384" w14:textId="77777777" w:rsidR="00FB5DDD" w:rsidRDefault="00FB5DDD">
    <w:pPr>
      <w:pStyle w:val="Header"/>
      <w:rPr>
        <w:sz w:val="2"/>
        <w:szCs w:val="2"/>
      </w:rPr>
    </w:pPr>
  </w:p>
  <w:p w14:paraId="1562B5F1" w14:textId="1B6D9DD0" w:rsidR="00FB5DDD" w:rsidRPr="005B2F30" w:rsidRDefault="00FB5DDD">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208290C"/>
    <w:multiLevelType w:val="multilevel"/>
    <w:tmpl w:val="246CB474"/>
    <w:name w:val="StandardNumberedList"/>
    <w:lvl w:ilvl="0">
      <w:start w:val="1"/>
      <w:numFmt w:val="decimal"/>
      <w:pStyle w:val="OutlineNumbered1"/>
      <w:lvlText w:val="%1."/>
      <w:lvlJc w:val="left"/>
      <w:pPr>
        <w:tabs>
          <w:tab w:val="num" w:pos="449"/>
        </w:tabs>
        <w:ind w:left="449" w:hanging="449"/>
      </w:pPr>
    </w:lvl>
    <w:lvl w:ilvl="1">
      <w:start w:val="1"/>
      <w:numFmt w:val="decimal"/>
      <w:pStyle w:val="OutlineNumbered2"/>
      <w:lvlText w:val="%1.%2."/>
      <w:lvlJc w:val="left"/>
      <w:pPr>
        <w:tabs>
          <w:tab w:val="num" w:pos="898"/>
        </w:tabs>
        <w:ind w:left="898" w:hanging="449"/>
      </w:pPr>
    </w:lvl>
    <w:lvl w:ilvl="2">
      <w:start w:val="1"/>
      <w:numFmt w:val="decimal"/>
      <w:pStyle w:val="OutlineNumbered3"/>
      <w:lvlText w:val="%1.%2.%3."/>
      <w:lvlJc w:val="left"/>
      <w:pPr>
        <w:tabs>
          <w:tab w:val="num" w:pos="1347"/>
        </w:tabs>
        <w:ind w:left="1347" w:hanging="449"/>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FBD7996"/>
    <w:multiLevelType w:val="multilevel"/>
    <w:tmpl w:val="33DE46A4"/>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6"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abstractNumId w:val="15"/>
  </w:num>
  <w:num w:numId="2">
    <w:abstractNumId w:val="11"/>
  </w:num>
  <w:num w:numId="3">
    <w:abstractNumId w:val="10"/>
  </w:num>
  <w:num w:numId="4">
    <w:abstractNumId w:val="12"/>
  </w:num>
  <w:num w:numId="5">
    <w:abstractNumId w:val="16"/>
  </w:num>
  <w:num w:numId="6">
    <w:abstractNumId w:val="10"/>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attachedTemplate r:id="rId1"/>
  <w:stylePaneSortMethod w:val="0000"/>
  <w:documentProtection w:edit="comments" w:enforcement="0"/>
  <w:defaultTabStop w:val="720"/>
  <w:evenAndOddHeaders/>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356E70"/>
    <w:rsid w:val="000004EA"/>
    <w:rsid w:val="000006DC"/>
    <w:rsid w:val="00000D02"/>
    <w:rsid w:val="00001116"/>
    <w:rsid w:val="00001432"/>
    <w:rsid w:val="000016A0"/>
    <w:rsid w:val="000026B2"/>
    <w:rsid w:val="00002E0C"/>
    <w:rsid w:val="000035AE"/>
    <w:rsid w:val="00003850"/>
    <w:rsid w:val="0000540A"/>
    <w:rsid w:val="000054D0"/>
    <w:rsid w:val="00005B3C"/>
    <w:rsid w:val="00005C59"/>
    <w:rsid w:val="00005C9D"/>
    <w:rsid w:val="0000651C"/>
    <w:rsid w:val="00006840"/>
    <w:rsid w:val="00007A32"/>
    <w:rsid w:val="00007D8C"/>
    <w:rsid w:val="00010993"/>
    <w:rsid w:val="0001183A"/>
    <w:rsid w:val="00011DAF"/>
    <w:rsid w:val="00011DBB"/>
    <w:rsid w:val="0001219D"/>
    <w:rsid w:val="000125AD"/>
    <w:rsid w:val="000126CD"/>
    <w:rsid w:val="00012A55"/>
    <w:rsid w:val="00013436"/>
    <w:rsid w:val="000134EB"/>
    <w:rsid w:val="00013EA8"/>
    <w:rsid w:val="000148C2"/>
    <w:rsid w:val="00014B29"/>
    <w:rsid w:val="000151D9"/>
    <w:rsid w:val="00015469"/>
    <w:rsid w:val="0001567F"/>
    <w:rsid w:val="000160FD"/>
    <w:rsid w:val="00016CEB"/>
    <w:rsid w:val="000173EE"/>
    <w:rsid w:val="00017889"/>
    <w:rsid w:val="00017F62"/>
    <w:rsid w:val="000201B5"/>
    <w:rsid w:val="00020299"/>
    <w:rsid w:val="00020418"/>
    <w:rsid w:val="00020512"/>
    <w:rsid w:val="00020BD5"/>
    <w:rsid w:val="00020FE5"/>
    <w:rsid w:val="00021106"/>
    <w:rsid w:val="0002157E"/>
    <w:rsid w:val="0002162D"/>
    <w:rsid w:val="000218AE"/>
    <w:rsid w:val="0002213F"/>
    <w:rsid w:val="000224AB"/>
    <w:rsid w:val="00022518"/>
    <w:rsid w:val="0002264D"/>
    <w:rsid w:val="00022B9E"/>
    <w:rsid w:val="00022F42"/>
    <w:rsid w:val="00023232"/>
    <w:rsid w:val="0002326B"/>
    <w:rsid w:val="0002331E"/>
    <w:rsid w:val="00023BA5"/>
    <w:rsid w:val="00023C28"/>
    <w:rsid w:val="000244B5"/>
    <w:rsid w:val="000245B1"/>
    <w:rsid w:val="0002463A"/>
    <w:rsid w:val="000248A2"/>
    <w:rsid w:val="000249A3"/>
    <w:rsid w:val="00024BA4"/>
    <w:rsid w:val="00024E5F"/>
    <w:rsid w:val="000259AA"/>
    <w:rsid w:val="0002605D"/>
    <w:rsid w:val="00026831"/>
    <w:rsid w:val="0002697C"/>
    <w:rsid w:val="000269A5"/>
    <w:rsid w:val="00026B14"/>
    <w:rsid w:val="00026B5D"/>
    <w:rsid w:val="00027061"/>
    <w:rsid w:val="000275E4"/>
    <w:rsid w:val="00027854"/>
    <w:rsid w:val="00027AB2"/>
    <w:rsid w:val="00030BB9"/>
    <w:rsid w:val="00030C7A"/>
    <w:rsid w:val="00030E45"/>
    <w:rsid w:val="0003104F"/>
    <w:rsid w:val="00031A09"/>
    <w:rsid w:val="00032F71"/>
    <w:rsid w:val="0003338B"/>
    <w:rsid w:val="00033E3A"/>
    <w:rsid w:val="00034016"/>
    <w:rsid w:val="00034438"/>
    <w:rsid w:val="000345C4"/>
    <w:rsid w:val="00034A4D"/>
    <w:rsid w:val="00034C3E"/>
    <w:rsid w:val="000350F1"/>
    <w:rsid w:val="00035151"/>
    <w:rsid w:val="00035D8D"/>
    <w:rsid w:val="00036AE2"/>
    <w:rsid w:val="00036DBA"/>
    <w:rsid w:val="00037C38"/>
    <w:rsid w:val="00037EC6"/>
    <w:rsid w:val="000407C6"/>
    <w:rsid w:val="00040A61"/>
    <w:rsid w:val="00040CC7"/>
    <w:rsid w:val="0004110F"/>
    <w:rsid w:val="000424BC"/>
    <w:rsid w:val="0004251E"/>
    <w:rsid w:val="0004332F"/>
    <w:rsid w:val="00043656"/>
    <w:rsid w:val="00043800"/>
    <w:rsid w:val="00043817"/>
    <w:rsid w:val="00043901"/>
    <w:rsid w:val="00043F0E"/>
    <w:rsid w:val="00043F9A"/>
    <w:rsid w:val="00044088"/>
    <w:rsid w:val="00044271"/>
    <w:rsid w:val="00044639"/>
    <w:rsid w:val="000448FD"/>
    <w:rsid w:val="00044BDC"/>
    <w:rsid w:val="000452D1"/>
    <w:rsid w:val="00045D39"/>
    <w:rsid w:val="00046631"/>
    <w:rsid w:val="00046B4B"/>
    <w:rsid w:val="0004746F"/>
    <w:rsid w:val="00047521"/>
    <w:rsid w:val="00047B02"/>
    <w:rsid w:val="00047C2D"/>
    <w:rsid w:val="00047E84"/>
    <w:rsid w:val="0005002C"/>
    <w:rsid w:val="00050183"/>
    <w:rsid w:val="000502C2"/>
    <w:rsid w:val="000504DB"/>
    <w:rsid w:val="00050BE8"/>
    <w:rsid w:val="0005119B"/>
    <w:rsid w:val="0005171C"/>
    <w:rsid w:val="000518FA"/>
    <w:rsid w:val="00051CDD"/>
    <w:rsid w:val="00051DDC"/>
    <w:rsid w:val="00051E00"/>
    <w:rsid w:val="00051FD3"/>
    <w:rsid w:val="00052995"/>
    <w:rsid w:val="00052C4D"/>
    <w:rsid w:val="00052CD5"/>
    <w:rsid w:val="00052F4B"/>
    <w:rsid w:val="00053924"/>
    <w:rsid w:val="00053FA4"/>
    <w:rsid w:val="00054269"/>
    <w:rsid w:val="000546EB"/>
    <w:rsid w:val="0005490E"/>
    <w:rsid w:val="00055A88"/>
    <w:rsid w:val="00055AAB"/>
    <w:rsid w:val="00055B4B"/>
    <w:rsid w:val="00055CAF"/>
    <w:rsid w:val="00056243"/>
    <w:rsid w:val="00056ED4"/>
    <w:rsid w:val="00057122"/>
    <w:rsid w:val="000575E9"/>
    <w:rsid w:val="00057AAC"/>
    <w:rsid w:val="000608D5"/>
    <w:rsid w:val="0006123F"/>
    <w:rsid w:val="00061712"/>
    <w:rsid w:val="00062025"/>
    <w:rsid w:val="000622DA"/>
    <w:rsid w:val="000629C9"/>
    <w:rsid w:val="0006304A"/>
    <w:rsid w:val="00063194"/>
    <w:rsid w:val="000632DF"/>
    <w:rsid w:val="000635BE"/>
    <w:rsid w:val="00063687"/>
    <w:rsid w:val="0006414E"/>
    <w:rsid w:val="000646B5"/>
    <w:rsid w:val="00064AED"/>
    <w:rsid w:val="00064C1B"/>
    <w:rsid w:val="00064D68"/>
    <w:rsid w:val="00065BBF"/>
    <w:rsid w:val="00065D52"/>
    <w:rsid w:val="00065D7A"/>
    <w:rsid w:val="000661E6"/>
    <w:rsid w:val="000663A8"/>
    <w:rsid w:val="00066A5D"/>
    <w:rsid w:val="00066EFC"/>
    <w:rsid w:val="000670BA"/>
    <w:rsid w:val="0006761B"/>
    <w:rsid w:val="000677D7"/>
    <w:rsid w:val="00070754"/>
    <w:rsid w:val="0007080C"/>
    <w:rsid w:val="00070984"/>
    <w:rsid w:val="000709AA"/>
    <w:rsid w:val="00070ACE"/>
    <w:rsid w:val="00070BF9"/>
    <w:rsid w:val="00071152"/>
    <w:rsid w:val="0007133E"/>
    <w:rsid w:val="00071DE1"/>
    <w:rsid w:val="00072469"/>
    <w:rsid w:val="0007259A"/>
    <w:rsid w:val="00073897"/>
    <w:rsid w:val="00073B3D"/>
    <w:rsid w:val="000741AA"/>
    <w:rsid w:val="00074347"/>
    <w:rsid w:val="000747A8"/>
    <w:rsid w:val="00074880"/>
    <w:rsid w:val="000748AA"/>
    <w:rsid w:val="000748B6"/>
    <w:rsid w:val="00075779"/>
    <w:rsid w:val="00075AF6"/>
    <w:rsid w:val="00075B95"/>
    <w:rsid w:val="00076470"/>
    <w:rsid w:val="00076759"/>
    <w:rsid w:val="00076EE1"/>
    <w:rsid w:val="000775B5"/>
    <w:rsid w:val="00077609"/>
    <w:rsid w:val="00077FE5"/>
    <w:rsid w:val="0008004C"/>
    <w:rsid w:val="000803CF"/>
    <w:rsid w:val="000804D3"/>
    <w:rsid w:val="0008098E"/>
    <w:rsid w:val="00080BD1"/>
    <w:rsid w:val="00080C31"/>
    <w:rsid w:val="00081178"/>
    <w:rsid w:val="0008150A"/>
    <w:rsid w:val="00082DAC"/>
    <w:rsid w:val="00082F7F"/>
    <w:rsid w:val="00083068"/>
    <w:rsid w:val="000836EB"/>
    <w:rsid w:val="0008399A"/>
    <w:rsid w:val="00084125"/>
    <w:rsid w:val="0008416B"/>
    <w:rsid w:val="00084EB0"/>
    <w:rsid w:val="00085557"/>
    <w:rsid w:val="00085801"/>
    <w:rsid w:val="0008597F"/>
    <w:rsid w:val="000859CA"/>
    <w:rsid w:val="0008617D"/>
    <w:rsid w:val="00086A3D"/>
    <w:rsid w:val="00086DB6"/>
    <w:rsid w:val="000877C8"/>
    <w:rsid w:val="0008785B"/>
    <w:rsid w:val="00090646"/>
    <w:rsid w:val="00090D8C"/>
    <w:rsid w:val="00090F12"/>
    <w:rsid w:val="000917AE"/>
    <w:rsid w:val="000919C5"/>
    <w:rsid w:val="00091BBF"/>
    <w:rsid w:val="00091D8F"/>
    <w:rsid w:val="00091EA0"/>
    <w:rsid w:val="00091EA5"/>
    <w:rsid w:val="00091FB7"/>
    <w:rsid w:val="0009216E"/>
    <w:rsid w:val="00092775"/>
    <w:rsid w:val="00092895"/>
    <w:rsid w:val="00092BC6"/>
    <w:rsid w:val="00093C02"/>
    <w:rsid w:val="00093C51"/>
    <w:rsid w:val="00093FEE"/>
    <w:rsid w:val="00094049"/>
    <w:rsid w:val="00094BCB"/>
    <w:rsid w:val="00094F82"/>
    <w:rsid w:val="000955E0"/>
    <w:rsid w:val="00095B13"/>
    <w:rsid w:val="000961B3"/>
    <w:rsid w:val="00096275"/>
    <w:rsid w:val="0009644E"/>
    <w:rsid w:val="0009652A"/>
    <w:rsid w:val="000965BE"/>
    <w:rsid w:val="0009766B"/>
    <w:rsid w:val="00097683"/>
    <w:rsid w:val="00097D00"/>
    <w:rsid w:val="00097D4A"/>
    <w:rsid w:val="000A0052"/>
    <w:rsid w:val="000A0C6D"/>
    <w:rsid w:val="000A166C"/>
    <w:rsid w:val="000A2236"/>
    <w:rsid w:val="000A2A17"/>
    <w:rsid w:val="000A379F"/>
    <w:rsid w:val="000A4476"/>
    <w:rsid w:val="000A4B5D"/>
    <w:rsid w:val="000A4E0A"/>
    <w:rsid w:val="000A51E1"/>
    <w:rsid w:val="000A58AD"/>
    <w:rsid w:val="000A5D9E"/>
    <w:rsid w:val="000A5EF4"/>
    <w:rsid w:val="000A688A"/>
    <w:rsid w:val="000A6BC6"/>
    <w:rsid w:val="000A733F"/>
    <w:rsid w:val="000A769D"/>
    <w:rsid w:val="000A76C1"/>
    <w:rsid w:val="000A772A"/>
    <w:rsid w:val="000A7770"/>
    <w:rsid w:val="000A7F64"/>
    <w:rsid w:val="000B05D7"/>
    <w:rsid w:val="000B09E6"/>
    <w:rsid w:val="000B11DC"/>
    <w:rsid w:val="000B1280"/>
    <w:rsid w:val="000B15F2"/>
    <w:rsid w:val="000B168F"/>
    <w:rsid w:val="000B17BB"/>
    <w:rsid w:val="000B1B0F"/>
    <w:rsid w:val="000B1BC7"/>
    <w:rsid w:val="000B1F62"/>
    <w:rsid w:val="000B2203"/>
    <w:rsid w:val="000B2631"/>
    <w:rsid w:val="000B2BE7"/>
    <w:rsid w:val="000B2F31"/>
    <w:rsid w:val="000B30F5"/>
    <w:rsid w:val="000B314F"/>
    <w:rsid w:val="000B31B6"/>
    <w:rsid w:val="000B346F"/>
    <w:rsid w:val="000B3717"/>
    <w:rsid w:val="000B38A8"/>
    <w:rsid w:val="000B3BDF"/>
    <w:rsid w:val="000B42C0"/>
    <w:rsid w:val="000B4352"/>
    <w:rsid w:val="000B4844"/>
    <w:rsid w:val="000B494B"/>
    <w:rsid w:val="000B4AA8"/>
    <w:rsid w:val="000B4D89"/>
    <w:rsid w:val="000B4E86"/>
    <w:rsid w:val="000B51D0"/>
    <w:rsid w:val="000B5320"/>
    <w:rsid w:val="000B5D8F"/>
    <w:rsid w:val="000B5DF1"/>
    <w:rsid w:val="000B6562"/>
    <w:rsid w:val="000B68E3"/>
    <w:rsid w:val="000B72C0"/>
    <w:rsid w:val="000B7BDF"/>
    <w:rsid w:val="000B7E7D"/>
    <w:rsid w:val="000C03EB"/>
    <w:rsid w:val="000C046A"/>
    <w:rsid w:val="000C0B95"/>
    <w:rsid w:val="000C0CAD"/>
    <w:rsid w:val="000C0E05"/>
    <w:rsid w:val="000C167C"/>
    <w:rsid w:val="000C1CDE"/>
    <w:rsid w:val="000C1DB8"/>
    <w:rsid w:val="000C1F26"/>
    <w:rsid w:val="000C3063"/>
    <w:rsid w:val="000C3165"/>
    <w:rsid w:val="000C37C2"/>
    <w:rsid w:val="000C3A4D"/>
    <w:rsid w:val="000C3BDD"/>
    <w:rsid w:val="000C3C01"/>
    <w:rsid w:val="000C3D90"/>
    <w:rsid w:val="000C3E18"/>
    <w:rsid w:val="000C3FB2"/>
    <w:rsid w:val="000C4312"/>
    <w:rsid w:val="000C4E5E"/>
    <w:rsid w:val="000C54BA"/>
    <w:rsid w:val="000C5B72"/>
    <w:rsid w:val="000C5E97"/>
    <w:rsid w:val="000C6541"/>
    <w:rsid w:val="000C683D"/>
    <w:rsid w:val="000C6D61"/>
    <w:rsid w:val="000D054E"/>
    <w:rsid w:val="000D0BB0"/>
    <w:rsid w:val="000D0DD4"/>
    <w:rsid w:val="000D1306"/>
    <w:rsid w:val="000D1E0C"/>
    <w:rsid w:val="000D2B55"/>
    <w:rsid w:val="000D426B"/>
    <w:rsid w:val="000D59D0"/>
    <w:rsid w:val="000D5D34"/>
    <w:rsid w:val="000D5EF0"/>
    <w:rsid w:val="000D5F82"/>
    <w:rsid w:val="000D6257"/>
    <w:rsid w:val="000D694D"/>
    <w:rsid w:val="000D6E6F"/>
    <w:rsid w:val="000D6F51"/>
    <w:rsid w:val="000D78F4"/>
    <w:rsid w:val="000D7C30"/>
    <w:rsid w:val="000E000B"/>
    <w:rsid w:val="000E0719"/>
    <w:rsid w:val="000E0F15"/>
    <w:rsid w:val="000E0FE4"/>
    <w:rsid w:val="000E105B"/>
    <w:rsid w:val="000E10E6"/>
    <w:rsid w:val="000E1185"/>
    <w:rsid w:val="000E149B"/>
    <w:rsid w:val="000E14D6"/>
    <w:rsid w:val="000E1823"/>
    <w:rsid w:val="000E206B"/>
    <w:rsid w:val="000E21E2"/>
    <w:rsid w:val="000E2C4F"/>
    <w:rsid w:val="000E3022"/>
    <w:rsid w:val="000E3576"/>
    <w:rsid w:val="000E4EFF"/>
    <w:rsid w:val="000E50FA"/>
    <w:rsid w:val="000E518C"/>
    <w:rsid w:val="000E52CD"/>
    <w:rsid w:val="000E6756"/>
    <w:rsid w:val="000E6838"/>
    <w:rsid w:val="000E685F"/>
    <w:rsid w:val="000E6C9E"/>
    <w:rsid w:val="000E7625"/>
    <w:rsid w:val="000E7867"/>
    <w:rsid w:val="000E7C5C"/>
    <w:rsid w:val="000E7FE7"/>
    <w:rsid w:val="000F0834"/>
    <w:rsid w:val="000F0CFC"/>
    <w:rsid w:val="000F0FDF"/>
    <w:rsid w:val="000F2127"/>
    <w:rsid w:val="000F2293"/>
    <w:rsid w:val="000F24DA"/>
    <w:rsid w:val="000F281C"/>
    <w:rsid w:val="000F2A0E"/>
    <w:rsid w:val="000F2AB6"/>
    <w:rsid w:val="000F2C7C"/>
    <w:rsid w:val="000F2D73"/>
    <w:rsid w:val="000F2FAB"/>
    <w:rsid w:val="000F3034"/>
    <w:rsid w:val="000F37F2"/>
    <w:rsid w:val="000F3A9C"/>
    <w:rsid w:val="000F3AF0"/>
    <w:rsid w:val="000F3CDA"/>
    <w:rsid w:val="000F3FAA"/>
    <w:rsid w:val="000F3FCB"/>
    <w:rsid w:val="000F4085"/>
    <w:rsid w:val="000F4171"/>
    <w:rsid w:val="000F43D9"/>
    <w:rsid w:val="000F48EB"/>
    <w:rsid w:val="000F4FB7"/>
    <w:rsid w:val="000F520C"/>
    <w:rsid w:val="000F57AF"/>
    <w:rsid w:val="000F59FB"/>
    <w:rsid w:val="000F5FC5"/>
    <w:rsid w:val="000F5FD4"/>
    <w:rsid w:val="000F62EC"/>
    <w:rsid w:val="000F62F5"/>
    <w:rsid w:val="000F66EF"/>
    <w:rsid w:val="000F6B82"/>
    <w:rsid w:val="000F76EC"/>
    <w:rsid w:val="000F771B"/>
    <w:rsid w:val="000F7E49"/>
    <w:rsid w:val="001003A1"/>
    <w:rsid w:val="0010047E"/>
    <w:rsid w:val="00100629"/>
    <w:rsid w:val="00100BAA"/>
    <w:rsid w:val="00100C50"/>
    <w:rsid w:val="00101548"/>
    <w:rsid w:val="001015BD"/>
    <w:rsid w:val="00102558"/>
    <w:rsid w:val="00102988"/>
    <w:rsid w:val="00102A79"/>
    <w:rsid w:val="00102AE1"/>
    <w:rsid w:val="001031ED"/>
    <w:rsid w:val="00103267"/>
    <w:rsid w:val="00103864"/>
    <w:rsid w:val="00103F65"/>
    <w:rsid w:val="001048C4"/>
    <w:rsid w:val="00104967"/>
    <w:rsid w:val="00104E3E"/>
    <w:rsid w:val="00104E8D"/>
    <w:rsid w:val="00105213"/>
    <w:rsid w:val="00105753"/>
    <w:rsid w:val="001062A6"/>
    <w:rsid w:val="00106716"/>
    <w:rsid w:val="00106DE3"/>
    <w:rsid w:val="00106E4A"/>
    <w:rsid w:val="0010740A"/>
    <w:rsid w:val="00107DB9"/>
    <w:rsid w:val="001104CD"/>
    <w:rsid w:val="00110842"/>
    <w:rsid w:val="00110860"/>
    <w:rsid w:val="00110C46"/>
    <w:rsid w:val="00111359"/>
    <w:rsid w:val="0011175D"/>
    <w:rsid w:val="00112017"/>
    <w:rsid w:val="00112079"/>
    <w:rsid w:val="001125D4"/>
    <w:rsid w:val="00112E83"/>
    <w:rsid w:val="00113A38"/>
    <w:rsid w:val="0011403F"/>
    <w:rsid w:val="001147EF"/>
    <w:rsid w:val="00114D38"/>
    <w:rsid w:val="00115079"/>
    <w:rsid w:val="00115437"/>
    <w:rsid w:val="0011608B"/>
    <w:rsid w:val="001161BF"/>
    <w:rsid w:val="00116400"/>
    <w:rsid w:val="0011647E"/>
    <w:rsid w:val="001166A9"/>
    <w:rsid w:val="00116705"/>
    <w:rsid w:val="00117566"/>
    <w:rsid w:val="0011784D"/>
    <w:rsid w:val="00117A3C"/>
    <w:rsid w:val="00117E5B"/>
    <w:rsid w:val="00120369"/>
    <w:rsid w:val="001209AB"/>
    <w:rsid w:val="00120A01"/>
    <w:rsid w:val="00120B74"/>
    <w:rsid w:val="00120D2C"/>
    <w:rsid w:val="00121269"/>
    <w:rsid w:val="001212CD"/>
    <w:rsid w:val="001216A4"/>
    <w:rsid w:val="00121856"/>
    <w:rsid w:val="00121E31"/>
    <w:rsid w:val="00121F4F"/>
    <w:rsid w:val="00122FAD"/>
    <w:rsid w:val="0012314C"/>
    <w:rsid w:val="00123214"/>
    <w:rsid w:val="0012368E"/>
    <w:rsid w:val="001237C9"/>
    <w:rsid w:val="00124329"/>
    <w:rsid w:val="001244B8"/>
    <w:rsid w:val="0012461F"/>
    <w:rsid w:val="00124F5B"/>
    <w:rsid w:val="00125299"/>
    <w:rsid w:val="00125755"/>
    <w:rsid w:val="00125EF0"/>
    <w:rsid w:val="00126387"/>
    <w:rsid w:val="00126F06"/>
    <w:rsid w:val="00127BA6"/>
    <w:rsid w:val="001302C8"/>
    <w:rsid w:val="00130E6D"/>
    <w:rsid w:val="001312C4"/>
    <w:rsid w:val="001314F3"/>
    <w:rsid w:val="00131E23"/>
    <w:rsid w:val="00131FBC"/>
    <w:rsid w:val="0013255B"/>
    <w:rsid w:val="001325BA"/>
    <w:rsid w:val="001326F5"/>
    <w:rsid w:val="00132E83"/>
    <w:rsid w:val="00133F56"/>
    <w:rsid w:val="00134F8A"/>
    <w:rsid w:val="001351DE"/>
    <w:rsid w:val="00135A81"/>
    <w:rsid w:val="00135ACD"/>
    <w:rsid w:val="00135BEF"/>
    <w:rsid w:val="001363BA"/>
    <w:rsid w:val="001369DD"/>
    <w:rsid w:val="00136EDF"/>
    <w:rsid w:val="00137232"/>
    <w:rsid w:val="00137776"/>
    <w:rsid w:val="001377EA"/>
    <w:rsid w:val="00137CE4"/>
    <w:rsid w:val="00140B44"/>
    <w:rsid w:val="00140BC0"/>
    <w:rsid w:val="0014175F"/>
    <w:rsid w:val="0014197D"/>
    <w:rsid w:val="00141B80"/>
    <w:rsid w:val="00141EF3"/>
    <w:rsid w:val="001422B2"/>
    <w:rsid w:val="001424DB"/>
    <w:rsid w:val="0014251F"/>
    <w:rsid w:val="00142686"/>
    <w:rsid w:val="00142B9E"/>
    <w:rsid w:val="00142BE5"/>
    <w:rsid w:val="00143327"/>
    <w:rsid w:val="00143496"/>
    <w:rsid w:val="0014386C"/>
    <w:rsid w:val="00145422"/>
    <w:rsid w:val="0014583B"/>
    <w:rsid w:val="00145DDC"/>
    <w:rsid w:val="00145E24"/>
    <w:rsid w:val="0014623C"/>
    <w:rsid w:val="00146580"/>
    <w:rsid w:val="00146B6E"/>
    <w:rsid w:val="00146E51"/>
    <w:rsid w:val="001472CA"/>
    <w:rsid w:val="001473FF"/>
    <w:rsid w:val="00147A52"/>
    <w:rsid w:val="00147C98"/>
    <w:rsid w:val="001503F0"/>
    <w:rsid w:val="0015047D"/>
    <w:rsid w:val="00150C73"/>
    <w:rsid w:val="00150DB6"/>
    <w:rsid w:val="0015187E"/>
    <w:rsid w:val="00151A93"/>
    <w:rsid w:val="001521ED"/>
    <w:rsid w:val="001524B2"/>
    <w:rsid w:val="00152516"/>
    <w:rsid w:val="001525DA"/>
    <w:rsid w:val="00152872"/>
    <w:rsid w:val="001534CB"/>
    <w:rsid w:val="001538B6"/>
    <w:rsid w:val="001542EA"/>
    <w:rsid w:val="0015562B"/>
    <w:rsid w:val="001559A4"/>
    <w:rsid w:val="0015607F"/>
    <w:rsid w:val="00156213"/>
    <w:rsid w:val="00157051"/>
    <w:rsid w:val="00157293"/>
    <w:rsid w:val="0016004C"/>
    <w:rsid w:val="00160928"/>
    <w:rsid w:val="00160A94"/>
    <w:rsid w:val="0016169F"/>
    <w:rsid w:val="0016175B"/>
    <w:rsid w:val="00162392"/>
    <w:rsid w:val="00162453"/>
    <w:rsid w:val="0016287F"/>
    <w:rsid w:val="00162AE7"/>
    <w:rsid w:val="00163BBA"/>
    <w:rsid w:val="001642CA"/>
    <w:rsid w:val="00164983"/>
    <w:rsid w:val="00164A45"/>
    <w:rsid w:val="00164BCD"/>
    <w:rsid w:val="00164CEC"/>
    <w:rsid w:val="001654A3"/>
    <w:rsid w:val="00165741"/>
    <w:rsid w:val="0016584F"/>
    <w:rsid w:val="00165A44"/>
    <w:rsid w:val="00165CF4"/>
    <w:rsid w:val="00165E3D"/>
    <w:rsid w:val="00166D69"/>
    <w:rsid w:val="00166E7F"/>
    <w:rsid w:val="0016756F"/>
    <w:rsid w:val="001704FA"/>
    <w:rsid w:val="00171261"/>
    <w:rsid w:val="00172CFE"/>
    <w:rsid w:val="00172D15"/>
    <w:rsid w:val="00172F90"/>
    <w:rsid w:val="0017316C"/>
    <w:rsid w:val="001739D0"/>
    <w:rsid w:val="00173F2A"/>
    <w:rsid w:val="001741C7"/>
    <w:rsid w:val="0017432B"/>
    <w:rsid w:val="00174396"/>
    <w:rsid w:val="00174F69"/>
    <w:rsid w:val="00175535"/>
    <w:rsid w:val="001755C0"/>
    <w:rsid w:val="001759CF"/>
    <w:rsid w:val="0017662A"/>
    <w:rsid w:val="00176D9D"/>
    <w:rsid w:val="00176EF2"/>
    <w:rsid w:val="00177401"/>
    <w:rsid w:val="00177744"/>
    <w:rsid w:val="00177DDD"/>
    <w:rsid w:val="0018064D"/>
    <w:rsid w:val="00180A4A"/>
    <w:rsid w:val="00180BA1"/>
    <w:rsid w:val="00181823"/>
    <w:rsid w:val="00181C62"/>
    <w:rsid w:val="00182926"/>
    <w:rsid w:val="00182A7A"/>
    <w:rsid w:val="00182C50"/>
    <w:rsid w:val="0018307A"/>
    <w:rsid w:val="00183776"/>
    <w:rsid w:val="00183AD9"/>
    <w:rsid w:val="00183C37"/>
    <w:rsid w:val="00183E75"/>
    <w:rsid w:val="001841F9"/>
    <w:rsid w:val="00184453"/>
    <w:rsid w:val="001844DC"/>
    <w:rsid w:val="00184B54"/>
    <w:rsid w:val="0018516D"/>
    <w:rsid w:val="0018589D"/>
    <w:rsid w:val="00185EAD"/>
    <w:rsid w:val="001861BD"/>
    <w:rsid w:val="001865D0"/>
    <w:rsid w:val="00186939"/>
    <w:rsid w:val="001875C0"/>
    <w:rsid w:val="001900C3"/>
    <w:rsid w:val="0019052E"/>
    <w:rsid w:val="00190859"/>
    <w:rsid w:val="00190E0D"/>
    <w:rsid w:val="00191029"/>
    <w:rsid w:val="0019115B"/>
    <w:rsid w:val="00191667"/>
    <w:rsid w:val="00192061"/>
    <w:rsid w:val="0019294D"/>
    <w:rsid w:val="001934AC"/>
    <w:rsid w:val="00194318"/>
    <w:rsid w:val="00194827"/>
    <w:rsid w:val="00194ADB"/>
    <w:rsid w:val="00194E5C"/>
    <w:rsid w:val="00195242"/>
    <w:rsid w:val="00195C08"/>
    <w:rsid w:val="00195EEF"/>
    <w:rsid w:val="00195FF4"/>
    <w:rsid w:val="00196988"/>
    <w:rsid w:val="00196E03"/>
    <w:rsid w:val="00196E60"/>
    <w:rsid w:val="001970E6"/>
    <w:rsid w:val="001977F2"/>
    <w:rsid w:val="00197BA9"/>
    <w:rsid w:val="00197D01"/>
    <w:rsid w:val="001A045E"/>
    <w:rsid w:val="001A0C21"/>
    <w:rsid w:val="001A0D56"/>
    <w:rsid w:val="001A0DDD"/>
    <w:rsid w:val="001A0E6D"/>
    <w:rsid w:val="001A0EE9"/>
    <w:rsid w:val="001A0F36"/>
    <w:rsid w:val="001A1045"/>
    <w:rsid w:val="001A10E9"/>
    <w:rsid w:val="001A116A"/>
    <w:rsid w:val="001A211B"/>
    <w:rsid w:val="001A21A1"/>
    <w:rsid w:val="001A25FD"/>
    <w:rsid w:val="001A27CF"/>
    <w:rsid w:val="001A2BCB"/>
    <w:rsid w:val="001A2CE0"/>
    <w:rsid w:val="001A2F29"/>
    <w:rsid w:val="001A3397"/>
    <w:rsid w:val="001A3929"/>
    <w:rsid w:val="001A4B96"/>
    <w:rsid w:val="001A4F7E"/>
    <w:rsid w:val="001A504B"/>
    <w:rsid w:val="001A55FC"/>
    <w:rsid w:val="001A5961"/>
    <w:rsid w:val="001A5A92"/>
    <w:rsid w:val="001A6157"/>
    <w:rsid w:val="001A6361"/>
    <w:rsid w:val="001A7712"/>
    <w:rsid w:val="001B0231"/>
    <w:rsid w:val="001B10E3"/>
    <w:rsid w:val="001B13E2"/>
    <w:rsid w:val="001B1640"/>
    <w:rsid w:val="001B1687"/>
    <w:rsid w:val="001B1959"/>
    <w:rsid w:val="001B19D7"/>
    <w:rsid w:val="001B1A38"/>
    <w:rsid w:val="001B2034"/>
    <w:rsid w:val="001B360C"/>
    <w:rsid w:val="001B46C4"/>
    <w:rsid w:val="001B5B11"/>
    <w:rsid w:val="001B5FDF"/>
    <w:rsid w:val="001B6FC6"/>
    <w:rsid w:val="001B7830"/>
    <w:rsid w:val="001B7E9C"/>
    <w:rsid w:val="001C00CC"/>
    <w:rsid w:val="001C00FB"/>
    <w:rsid w:val="001C0109"/>
    <w:rsid w:val="001C1849"/>
    <w:rsid w:val="001C1A09"/>
    <w:rsid w:val="001C1D25"/>
    <w:rsid w:val="001C26A4"/>
    <w:rsid w:val="001C28FB"/>
    <w:rsid w:val="001C29BA"/>
    <w:rsid w:val="001C2AD3"/>
    <w:rsid w:val="001C2B31"/>
    <w:rsid w:val="001C38D8"/>
    <w:rsid w:val="001C4B11"/>
    <w:rsid w:val="001C5290"/>
    <w:rsid w:val="001C548C"/>
    <w:rsid w:val="001C55A3"/>
    <w:rsid w:val="001C5C79"/>
    <w:rsid w:val="001C5E21"/>
    <w:rsid w:val="001C6243"/>
    <w:rsid w:val="001C6962"/>
    <w:rsid w:val="001C6A23"/>
    <w:rsid w:val="001C6D92"/>
    <w:rsid w:val="001C75F2"/>
    <w:rsid w:val="001C7ADB"/>
    <w:rsid w:val="001C7FDB"/>
    <w:rsid w:val="001D00CB"/>
    <w:rsid w:val="001D0605"/>
    <w:rsid w:val="001D093D"/>
    <w:rsid w:val="001D0A77"/>
    <w:rsid w:val="001D0E05"/>
    <w:rsid w:val="001D1B3E"/>
    <w:rsid w:val="001D2750"/>
    <w:rsid w:val="001D292D"/>
    <w:rsid w:val="001D33D6"/>
    <w:rsid w:val="001D35CB"/>
    <w:rsid w:val="001D37F1"/>
    <w:rsid w:val="001D3BB2"/>
    <w:rsid w:val="001D3DDB"/>
    <w:rsid w:val="001D3E4C"/>
    <w:rsid w:val="001D403D"/>
    <w:rsid w:val="001D419B"/>
    <w:rsid w:val="001D4D67"/>
    <w:rsid w:val="001D5924"/>
    <w:rsid w:val="001D60D6"/>
    <w:rsid w:val="001D62E8"/>
    <w:rsid w:val="001D6547"/>
    <w:rsid w:val="001D7EAB"/>
    <w:rsid w:val="001D7F27"/>
    <w:rsid w:val="001E039C"/>
    <w:rsid w:val="001E1083"/>
    <w:rsid w:val="001E2306"/>
    <w:rsid w:val="001E2476"/>
    <w:rsid w:val="001E2638"/>
    <w:rsid w:val="001E2AB7"/>
    <w:rsid w:val="001E33AF"/>
    <w:rsid w:val="001E42A1"/>
    <w:rsid w:val="001E4395"/>
    <w:rsid w:val="001E48C4"/>
    <w:rsid w:val="001E4FB0"/>
    <w:rsid w:val="001E55BA"/>
    <w:rsid w:val="001E5791"/>
    <w:rsid w:val="001E5CB4"/>
    <w:rsid w:val="001E5ED5"/>
    <w:rsid w:val="001E619C"/>
    <w:rsid w:val="001E61F8"/>
    <w:rsid w:val="001E65D8"/>
    <w:rsid w:val="001E65EA"/>
    <w:rsid w:val="001E6A84"/>
    <w:rsid w:val="001E6FD3"/>
    <w:rsid w:val="001E7147"/>
    <w:rsid w:val="001E7156"/>
    <w:rsid w:val="001E798A"/>
    <w:rsid w:val="001E7FDE"/>
    <w:rsid w:val="001F0711"/>
    <w:rsid w:val="001F08E1"/>
    <w:rsid w:val="001F118C"/>
    <w:rsid w:val="001F1220"/>
    <w:rsid w:val="001F1536"/>
    <w:rsid w:val="001F16B5"/>
    <w:rsid w:val="001F18B5"/>
    <w:rsid w:val="001F1D63"/>
    <w:rsid w:val="001F1D64"/>
    <w:rsid w:val="001F27C2"/>
    <w:rsid w:val="001F2C52"/>
    <w:rsid w:val="001F343C"/>
    <w:rsid w:val="001F381B"/>
    <w:rsid w:val="001F3828"/>
    <w:rsid w:val="001F38B0"/>
    <w:rsid w:val="001F3D1D"/>
    <w:rsid w:val="001F4385"/>
    <w:rsid w:val="001F449B"/>
    <w:rsid w:val="001F4A49"/>
    <w:rsid w:val="001F57CC"/>
    <w:rsid w:val="001F58F7"/>
    <w:rsid w:val="001F59E2"/>
    <w:rsid w:val="001F5B41"/>
    <w:rsid w:val="001F5CBD"/>
    <w:rsid w:val="001F5D9E"/>
    <w:rsid w:val="001F5EA5"/>
    <w:rsid w:val="001F6225"/>
    <w:rsid w:val="001F70A1"/>
    <w:rsid w:val="001F71E0"/>
    <w:rsid w:val="001F74A9"/>
    <w:rsid w:val="001F7786"/>
    <w:rsid w:val="001F7AE9"/>
    <w:rsid w:val="001F7BC4"/>
    <w:rsid w:val="00200A0D"/>
    <w:rsid w:val="00200A94"/>
    <w:rsid w:val="002014D5"/>
    <w:rsid w:val="002017AF"/>
    <w:rsid w:val="00201B9A"/>
    <w:rsid w:val="00202ADE"/>
    <w:rsid w:val="002032A8"/>
    <w:rsid w:val="0020331C"/>
    <w:rsid w:val="00203432"/>
    <w:rsid w:val="00203878"/>
    <w:rsid w:val="00203AE0"/>
    <w:rsid w:val="00203BD5"/>
    <w:rsid w:val="00203F68"/>
    <w:rsid w:val="0020432A"/>
    <w:rsid w:val="00204B95"/>
    <w:rsid w:val="00204FEA"/>
    <w:rsid w:val="002055F2"/>
    <w:rsid w:val="0020566F"/>
    <w:rsid w:val="00205798"/>
    <w:rsid w:val="00205868"/>
    <w:rsid w:val="00205B49"/>
    <w:rsid w:val="00205B64"/>
    <w:rsid w:val="00205C17"/>
    <w:rsid w:val="00205EAD"/>
    <w:rsid w:val="002061EE"/>
    <w:rsid w:val="00206A05"/>
    <w:rsid w:val="00207C95"/>
    <w:rsid w:val="00210087"/>
    <w:rsid w:val="002100B7"/>
    <w:rsid w:val="0021012D"/>
    <w:rsid w:val="00210311"/>
    <w:rsid w:val="002105DE"/>
    <w:rsid w:val="00210825"/>
    <w:rsid w:val="00210F13"/>
    <w:rsid w:val="00211D1E"/>
    <w:rsid w:val="002120A1"/>
    <w:rsid w:val="00212879"/>
    <w:rsid w:val="00212C74"/>
    <w:rsid w:val="00212F8C"/>
    <w:rsid w:val="00213089"/>
    <w:rsid w:val="002141ED"/>
    <w:rsid w:val="00214971"/>
    <w:rsid w:val="00214B38"/>
    <w:rsid w:val="00214D31"/>
    <w:rsid w:val="002155FC"/>
    <w:rsid w:val="00215604"/>
    <w:rsid w:val="00216CEE"/>
    <w:rsid w:val="00217182"/>
    <w:rsid w:val="00217193"/>
    <w:rsid w:val="002176C1"/>
    <w:rsid w:val="0021FB60"/>
    <w:rsid w:val="00220E94"/>
    <w:rsid w:val="002215AD"/>
    <w:rsid w:val="00221723"/>
    <w:rsid w:val="00222886"/>
    <w:rsid w:val="002229C6"/>
    <w:rsid w:val="00222CA0"/>
    <w:rsid w:val="00222D69"/>
    <w:rsid w:val="0022327D"/>
    <w:rsid w:val="002232B6"/>
    <w:rsid w:val="00223814"/>
    <w:rsid w:val="00223AE3"/>
    <w:rsid w:val="00223D0A"/>
    <w:rsid w:val="00223E62"/>
    <w:rsid w:val="0022451C"/>
    <w:rsid w:val="00225218"/>
    <w:rsid w:val="00225636"/>
    <w:rsid w:val="0022629E"/>
    <w:rsid w:val="002273E2"/>
    <w:rsid w:val="00227E53"/>
    <w:rsid w:val="00227EB3"/>
    <w:rsid w:val="002305CE"/>
    <w:rsid w:val="00230CAA"/>
    <w:rsid w:val="002310AB"/>
    <w:rsid w:val="002313CE"/>
    <w:rsid w:val="00231D58"/>
    <w:rsid w:val="00231F23"/>
    <w:rsid w:val="00232F2F"/>
    <w:rsid w:val="00233480"/>
    <w:rsid w:val="00233FD6"/>
    <w:rsid w:val="0023415E"/>
    <w:rsid w:val="002352A7"/>
    <w:rsid w:val="00235573"/>
    <w:rsid w:val="0023703B"/>
    <w:rsid w:val="002374B1"/>
    <w:rsid w:val="002374B5"/>
    <w:rsid w:val="00237838"/>
    <w:rsid w:val="0023783C"/>
    <w:rsid w:val="00237A51"/>
    <w:rsid w:val="00237ADD"/>
    <w:rsid w:val="00237CA9"/>
    <w:rsid w:val="00237F04"/>
    <w:rsid w:val="00237FDE"/>
    <w:rsid w:val="002401F1"/>
    <w:rsid w:val="00240824"/>
    <w:rsid w:val="00240852"/>
    <w:rsid w:val="002408FD"/>
    <w:rsid w:val="00240C67"/>
    <w:rsid w:val="0024108D"/>
    <w:rsid w:val="002410B4"/>
    <w:rsid w:val="00241277"/>
    <w:rsid w:val="00241A0E"/>
    <w:rsid w:val="00241A9C"/>
    <w:rsid w:val="00241B9F"/>
    <w:rsid w:val="00241FE7"/>
    <w:rsid w:val="00242296"/>
    <w:rsid w:val="00242462"/>
    <w:rsid w:val="00242479"/>
    <w:rsid w:val="00242590"/>
    <w:rsid w:val="002425C6"/>
    <w:rsid w:val="00242AA5"/>
    <w:rsid w:val="00242D5A"/>
    <w:rsid w:val="002435D2"/>
    <w:rsid w:val="00243C36"/>
    <w:rsid w:val="0024418C"/>
    <w:rsid w:val="00244B5E"/>
    <w:rsid w:val="002451DC"/>
    <w:rsid w:val="0024521A"/>
    <w:rsid w:val="00245623"/>
    <w:rsid w:val="002466A5"/>
    <w:rsid w:val="002472EB"/>
    <w:rsid w:val="00247DC2"/>
    <w:rsid w:val="00247DE0"/>
    <w:rsid w:val="00247E53"/>
    <w:rsid w:val="00250208"/>
    <w:rsid w:val="002507DB"/>
    <w:rsid w:val="00250A4A"/>
    <w:rsid w:val="00250C63"/>
    <w:rsid w:val="00250F73"/>
    <w:rsid w:val="0025119D"/>
    <w:rsid w:val="002515C0"/>
    <w:rsid w:val="00251B40"/>
    <w:rsid w:val="00251D99"/>
    <w:rsid w:val="002528C7"/>
    <w:rsid w:val="00252CAE"/>
    <w:rsid w:val="00252FE5"/>
    <w:rsid w:val="00253469"/>
    <w:rsid w:val="00253E99"/>
    <w:rsid w:val="00254380"/>
    <w:rsid w:val="00254485"/>
    <w:rsid w:val="00254F29"/>
    <w:rsid w:val="00254FB2"/>
    <w:rsid w:val="00255289"/>
    <w:rsid w:val="0025646E"/>
    <w:rsid w:val="00256FAC"/>
    <w:rsid w:val="0025739B"/>
    <w:rsid w:val="002573A4"/>
    <w:rsid w:val="00257920"/>
    <w:rsid w:val="00257E13"/>
    <w:rsid w:val="002609AE"/>
    <w:rsid w:val="00261E97"/>
    <w:rsid w:val="002629ED"/>
    <w:rsid w:val="00262AB4"/>
    <w:rsid w:val="00262AF7"/>
    <w:rsid w:val="00262FA7"/>
    <w:rsid w:val="00263071"/>
    <w:rsid w:val="0026384C"/>
    <w:rsid w:val="002640E2"/>
    <w:rsid w:val="002644DE"/>
    <w:rsid w:val="00264A54"/>
    <w:rsid w:val="00264E94"/>
    <w:rsid w:val="002654EE"/>
    <w:rsid w:val="00265E18"/>
    <w:rsid w:val="00266237"/>
    <w:rsid w:val="00267200"/>
    <w:rsid w:val="00267681"/>
    <w:rsid w:val="00267737"/>
    <w:rsid w:val="00267CAF"/>
    <w:rsid w:val="002709F5"/>
    <w:rsid w:val="00270B4D"/>
    <w:rsid w:val="00270F26"/>
    <w:rsid w:val="00271715"/>
    <w:rsid w:val="00271762"/>
    <w:rsid w:val="00271F28"/>
    <w:rsid w:val="0027243C"/>
    <w:rsid w:val="0027286C"/>
    <w:rsid w:val="0027304F"/>
    <w:rsid w:val="00273B09"/>
    <w:rsid w:val="00273E5B"/>
    <w:rsid w:val="00273FE5"/>
    <w:rsid w:val="0027405C"/>
    <w:rsid w:val="00274A2C"/>
    <w:rsid w:val="00274B7D"/>
    <w:rsid w:val="00274E09"/>
    <w:rsid w:val="00274FFC"/>
    <w:rsid w:val="00275190"/>
    <w:rsid w:val="00275A52"/>
    <w:rsid w:val="00275C39"/>
    <w:rsid w:val="00275F9E"/>
    <w:rsid w:val="00276385"/>
    <w:rsid w:val="00277464"/>
    <w:rsid w:val="00277CBE"/>
    <w:rsid w:val="00277F60"/>
    <w:rsid w:val="00280340"/>
    <w:rsid w:val="002807B6"/>
    <w:rsid w:val="00280940"/>
    <w:rsid w:val="002809A1"/>
    <w:rsid w:val="002811BB"/>
    <w:rsid w:val="002811ED"/>
    <w:rsid w:val="00281716"/>
    <w:rsid w:val="00281895"/>
    <w:rsid w:val="00281B31"/>
    <w:rsid w:val="00281C9E"/>
    <w:rsid w:val="00282D84"/>
    <w:rsid w:val="00282F05"/>
    <w:rsid w:val="0028313A"/>
    <w:rsid w:val="00283909"/>
    <w:rsid w:val="002839FE"/>
    <w:rsid w:val="00284BCA"/>
    <w:rsid w:val="00284F2E"/>
    <w:rsid w:val="0028565F"/>
    <w:rsid w:val="00285A4E"/>
    <w:rsid w:val="00285C1D"/>
    <w:rsid w:val="002860F3"/>
    <w:rsid w:val="0028610E"/>
    <w:rsid w:val="0028644F"/>
    <w:rsid w:val="0028654A"/>
    <w:rsid w:val="00286937"/>
    <w:rsid w:val="00286C9C"/>
    <w:rsid w:val="00286E4D"/>
    <w:rsid w:val="00287532"/>
    <w:rsid w:val="002878EF"/>
    <w:rsid w:val="00287AA3"/>
    <w:rsid w:val="00287C4F"/>
    <w:rsid w:val="0029017B"/>
    <w:rsid w:val="002901BD"/>
    <w:rsid w:val="002920C0"/>
    <w:rsid w:val="00292D16"/>
    <w:rsid w:val="00292EFE"/>
    <w:rsid w:val="00293392"/>
    <w:rsid w:val="00293514"/>
    <w:rsid w:val="0029389A"/>
    <w:rsid w:val="00293B66"/>
    <w:rsid w:val="00293B70"/>
    <w:rsid w:val="00293E2D"/>
    <w:rsid w:val="00294B31"/>
    <w:rsid w:val="00294E58"/>
    <w:rsid w:val="00294EF1"/>
    <w:rsid w:val="0029536C"/>
    <w:rsid w:val="00295912"/>
    <w:rsid w:val="00295DFF"/>
    <w:rsid w:val="00296E6D"/>
    <w:rsid w:val="00297113"/>
    <w:rsid w:val="0029747E"/>
    <w:rsid w:val="00297B4E"/>
    <w:rsid w:val="00297C14"/>
    <w:rsid w:val="00297D6A"/>
    <w:rsid w:val="00297E63"/>
    <w:rsid w:val="002A0066"/>
    <w:rsid w:val="002A05A5"/>
    <w:rsid w:val="002A08DC"/>
    <w:rsid w:val="002A0D3A"/>
    <w:rsid w:val="002A1A39"/>
    <w:rsid w:val="002A2CC0"/>
    <w:rsid w:val="002A3C28"/>
    <w:rsid w:val="002A4480"/>
    <w:rsid w:val="002A469E"/>
    <w:rsid w:val="002A4793"/>
    <w:rsid w:val="002A4A27"/>
    <w:rsid w:val="002A4C8F"/>
    <w:rsid w:val="002A6583"/>
    <w:rsid w:val="002A6A16"/>
    <w:rsid w:val="002A6AA0"/>
    <w:rsid w:val="002A6B43"/>
    <w:rsid w:val="002A749A"/>
    <w:rsid w:val="002A75D0"/>
    <w:rsid w:val="002A766C"/>
    <w:rsid w:val="002A7680"/>
    <w:rsid w:val="002A7AB3"/>
    <w:rsid w:val="002B06FE"/>
    <w:rsid w:val="002B0952"/>
    <w:rsid w:val="002B12A9"/>
    <w:rsid w:val="002B12FC"/>
    <w:rsid w:val="002B21B1"/>
    <w:rsid w:val="002B2437"/>
    <w:rsid w:val="002B3216"/>
    <w:rsid w:val="002B342A"/>
    <w:rsid w:val="002B3F81"/>
    <w:rsid w:val="002B421B"/>
    <w:rsid w:val="002B43A6"/>
    <w:rsid w:val="002B4B95"/>
    <w:rsid w:val="002B5B70"/>
    <w:rsid w:val="002B6106"/>
    <w:rsid w:val="002B6167"/>
    <w:rsid w:val="002B61C8"/>
    <w:rsid w:val="002B635A"/>
    <w:rsid w:val="002B69C5"/>
    <w:rsid w:val="002B6AF9"/>
    <w:rsid w:val="002B774C"/>
    <w:rsid w:val="002C099F"/>
    <w:rsid w:val="002C13FD"/>
    <w:rsid w:val="002C1A77"/>
    <w:rsid w:val="002C1A7D"/>
    <w:rsid w:val="002C1BCC"/>
    <w:rsid w:val="002C1BD6"/>
    <w:rsid w:val="002C1E30"/>
    <w:rsid w:val="002C2097"/>
    <w:rsid w:val="002C21B1"/>
    <w:rsid w:val="002C2BDF"/>
    <w:rsid w:val="002C2E3A"/>
    <w:rsid w:val="002C2F22"/>
    <w:rsid w:val="002C32B2"/>
    <w:rsid w:val="002C3356"/>
    <w:rsid w:val="002C3908"/>
    <w:rsid w:val="002C3BED"/>
    <w:rsid w:val="002C3C63"/>
    <w:rsid w:val="002C3D1E"/>
    <w:rsid w:val="002C3DEB"/>
    <w:rsid w:val="002C42C7"/>
    <w:rsid w:val="002C4C50"/>
    <w:rsid w:val="002C4EDE"/>
    <w:rsid w:val="002C596C"/>
    <w:rsid w:val="002C5FD8"/>
    <w:rsid w:val="002C682D"/>
    <w:rsid w:val="002C6E18"/>
    <w:rsid w:val="002C6F1D"/>
    <w:rsid w:val="002C7355"/>
    <w:rsid w:val="002C7922"/>
    <w:rsid w:val="002D051A"/>
    <w:rsid w:val="002D0550"/>
    <w:rsid w:val="002D08C3"/>
    <w:rsid w:val="002D0950"/>
    <w:rsid w:val="002D0A71"/>
    <w:rsid w:val="002D0C35"/>
    <w:rsid w:val="002D1678"/>
    <w:rsid w:val="002D1C39"/>
    <w:rsid w:val="002D1C43"/>
    <w:rsid w:val="002D1E01"/>
    <w:rsid w:val="002D2133"/>
    <w:rsid w:val="002D2194"/>
    <w:rsid w:val="002D230B"/>
    <w:rsid w:val="002D346D"/>
    <w:rsid w:val="002D3A9C"/>
    <w:rsid w:val="002D3CEA"/>
    <w:rsid w:val="002D3E72"/>
    <w:rsid w:val="002D4269"/>
    <w:rsid w:val="002D4617"/>
    <w:rsid w:val="002D465C"/>
    <w:rsid w:val="002D4754"/>
    <w:rsid w:val="002D490C"/>
    <w:rsid w:val="002D5043"/>
    <w:rsid w:val="002D528B"/>
    <w:rsid w:val="002D53B6"/>
    <w:rsid w:val="002D575A"/>
    <w:rsid w:val="002D5C34"/>
    <w:rsid w:val="002D5D90"/>
    <w:rsid w:val="002D5DBE"/>
    <w:rsid w:val="002D5F60"/>
    <w:rsid w:val="002D6199"/>
    <w:rsid w:val="002D65FC"/>
    <w:rsid w:val="002D6679"/>
    <w:rsid w:val="002D6A00"/>
    <w:rsid w:val="002D6BD7"/>
    <w:rsid w:val="002D6C0C"/>
    <w:rsid w:val="002D6E48"/>
    <w:rsid w:val="002D6EAB"/>
    <w:rsid w:val="002D6ED7"/>
    <w:rsid w:val="002D6FA0"/>
    <w:rsid w:val="002D75D1"/>
    <w:rsid w:val="002D76AE"/>
    <w:rsid w:val="002D789E"/>
    <w:rsid w:val="002D7BF3"/>
    <w:rsid w:val="002E002C"/>
    <w:rsid w:val="002E0510"/>
    <w:rsid w:val="002E06BB"/>
    <w:rsid w:val="002E07F0"/>
    <w:rsid w:val="002E0AF4"/>
    <w:rsid w:val="002E13F3"/>
    <w:rsid w:val="002E146D"/>
    <w:rsid w:val="002E171F"/>
    <w:rsid w:val="002E1766"/>
    <w:rsid w:val="002E1D4A"/>
    <w:rsid w:val="002E23A9"/>
    <w:rsid w:val="002E2724"/>
    <w:rsid w:val="002E2827"/>
    <w:rsid w:val="002E388A"/>
    <w:rsid w:val="002E3F69"/>
    <w:rsid w:val="002E410B"/>
    <w:rsid w:val="002E4BB8"/>
    <w:rsid w:val="002E53CD"/>
    <w:rsid w:val="002E586B"/>
    <w:rsid w:val="002E6148"/>
    <w:rsid w:val="002E638A"/>
    <w:rsid w:val="002E661E"/>
    <w:rsid w:val="002E671A"/>
    <w:rsid w:val="002E68CC"/>
    <w:rsid w:val="002E6DC4"/>
    <w:rsid w:val="002E7151"/>
    <w:rsid w:val="002E779D"/>
    <w:rsid w:val="002E7B71"/>
    <w:rsid w:val="002F01E1"/>
    <w:rsid w:val="002F0BDE"/>
    <w:rsid w:val="002F0DF7"/>
    <w:rsid w:val="002F139A"/>
    <w:rsid w:val="002F171D"/>
    <w:rsid w:val="002F2197"/>
    <w:rsid w:val="002F278D"/>
    <w:rsid w:val="002F3215"/>
    <w:rsid w:val="002F357F"/>
    <w:rsid w:val="002F3B6C"/>
    <w:rsid w:val="002F40F3"/>
    <w:rsid w:val="002F4588"/>
    <w:rsid w:val="002F4E1E"/>
    <w:rsid w:val="002F575C"/>
    <w:rsid w:val="002F6207"/>
    <w:rsid w:val="002F7425"/>
    <w:rsid w:val="002F76CF"/>
    <w:rsid w:val="002F77C6"/>
    <w:rsid w:val="00300148"/>
    <w:rsid w:val="00300936"/>
    <w:rsid w:val="00300B7F"/>
    <w:rsid w:val="00300C27"/>
    <w:rsid w:val="00300F7D"/>
    <w:rsid w:val="00301A33"/>
    <w:rsid w:val="00301ACE"/>
    <w:rsid w:val="00301C54"/>
    <w:rsid w:val="003028C2"/>
    <w:rsid w:val="00302B6F"/>
    <w:rsid w:val="00302BF9"/>
    <w:rsid w:val="00302D12"/>
    <w:rsid w:val="00302D5C"/>
    <w:rsid w:val="00302E55"/>
    <w:rsid w:val="00302F49"/>
    <w:rsid w:val="003037C3"/>
    <w:rsid w:val="00303B5D"/>
    <w:rsid w:val="00304949"/>
    <w:rsid w:val="00304F63"/>
    <w:rsid w:val="00305105"/>
    <w:rsid w:val="00305353"/>
    <w:rsid w:val="0030590B"/>
    <w:rsid w:val="00306551"/>
    <w:rsid w:val="0030660E"/>
    <w:rsid w:val="00306633"/>
    <w:rsid w:val="00306B01"/>
    <w:rsid w:val="00306C7E"/>
    <w:rsid w:val="00306CE6"/>
    <w:rsid w:val="00306EFC"/>
    <w:rsid w:val="00307061"/>
    <w:rsid w:val="00307380"/>
    <w:rsid w:val="00307B5F"/>
    <w:rsid w:val="00307D13"/>
    <w:rsid w:val="00307EC2"/>
    <w:rsid w:val="00310059"/>
    <w:rsid w:val="00310654"/>
    <w:rsid w:val="00310892"/>
    <w:rsid w:val="00310EA5"/>
    <w:rsid w:val="00311E2D"/>
    <w:rsid w:val="0031207C"/>
    <w:rsid w:val="0031231E"/>
    <w:rsid w:val="003125ED"/>
    <w:rsid w:val="00312CE9"/>
    <w:rsid w:val="00312CF9"/>
    <w:rsid w:val="00312D4A"/>
    <w:rsid w:val="0031393D"/>
    <w:rsid w:val="00313B28"/>
    <w:rsid w:val="00314FBF"/>
    <w:rsid w:val="0031591F"/>
    <w:rsid w:val="00315EE4"/>
    <w:rsid w:val="00315EFD"/>
    <w:rsid w:val="00316039"/>
    <w:rsid w:val="00316151"/>
    <w:rsid w:val="003165E9"/>
    <w:rsid w:val="003166AC"/>
    <w:rsid w:val="00316E71"/>
    <w:rsid w:val="0031706F"/>
    <w:rsid w:val="0031775F"/>
    <w:rsid w:val="00317D3A"/>
    <w:rsid w:val="00320068"/>
    <w:rsid w:val="00320277"/>
    <w:rsid w:val="003210D9"/>
    <w:rsid w:val="0032160F"/>
    <w:rsid w:val="00321D89"/>
    <w:rsid w:val="00321DA9"/>
    <w:rsid w:val="003220AE"/>
    <w:rsid w:val="00322336"/>
    <w:rsid w:val="00322699"/>
    <w:rsid w:val="00322A2C"/>
    <w:rsid w:val="00322F18"/>
    <w:rsid w:val="00323020"/>
    <w:rsid w:val="00323100"/>
    <w:rsid w:val="0032375D"/>
    <w:rsid w:val="0032377C"/>
    <w:rsid w:val="003238CA"/>
    <w:rsid w:val="0032429D"/>
    <w:rsid w:val="00324B6D"/>
    <w:rsid w:val="0032544D"/>
    <w:rsid w:val="003254E1"/>
    <w:rsid w:val="00325A06"/>
    <w:rsid w:val="003260F1"/>
    <w:rsid w:val="003267EF"/>
    <w:rsid w:val="00326889"/>
    <w:rsid w:val="00327545"/>
    <w:rsid w:val="0033014C"/>
    <w:rsid w:val="003303B0"/>
    <w:rsid w:val="00331498"/>
    <w:rsid w:val="00331B2A"/>
    <w:rsid w:val="00331ED1"/>
    <w:rsid w:val="003324A8"/>
    <w:rsid w:val="00333488"/>
    <w:rsid w:val="00333892"/>
    <w:rsid w:val="00333A47"/>
    <w:rsid w:val="00333F24"/>
    <w:rsid w:val="0033482A"/>
    <w:rsid w:val="00334DD9"/>
    <w:rsid w:val="00335149"/>
    <w:rsid w:val="003353E9"/>
    <w:rsid w:val="00335900"/>
    <w:rsid w:val="00335A07"/>
    <w:rsid w:val="00335E7A"/>
    <w:rsid w:val="003360FC"/>
    <w:rsid w:val="003364EC"/>
    <w:rsid w:val="00336A33"/>
    <w:rsid w:val="0033707B"/>
    <w:rsid w:val="00337685"/>
    <w:rsid w:val="0033781D"/>
    <w:rsid w:val="00337AA1"/>
    <w:rsid w:val="003401F0"/>
    <w:rsid w:val="003411F6"/>
    <w:rsid w:val="00341278"/>
    <w:rsid w:val="00341A98"/>
    <w:rsid w:val="00341C5E"/>
    <w:rsid w:val="00341E23"/>
    <w:rsid w:val="00341E31"/>
    <w:rsid w:val="00342080"/>
    <w:rsid w:val="003421CD"/>
    <w:rsid w:val="00343360"/>
    <w:rsid w:val="003434BD"/>
    <w:rsid w:val="003435D6"/>
    <w:rsid w:val="00343CD0"/>
    <w:rsid w:val="00344387"/>
    <w:rsid w:val="003444AB"/>
    <w:rsid w:val="00344B38"/>
    <w:rsid w:val="00344C69"/>
    <w:rsid w:val="00344F16"/>
    <w:rsid w:val="003451F5"/>
    <w:rsid w:val="0034618E"/>
    <w:rsid w:val="00346383"/>
    <w:rsid w:val="003471B3"/>
    <w:rsid w:val="00347457"/>
    <w:rsid w:val="0034788A"/>
    <w:rsid w:val="003478ED"/>
    <w:rsid w:val="003506C0"/>
    <w:rsid w:val="003509A4"/>
    <w:rsid w:val="003509D2"/>
    <w:rsid w:val="00350AC9"/>
    <w:rsid w:val="00350D39"/>
    <w:rsid w:val="00350D6E"/>
    <w:rsid w:val="00350F02"/>
    <w:rsid w:val="00351651"/>
    <w:rsid w:val="00352326"/>
    <w:rsid w:val="0035350C"/>
    <w:rsid w:val="0035350F"/>
    <w:rsid w:val="003536FE"/>
    <w:rsid w:val="00353950"/>
    <w:rsid w:val="00353A30"/>
    <w:rsid w:val="00353AB9"/>
    <w:rsid w:val="003543D7"/>
    <w:rsid w:val="00354AEA"/>
    <w:rsid w:val="00355345"/>
    <w:rsid w:val="00355A02"/>
    <w:rsid w:val="00355F25"/>
    <w:rsid w:val="00356819"/>
    <w:rsid w:val="00356905"/>
    <w:rsid w:val="00356C02"/>
    <w:rsid w:val="00356E70"/>
    <w:rsid w:val="003574CE"/>
    <w:rsid w:val="0035774A"/>
    <w:rsid w:val="00360947"/>
    <w:rsid w:val="0036097D"/>
    <w:rsid w:val="00360BF4"/>
    <w:rsid w:val="00360FF4"/>
    <w:rsid w:val="0036136E"/>
    <w:rsid w:val="003614B2"/>
    <w:rsid w:val="00361598"/>
    <w:rsid w:val="00361E3B"/>
    <w:rsid w:val="00362372"/>
    <w:rsid w:val="00363528"/>
    <w:rsid w:val="00363A36"/>
    <w:rsid w:val="0036419C"/>
    <w:rsid w:val="003645B1"/>
    <w:rsid w:val="00364F99"/>
    <w:rsid w:val="0036565F"/>
    <w:rsid w:val="003657FD"/>
    <w:rsid w:val="0036580F"/>
    <w:rsid w:val="00365E78"/>
    <w:rsid w:val="00366257"/>
    <w:rsid w:val="0036674D"/>
    <w:rsid w:val="00366AE1"/>
    <w:rsid w:val="0036765E"/>
    <w:rsid w:val="00367A42"/>
    <w:rsid w:val="00367FDA"/>
    <w:rsid w:val="00370A67"/>
    <w:rsid w:val="00371368"/>
    <w:rsid w:val="00371B5E"/>
    <w:rsid w:val="00371B96"/>
    <w:rsid w:val="00371E1C"/>
    <w:rsid w:val="003725E8"/>
    <w:rsid w:val="00372AF4"/>
    <w:rsid w:val="00372B92"/>
    <w:rsid w:val="003734CB"/>
    <w:rsid w:val="0037354F"/>
    <w:rsid w:val="00373739"/>
    <w:rsid w:val="003738D6"/>
    <w:rsid w:val="00373D3D"/>
    <w:rsid w:val="00373FBA"/>
    <w:rsid w:val="00374BEA"/>
    <w:rsid w:val="0037520B"/>
    <w:rsid w:val="00375232"/>
    <w:rsid w:val="00376330"/>
    <w:rsid w:val="00376988"/>
    <w:rsid w:val="00376B02"/>
    <w:rsid w:val="00376F15"/>
    <w:rsid w:val="00377871"/>
    <w:rsid w:val="00377927"/>
    <w:rsid w:val="00377958"/>
    <w:rsid w:val="00380168"/>
    <w:rsid w:val="003804E3"/>
    <w:rsid w:val="003811CC"/>
    <w:rsid w:val="00381718"/>
    <w:rsid w:val="00381A0E"/>
    <w:rsid w:val="00381C8D"/>
    <w:rsid w:val="00381D29"/>
    <w:rsid w:val="00382380"/>
    <w:rsid w:val="00382609"/>
    <w:rsid w:val="00382A94"/>
    <w:rsid w:val="00382D2F"/>
    <w:rsid w:val="00382E3D"/>
    <w:rsid w:val="00383391"/>
    <w:rsid w:val="0038365B"/>
    <w:rsid w:val="0038467C"/>
    <w:rsid w:val="00384877"/>
    <w:rsid w:val="00384CAE"/>
    <w:rsid w:val="00384EBD"/>
    <w:rsid w:val="00384F49"/>
    <w:rsid w:val="003855D2"/>
    <w:rsid w:val="00385BE9"/>
    <w:rsid w:val="003860B3"/>
    <w:rsid w:val="00386685"/>
    <w:rsid w:val="0038720E"/>
    <w:rsid w:val="00387282"/>
    <w:rsid w:val="003874C9"/>
    <w:rsid w:val="00387509"/>
    <w:rsid w:val="00387B4C"/>
    <w:rsid w:val="003904AE"/>
    <w:rsid w:val="0039066B"/>
    <w:rsid w:val="00390B3A"/>
    <w:rsid w:val="0039113B"/>
    <w:rsid w:val="003912C1"/>
    <w:rsid w:val="0039135D"/>
    <w:rsid w:val="00391594"/>
    <w:rsid w:val="003916AB"/>
    <w:rsid w:val="003917DF"/>
    <w:rsid w:val="00391970"/>
    <w:rsid w:val="003919D2"/>
    <w:rsid w:val="00391E84"/>
    <w:rsid w:val="0039267B"/>
    <w:rsid w:val="003928DE"/>
    <w:rsid w:val="00392ABC"/>
    <w:rsid w:val="00392ECE"/>
    <w:rsid w:val="00393F8B"/>
    <w:rsid w:val="0039425A"/>
    <w:rsid w:val="003944C8"/>
    <w:rsid w:val="00394B7C"/>
    <w:rsid w:val="003954B8"/>
    <w:rsid w:val="003956D6"/>
    <w:rsid w:val="003957C3"/>
    <w:rsid w:val="00396E1D"/>
    <w:rsid w:val="00397211"/>
    <w:rsid w:val="00397359"/>
    <w:rsid w:val="0039777A"/>
    <w:rsid w:val="003978E6"/>
    <w:rsid w:val="003A0713"/>
    <w:rsid w:val="003A0976"/>
    <w:rsid w:val="003A0E70"/>
    <w:rsid w:val="003A1DCB"/>
    <w:rsid w:val="003A2562"/>
    <w:rsid w:val="003A2E09"/>
    <w:rsid w:val="003A340E"/>
    <w:rsid w:val="003A34DF"/>
    <w:rsid w:val="003A3AC2"/>
    <w:rsid w:val="003A43FD"/>
    <w:rsid w:val="003A4601"/>
    <w:rsid w:val="003A4961"/>
    <w:rsid w:val="003A49C5"/>
    <w:rsid w:val="003A4AB8"/>
    <w:rsid w:val="003A4EF4"/>
    <w:rsid w:val="003A548D"/>
    <w:rsid w:val="003A5496"/>
    <w:rsid w:val="003A63C9"/>
    <w:rsid w:val="003A67F9"/>
    <w:rsid w:val="003A68C1"/>
    <w:rsid w:val="003A6987"/>
    <w:rsid w:val="003A6DDD"/>
    <w:rsid w:val="003A70E7"/>
    <w:rsid w:val="003A7517"/>
    <w:rsid w:val="003A77A3"/>
    <w:rsid w:val="003A7A1F"/>
    <w:rsid w:val="003B0A54"/>
    <w:rsid w:val="003B0B6F"/>
    <w:rsid w:val="003B0CB8"/>
    <w:rsid w:val="003B0EC0"/>
    <w:rsid w:val="003B1307"/>
    <w:rsid w:val="003B141B"/>
    <w:rsid w:val="003B1774"/>
    <w:rsid w:val="003B1D3E"/>
    <w:rsid w:val="003B229C"/>
    <w:rsid w:val="003B22F3"/>
    <w:rsid w:val="003B2BC0"/>
    <w:rsid w:val="003B2C49"/>
    <w:rsid w:val="003B2C57"/>
    <w:rsid w:val="003B34BB"/>
    <w:rsid w:val="003B3670"/>
    <w:rsid w:val="003B3DF1"/>
    <w:rsid w:val="003B3F67"/>
    <w:rsid w:val="003B41F4"/>
    <w:rsid w:val="003B42F9"/>
    <w:rsid w:val="003B4460"/>
    <w:rsid w:val="003B4AFF"/>
    <w:rsid w:val="003B54EA"/>
    <w:rsid w:val="003B5B12"/>
    <w:rsid w:val="003B5B47"/>
    <w:rsid w:val="003B6197"/>
    <w:rsid w:val="003B6646"/>
    <w:rsid w:val="003B693C"/>
    <w:rsid w:val="003B6EA9"/>
    <w:rsid w:val="003B7637"/>
    <w:rsid w:val="003C00A3"/>
    <w:rsid w:val="003C00B1"/>
    <w:rsid w:val="003C0113"/>
    <w:rsid w:val="003C08AA"/>
    <w:rsid w:val="003C0B8C"/>
    <w:rsid w:val="003C1443"/>
    <w:rsid w:val="003C1580"/>
    <w:rsid w:val="003C16E5"/>
    <w:rsid w:val="003C1CA4"/>
    <w:rsid w:val="003C292B"/>
    <w:rsid w:val="003C2ADB"/>
    <w:rsid w:val="003C2B45"/>
    <w:rsid w:val="003C3FBD"/>
    <w:rsid w:val="003C412B"/>
    <w:rsid w:val="003C41F7"/>
    <w:rsid w:val="003C42B8"/>
    <w:rsid w:val="003C4650"/>
    <w:rsid w:val="003C4B03"/>
    <w:rsid w:val="003C4F22"/>
    <w:rsid w:val="003C53D3"/>
    <w:rsid w:val="003C53F7"/>
    <w:rsid w:val="003C581C"/>
    <w:rsid w:val="003C651B"/>
    <w:rsid w:val="003C65F5"/>
    <w:rsid w:val="003C6A1D"/>
    <w:rsid w:val="003C6B80"/>
    <w:rsid w:val="003C7131"/>
    <w:rsid w:val="003C7637"/>
    <w:rsid w:val="003C7C3B"/>
    <w:rsid w:val="003C7C93"/>
    <w:rsid w:val="003C7EC4"/>
    <w:rsid w:val="003D02C6"/>
    <w:rsid w:val="003D09E4"/>
    <w:rsid w:val="003D0D73"/>
    <w:rsid w:val="003D0E04"/>
    <w:rsid w:val="003D16DB"/>
    <w:rsid w:val="003D1755"/>
    <w:rsid w:val="003D1E9F"/>
    <w:rsid w:val="003D2619"/>
    <w:rsid w:val="003D28E1"/>
    <w:rsid w:val="003D29B6"/>
    <w:rsid w:val="003D3973"/>
    <w:rsid w:val="003D3C83"/>
    <w:rsid w:val="003D3DDF"/>
    <w:rsid w:val="003D3ED2"/>
    <w:rsid w:val="003D43ED"/>
    <w:rsid w:val="003D4A2F"/>
    <w:rsid w:val="003D4C28"/>
    <w:rsid w:val="003D4E14"/>
    <w:rsid w:val="003D54B8"/>
    <w:rsid w:val="003D5F80"/>
    <w:rsid w:val="003D627B"/>
    <w:rsid w:val="003D667F"/>
    <w:rsid w:val="003D7276"/>
    <w:rsid w:val="003D7740"/>
    <w:rsid w:val="003D7CB9"/>
    <w:rsid w:val="003D7EC5"/>
    <w:rsid w:val="003E03A0"/>
    <w:rsid w:val="003E0BD2"/>
    <w:rsid w:val="003E0DE4"/>
    <w:rsid w:val="003E12B5"/>
    <w:rsid w:val="003E167B"/>
    <w:rsid w:val="003E1743"/>
    <w:rsid w:val="003E235E"/>
    <w:rsid w:val="003E2A14"/>
    <w:rsid w:val="003E2F98"/>
    <w:rsid w:val="003E35DD"/>
    <w:rsid w:val="003E3702"/>
    <w:rsid w:val="003E374B"/>
    <w:rsid w:val="003E3C17"/>
    <w:rsid w:val="003E4442"/>
    <w:rsid w:val="003E4568"/>
    <w:rsid w:val="003E48E6"/>
    <w:rsid w:val="003E4C49"/>
    <w:rsid w:val="003E510E"/>
    <w:rsid w:val="003E52BF"/>
    <w:rsid w:val="003E5E5E"/>
    <w:rsid w:val="003E64E4"/>
    <w:rsid w:val="003E6538"/>
    <w:rsid w:val="003E6956"/>
    <w:rsid w:val="003E6A7C"/>
    <w:rsid w:val="003E6BB9"/>
    <w:rsid w:val="003E6BFD"/>
    <w:rsid w:val="003E7834"/>
    <w:rsid w:val="003E7B04"/>
    <w:rsid w:val="003F0898"/>
    <w:rsid w:val="003F0E0A"/>
    <w:rsid w:val="003F16DF"/>
    <w:rsid w:val="003F1B9F"/>
    <w:rsid w:val="003F1C42"/>
    <w:rsid w:val="003F2649"/>
    <w:rsid w:val="003F2B64"/>
    <w:rsid w:val="003F3C83"/>
    <w:rsid w:val="003F3FFA"/>
    <w:rsid w:val="003F41AB"/>
    <w:rsid w:val="003F42F4"/>
    <w:rsid w:val="003F509B"/>
    <w:rsid w:val="003F519D"/>
    <w:rsid w:val="003F5703"/>
    <w:rsid w:val="003F57A0"/>
    <w:rsid w:val="003F5977"/>
    <w:rsid w:val="003F6619"/>
    <w:rsid w:val="003F661C"/>
    <w:rsid w:val="003F6AEE"/>
    <w:rsid w:val="003F6C91"/>
    <w:rsid w:val="003F6D57"/>
    <w:rsid w:val="003F6DDD"/>
    <w:rsid w:val="003F70C5"/>
    <w:rsid w:val="003F7196"/>
    <w:rsid w:val="003F7511"/>
    <w:rsid w:val="003F7911"/>
    <w:rsid w:val="003F794B"/>
    <w:rsid w:val="003F797F"/>
    <w:rsid w:val="003F7F19"/>
    <w:rsid w:val="0040006F"/>
    <w:rsid w:val="004010B7"/>
    <w:rsid w:val="00401289"/>
    <w:rsid w:val="004013F9"/>
    <w:rsid w:val="0040176D"/>
    <w:rsid w:val="00401E56"/>
    <w:rsid w:val="00401EAE"/>
    <w:rsid w:val="004022F2"/>
    <w:rsid w:val="00402443"/>
    <w:rsid w:val="0040282E"/>
    <w:rsid w:val="004030ED"/>
    <w:rsid w:val="00403199"/>
    <w:rsid w:val="004034F0"/>
    <w:rsid w:val="004039EE"/>
    <w:rsid w:val="00403CE4"/>
    <w:rsid w:val="00405253"/>
    <w:rsid w:val="00405495"/>
    <w:rsid w:val="00405DFE"/>
    <w:rsid w:val="0040630D"/>
    <w:rsid w:val="00406690"/>
    <w:rsid w:val="00406787"/>
    <w:rsid w:val="004067FC"/>
    <w:rsid w:val="004072E5"/>
    <w:rsid w:val="00407A91"/>
    <w:rsid w:val="00407EE1"/>
    <w:rsid w:val="004101D7"/>
    <w:rsid w:val="004107FB"/>
    <w:rsid w:val="00410AC2"/>
    <w:rsid w:val="00410BFB"/>
    <w:rsid w:val="00410C1A"/>
    <w:rsid w:val="00410D0A"/>
    <w:rsid w:val="00410FCE"/>
    <w:rsid w:val="0041147A"/>
    <w:rsid w:val="00411B30"/>
    <w:rsid w:val="00411C18"/>
    <w:rsid w:val="00411EB3"/>
    <w:rsid w:val="004125DE"/>
    <w:rsid w:val="004126FF"/>
    <w:rsid w:val="00412B13"/>
    <w:rsid w:val="00413412"/>
    <w:rsid w:val="00413C79"/>
    <w:rsid w:val="00413F65"/>
    <w:rsid w:val="00414D16"/>
    <w:rsid w:val="00414D61"/>
    <w:rsid w:val="00415A0B"/>
    <w:rsid w:val="00415A67"/>
    <w:rsid w:val="00415F0C"/>
    <w:rsid w:val="0041746E"/>
    <w:rsid w:val="00417AED"/>
    <w:rsid w:val="00417B5B"/>
    <w:rsid w:val="00420142"/>
    <w:rsid w:val="00420D2C"/>
    <w:rsid w:val="00420DE8"/>
    <w:rsid w:val="0042115D"/>
    <w:rsid w:val="004215CC"/>
    <w:rsid w:val="0042183F"/>
    <w:rsid w:val="00421A81"/>
    <w:rsid w:val="004220A0"/>
    <w:rsid w:val="004228A1"/>
    <w:rsid w:val="004233DE"/>
    <w:rsid w:val="004234A9"/>
    <w:rsid w:val="00423CB3"/>
    <w:rsid w:val="00424487"/>
    <w:rsid w:val="0042465B"/>
    <w:rsid w:val="00424E5E"/>
    <w:rsid w:val="004251B5"/>
    <w:rsid w:val="004258DB"/>
    <w:rsid w:val="00426BB7"/>
    <w:rsid w:val="00426C47"/>
    <w:rsid w:val="004273FE"/>
    <w:rsid w:val="004276C9"/>
    <w:rsid w:val="00427885"/>
    <w:rsid w:val="00427C14"/>
    <w:rsid w:val="00427CE9"/>
    <w:rsid w:val="00427D34"/>
    <w:rsid w:val="004300CD"/>
    <w:rsid w:val="0043013A"/>
    <w:rsid w:val="0043029F"/>
    <w:rsid w:val="00430409"/>
    <w:rsid w:val="00430D6A"/>
    <w:rsid w:val="00430E8E"/>
    <w:rsid w:val="004310AF"/>
    <w:rsid w:val="0043119A"/>
    <w:rsid w:val="0043130E"/>
    <w:rsid w:val="00431406"/>
    <w:rsid w:val="004318D4"/>
    <w:rsid w:val="0043190E"/>
    <w:rsid w:val="00431E6D"/>
    <w:rsid w:val="004325D1"/>
    <w:rsid w:val="00432F98"/>
    <w:rsid w:val="00433158"/>
    <w:rsid w:val="004331B5"/>
    <w:rsid w:val="004333DA"/>
    <w:rsid w:val="004338A8"/>
    <w:rsid w:val="0043393D"/>
    <w:rsid w:val="00433C9B"/>
    <w:rsid w:val="00433CA5"/>
    <w:rsid w:val="00433E02"/>
    <w:rsid w:val="00434092"/>
    <w:rsid w:val="00434151"/>
    <w:rsid w:val="0043438F"/>
    <w:rsid w:val="00434641"/>
    <w:rsid w:val="00434866"/>
    <w:rsid w:val="00434EC0"/>
    <w:rsid w:val="0043558B"/>
    <w:rsid w:val="00435845"/>
    <w:rsid w:val="00435B01"/>
    <w:rsid w:val="0043692C"/>
    <w:rsid w:val="00436C5C"/>
    <w:rsid w:val="00436F61"/>
    <w:rsid w:val="004370F3"/>
    <w:rsid w:val="00437947"/>
    <w:rsid w:val="004379AA"/>
    <w:rsid w:val="00437B9F"/>
    <w:rsid w:val="00440034"/>
    <w:rsid w:val="004406F5"/>
    <w:rsid w:val="00440A49"/>
    <w:rsid w:val="00441151"/>
    <w:rsid w:val="0044148E"/>
    <w:rsid w:val="00441A89"/>
    <w:rsid w:val="00441C44"/>
    <w:rsid w:val="00441F60"/>
    <w:rsid w:val="00442804"/>
    <w:rsid w:val="004428CB"/>
    <w:rsid w:val="00442BB8"/>
    <w:rsid w:val="00443027"/>
    <w:rsid w:val="00443171"/>
    <w:rsid w:val="00443695"/>
    <w:rsid w:val="004438AF"/>
    <w:rsid w:val="004442E1"/>
    <w:rsid w:val="00444B39"/>
    <w:rsid w:val="00444C7D"/>
    <w:rsid w:val="00445111"/>
    <w:rsid w:val="00445131"/>
    <w:rsid w:val="004457B5"/>
    <w:rsid w:val="00446161"/>
    <w:rsid w:val="004461A6"/>
    <w:rsid w:val="00446C32"/>
    <w:rsid w:val="00447121"/>
    <w:rsid w:val="004472D8"/>
    <w:rsid w:val="00447884"/>
    <w:rsid w:val="00447E2C"/>
    <w:rsid w:val="00450577"/>
    <w:rsid w:val="00450663"/>
    <w:rsid w:val="00450C5B"/>
    <w:rsid w:val="00450CC2"/>
    <w:rsid w:val="00451186"/>
    <w:rsid w:val="0045127C"/>
    <w:rsid w:val="004512B5"/>
    <w:rsid w:val="004519B5"/>
    <w:rsid w:val="00451FDA"/>
    <w:rsid w:val="00452261"/>
    <w:rsid w:val="004524B0"/>
    <w:rsid w:val="00453F34"/>
    <w:rsid w:val="00454434"/>
    <w:rsid w:val="0045462B"/>
    <w:rsid w:val="00454AD6"/>
    <w:rsid w:val="00454E23"/>
    <w:rsid w:val="00454E85"/>
    <w:rsid w:val="00455910"/>
    <w:rsid w:val="00455E4D"/>
    <w:rsid w:val="00455FCB"/>
    <w:rsid w:val="00456C45"/>
    <w:rsid w:val="00456FB7"/>
    <w:rsid w:val="00457C98"/>
    <w:rsid w:val="004606CA"/>
    <w:rsid w:val="0046071D"/>
    <w:rsid w:val="00460BDB"/>
    <w:rsid w:val="00460C23"/>
    <w:rsid w:val="00461537"/>
    <w:rsid w:val="00461D52"/>
    <w:rsid w:val="00462573"/>
    <w:rsid w:val="00462AE5"/>
    <w:rsid w:val="00462C50"/>
    <w:rsid w:val="004633B9"/>
    <w:rsid w:val="00463603"/>
    <w:rsid w:val="0046391C"/>
    <w:rsid w:val="00464371"/>
    <w:rsid w:val="00464D08"/>
    <w:rsid w:val="00464EA9"/>
    <w:rsid w:val="00465321"/>
    <w:rsid w:val="00465FDE"/>
    <w:rsid w:val="00466008"/>
    <w:rsid w:val="0046621A"/>
    <w:rsid w:val="0046639A"/>
    <w:rsid w:val="004667B7"/>
    <w:rsid w:val="00466CD1"/>
    <w:rsid w:val="00466FE4"/>
    <w:rsid w:val="00467462"/>
    <w:rsid w:val="00467531"/>
    <w:rsid w:val="00467C78"/>
    <w:rsid w:val="004701FA"/>
    <w:rsid w:val="00470771"/>
    <w:rsid w:val="0047144F"/>
    <w:rsid w:val="0047187E"/>
    <w:rsid w:val="00471991"/>
    <w:rsid w:val="00471E90"/>
    <w:rsid w:val="00471EF2"/>
    <w:rsid w:val="0047275D"/>
    <w:rsid w:val="00473075"/>
    <w:rsid w:val="004737D3"/>
    <w:rsid w:val="00473B68"/>
    <w:rsid w:val="00473E90"/>
    <w:rsid w:val="00473EB6"/>
    <w:rsid w:val="00474843"/>
    <w:rsid w:val="00474D9C"/>
    <w:rsid w:val="00474F78"/>
    <w:rsid w:val="0047530B"/>
    <w:rsid w:val="00475870"/>
    <w:rsid w:val="00475EA5"/>
    <w:rsid w:val="00476046"/>
    <w:rsid w:val="004761BE"/>
    <w:rsid w:val="0047647B"/>
    <w:rsid w:val="004764D3"/>
    <w:rsid w:val="00476501"/>
    <w:rsid w:val="0047692B"/>
    <w:rsid w:val="00476C3E"/>
    <w:rsid w:val="004775C7"/>
    <w:rsid w:val="00480B9B"/>
    <w:rsid w:val="004813B1"/>
    <w:rsid w:val="00481934"/>
    <w:rsid w:val="00481B60"/>
    <w:rsid w:val="00481C2E"/>
    <w:rsid w:val="00481D92"/>
    <w:rsid w:val="00481F4B"/>
    <w:rsid w:val="004828FA"/>
    <w:rsid w:val="00482F56"/>
    <w:rsid w:val="00483561"/>
    <w:rsid w:val="00483759"/>
    <w:rsid w:val="00483BEC"/>
    <w:rsid w:val="00483C59"/>
    <w:rsid w:val="00483F95"/>
    <w:rsid w:val="004843AA"/>
    <w:rsid w:val="00484B9F"/>
    <w:rsid w:val="00484C0F"/>
    <w:rsid w:val="004852EB"/>
    <w:rsid w:val="0048563A"/>
    <w:rsid w:val="004862E1"/>
    <w:rsid w:val="0048656B"/>
    <w:rsid w:val="00487DF2"/>
    <w:rsid w:val="004903A9"/>
    <w:rsid w:val="0049067D"/>
    <w:rsid w:val="00490D7D"/>
    <w:rsid w:val="00490DE1"/>
    <w:rsid w:val="00490E60"/>
    <w:rsid w:val="00491009"/>
    <w:rsid w:val="00491136"/>
    <w:rsid w:val="00491174"/>
    <w:rsid w:val="00492A57"/>
    <w:rsid w:val="00492C8D"/>
    <w:rsid w:val="00493AF5"/>
    <w:rsid w:val="00494881"/>
    <w:rsid w:val="00494C0D"/>
    <w:rsid w:val="004951C1"/>
    <w:rsid w:val="004952CE"/>
    <w:rsid w:val="004952E2"/>
    <w:rsid w:val="00495556"/>
    <w:rsid w:val="0049567C"/>
    <w:rsid w:val="0049596B"/>
    <w:rsid w:val="00495FFF"/>
    <w:rsid w:val="0049607B"/>
    <w:rsid w:val="00496A43"/>
    <w:rsid w:val="00496C44"/>
    <w:rsid w:val="00496E63"/>
    <w:rsid w:val="0049706C"/>
    <w:rsid w:val="00497960"/>
    <w:rsid w:val="004979E2"/>
    <w:rsid w:val="00497BD0"/>
    <w:rsid w:val="00497D9B"/>
    <w:rsid w:val="004A08CB"/>
    <w:rsid w:val="004A233C"/>
    <w:rsid w:val="004A2B56"/>
    <w:rsid w:val="004A2F16"/>
    <w:rsid w:val="004A2FD5"/>
    <w:rsid w:val="004A3A00"/>
    <w:rsid w:val="004A3E56"/>
    <w:rsid w:val="004A438A"/>
    <w:rsid w:val="004A4501"/>
    <w:rsid w:val="004A5520"/>
    <w:rsid w:val="004A5661"/>
    <w:rsid w:val="004A57D9"/>
    <w:rsid w:val="004A6161"/>
    <w:rsid w:val="004A6553"/>
    <w:rsid w:val="004A6CD7"/>
    <w:rsid w:val="004A7418"/>
    <w:rsid w:val="004A75A0"/>
    <w:rsid w:val="004A786B"/>
    <w:rsid w:val="004B0112"/>
    <w:rsid w:val="004B0314"/>
    <w:rsid w:val="004B0514"/>
    <w:rsid w:val="004B08ED"/>
    <w:rsid w:val="004B0D19"/>
    <w:rsid w:val="004B0DA0"/>
    <w:rsid w:val="004B0DBE"/>
    <w:rsid w:val="004B0E3E"/>
    <w:rsid w:val="004B0FD6"/>
    <w:rsid w:val="004B103B"/>
    <w:rsid w:val="004B144B"/>
    <w:rsid w:val="004B2769"/>
    <w:rsid w:val="004B2DD7"/>
    <w:rsid w:val="004B36A0"/>
    <w:rsid w:val="004B3F40"/>
    <w:rsid w:val="004B3FC9"/>
    <w:rsid w:val="004B475D"/>
    <w:rsid w:val="004B47B6"/>
    <w:rsid w:val="004B5CD5"/>
    <w:rsid w:val="004B6115"/>
    <w:rsid w:val="004B61FA"/>
    <w:rsid w:val="004B653B"/>
    <w:rsid w:val="004B69E8"/>
    <w:rsid w:val="004B6EBD"/>
    <w:rsid w:val="004B6FA4"/>
    <w:rsid w:val="004B73B4"/>
    <w:rsid w:val="004B7588"/>
    <w:rsid w:val="004B7BFC"/>
    <w:rsid w:val="004B7D77"/>
    <w:rsid w:val="004C0164"/>
    <w:rsid w:val="004C17A9"/>
    <w:rsid w:val="004C1E44"/>
    <w:rsid w:val="004C2246"/>
    <w:rsid w:val="004C29E9"/>
    <w:rsid w:val="004C3ABA"/>
    <w:rsid w:val="004C3C26"/>
    <w:rsid w:val="004C3F27"/>
    <w:rsid w:val="004C4060"/>
    <w:rsid w:val="004C416C"/>
    <w:rsid w:val="004C478E"/>
    <w:rsid w:val="004C4A87"/>
    <w:rsid w:val="004C4A9F"/>
    <w:rsid w:val="004C4D2C"/>
    <w:rsid w:val="004C565A"/>
    <w:rsid w:val="004C5F7D"/>
    <w:rsid w:val="004C6298"/>
    <w:rsid w:val="004C6CAC"/>
    <w:rsid w:val="004D00E3"/>
    <w:rsid w:val="004D0190"/>
    <w:rsid w:val="004D072F"/>
    <w:rsid w:val="004D0788"/>
    <w:rsid w:val="004D08A9"/>
    <w:rsid w:val="004D0B53"/>
    <w:rsid w:val="004D0C8D"/>
    <w:rsid w:val="004D0D07"/>
    <w:rsid w:val="004D0F69"/>
    <w:rsid w:val="004D103C"/>
    <w:rsid w:val="004D1123"/>
    <w:rsid w:val="004D1319"/>
    <w:rsid w:val="004D16D0"/>
    <w:rsid w:val="004D1A65"/>
    <w:rsid w:val="004D1ADF"/>
    <w:rsid w:val="004D244B"/>
    <w:rsid w:val="004D24A1"/>
    <w:rsid w:val="004D3315"/>
    <w:rsid w:val="004D360A"/>
    <w:rsid w:val="004D3988"/>
    <w:rsid w:val="004D4328"/>
    <w:rsid w:val="004D4336"/>
    <w:rsid w:val="004D46AB"/>
    <w:rsid w:val="004D4798"/>
    <w:rsid w:val="004D5106"/>
    <w:rsid w:val="004D5211"/>
    <w:rsid w:val="004D564F"/>
    <w:rsid w:val="004D5B7B"/>
    <w:rsid w:val="004D5DF3"/>
    <w:rsid w:val="004D68F2"/>
    <w:rsid w:val="004D6AF6"/>
    <w:rsid w:val="004D6E5A"/>
    <w:rsid w:val="004D71BE"/>
    <w:rsid w:val="004D7EE5"/>
    <w:rsid w:val="004E0EBB"/>
    <w:rsid w:val="004E304B"/>
    <w:rsid w:val="004E310A"/>
    <w:rsid w:val="004E314B"/>
    <w:rsid w:val="004E385F"/>
    <w:rsid w:val="004E3DA2"/>
    <w:rsid w:val="004E3E44"/>
    <w:rsid w:val="004E40E2"/>
    <w:rsid w:val="004E4221"/>
    <w:rsid w:val="004E48D8"/>
    <w:rsid w:val="004E4B36"/>
    <w:rsid w:val="004E4B92"/>
    <w:rsid w:val="004E4CA3"/>
    <w:rsid w:val="004E59C0"/>
    <w:rsid w:val="004E6470"/>
    <w:rsid w:val="004E6553"/>
    <w:rsid w:val="004E66EE"/>
    <w:rsid w:val="004E7728"/>
    <w:rsid w:val="004E77EA"/>
    <w:rsid w:val="004E7A00"/>
    <w:rsid w:val="004E7A8C"/>
    <w:rsid w:val="004E7E1B"/>
    <w:rsid w:val="004E7F19"/>
    <w:rsid w:val="004F052C"/>
    <w:rsid w:val="004F0C1B"/>
    <w:rsid w:val="004F0F46"/>
    <w:rsid w:val="004F115E"/>
    <w:rsid w:val="004F1478"/>
    <w:rsid w:val="004F154B"/>
    <w:rsid w:val="004F15EE"/>
    <w:rsid w:val="004F15FF"/>
    <w:rsid w:val="004F1A60"/>
    <w:rsid w:val="004F1C71"/>
    <w:rsid w:val="004F1F9E"/>
    <w:rsid w:val="004F27EC"/>
    <w:rsid w:val="004F375F"/>
    <w:rsid w:val="004F3819"/>
    <w:rsid w:val="004F3EAF"/>
    <w:rsid w:val="004F3F43"/>
    <w:rsid w:val="004F3FD9"/>
    <w:rsid w:val="004F448F"/>
    <w:rsid w:val="004F5207"/>
    <w:rsid w:val="004F53CC"/>
    <w:rsid w:val="004F602D"/>
    <w:rsid w:val="004F60DD"/>
    <w:rsid w:val="004F61B9"/>
    <w:rsid w:val="004F6C65"/>
    <w:rsid w:val="004F79AF"/>
    <w:rsid w:val="004F7B46"/>
    <w:rsid w:val="004F7D73"/>
    <w:rsid w:val="00500210"/>
    <w:rsid w:val="0050035E"/>
    <w:rsid w:val="0050059B"/>
    <w:rsid w:val="00500691"/>
    <w:rsid w:val="00500BDA"/>
    <w:rsid w:val="00500D3B"/>
    <w:rsid w:val="00500DBB"/>
    <w:rsid w:val="00500FA8"/>
    <w:rsid w:val="0050123D"/>
    <w:rsid w:val="00501EB5"/>
    <w:rsid w:val="00502014"/>
    <w:rsid w:val="00502199"/>
    <w:rsid w:val="00502B6F"/>
    <w:rsid w:val="00502B72"/>
    <w:rsid w:val="005033F7"/>
    <w:rsid w:val="0050344E"/>
    <w:rsid w:val="00503479"/>
    <w:rsid w:val="00503BC7"/>
    <w:rsid w:val="00504044"/>
    <w:rsid w:val="0050427B"/>
    <w:rsid w:val="00504A9E"/>
    <w:rsid w:val="00504E58"/>
    <w:rsid w:val="00505076"/>
    <w:rsid w:val="005050C2"/>
    <w:rsid w:val="00505103"/>
    <w:rsid w:val="005057FB"/>
    <w:rsid w:val="00505B36"/>
    <w:rsid w:val="00505C0F"/>
    <w:rsid w:val="00505D4D"/>
    <w:rsid w:val="00505EBB"/>
    <w:rsid w:val="00506297"/>
    <w:rsid w:val="005072C4"/>
    <w:rsid w:val="00507609"/>
    <w:rsid w:val="00507803"/>
    <w:rsid w:val="00507837"/>
    <w:rsid w:val="00510580"/>
    <w:rsid w:val="00510D51"/>
    <w:rsid w:val="00510F48"/>
    <w:rsid w:val="00511444"/>
    <w:rsid w:val="005123AF"/>
    <w:rsid w:val="00512427"/>
    <w:rsid w:val="0051278D"/>
    <w:rsid w:val="005132D0"/>
    <w:rsid w:val="00513366"/>
    <w:rsid w:val="005137F3"/>
    <w:rsid w:val="00513E90"/>
    <w:rsid w:val="00513FCE"/>
    <w:rsid w:val="00514292"/>
    <w:rsid w:val="005144B8"/>
    <w:rsid w:val="005145A7"/>
    <w:rsid w:val="005147D3"/>
    <w:rsid w:val="00514AFB"/>
    <w:rsid w:val="00514EDB"/>
    <w:rsid w:val="00514FD3"/>
    <w:rsid w:val="00515055"/>
    <w:rsid w:val="005151D9"/>
    <w:rsid w:val="00515796"/>
    <w:rsid w:val="00515B79"/>
    <w:rsid w:val="00515CD1"/>
    <w:rsid w:val="0051657B"/>
    <w:rsid w:val="0051672F"/>
    <w:rsid w:val="00516A27"/>
    <w:rsid w:val="00517482"/>
    <w:rsid w:val="00517709"/>
    <w:rsid w:val="00517E1F"/>
    <w:rsid w:val="00520C21"/>
    <w:rsid w:val="005213BE"/>
    <w:rsid w:val="00521C8B"/>
    <w:rsid w:val="00522229"/>
    <w:rsid w:val="0052273F"/>
    <w:rsid w:val="0052287F"/>
    <w:rsid w:val="00522949"/>
    <w:rsid w:val="00522963"/>
    <w:rsid w:val="00522B31"/>
    <w:rsid w:val="005234BD"/>
    <w:rsid w:val="005234DE"/>
    <w:rsid w:val="0052378B"/>
    <w:rsid w:val="0052395A"/>
    <w:rsid w:val="00523B0B"/>
    <w:rsid w:val="00523BC7"/>
    <w:rsid w:val="00523D06"/>
    <w:rsid w:val="00523DE0"/>
    <w:rsid w:val="00523EB8"/>
    <w:rsid w:val="00524614"/>
    <w:rsid w:val="0052520C"/>
    <w:rsid w:val="005253B6"/>
    <w:rsid w:val="00525E46"/>
    <w:rsid w:val="005260BC"/>
    <w:rsid w:val="0052623E"/>
    <w:rsid w:val="00526877"/>
    <w:rsid w:val="005275B3"/>
    <w:rsid w:val="00527642"/>
    <w:rsid w:val="00527A39"/>
    <w:rsid w:val="00527A8B"/>
    <w:rsid w:val="0053021B"/>
    <w:rsid w:val="00530709"/>
    <w:rsid w:val="0053139D"/>
    <w:rsid w:val="005318FD"/>
    <w:rsid w:val="00531A7F"/>
    <w:rsid w:val="00532259"/>
    <w:rsid w:val="00532A76"/>
    <w:rsid w:val="00532F1A"/>
    <w:rsid w:val="00533822"/>
    <w:rsid w:val="005338E2"/>
    <w:rsid w:val="00533920"/>
    <w:rsid w:val="00533BD9"/>
    <w:rsid w:val="00533E7E"/>
    <w:rsid w:val="0053434F"/>
    <w:rsid w:val="005345E7"/>
    <w:rsid w:val="00534B77"/>
    <w:rsid w:val="00534C22"/>
    <w:rsid w:val="005351AE"/>
    <w:rsid w:val="0053522B"/>
    <w:rsid w:val="005355BD"/>
    <w:rsid w:val="005355EE"/>
    <w:rsid w:val="00535CF5"/>
    <w:rsid w:val="00535F6A"/>
    <w:rsid w:val="00536681"/>
    <w:rsid w:val="00536A9B"/>
    <w:rsid w:val="00536BDA"/>
    <w:rsid w:val="00536E00"/>
    <w:rsid w:val="00537347"/>
    <w:rsid w:val="005376BC"/>
    <w:rsid w:val="00537C16"/>
    <w:rsid w:val="005404FA"/>
    <w:rsid w:val="00540B35"/>
    <w:rsid w:val="00540F1B"/>
    <w:rsid w:val="00541CB7"/>
    <w:rsid w:val="00542046"/>
    <w:rsid w:val="00542272"/>
    <w:rsid w:val="00542BAE"/>
    <w:rsid w:val="005430F7"/>
    <w:rsid w:val="0054340D"/>
    <w:rsid w:val="0054378F"/>
    <w:rsid w:val="00544A11"/>
    <w:rsid w:val="00544E17"/>
    <w:rsid w:val="00545EB9"/>
    <w:rsid w:val="00545F56"/>
    <w:rsid w:val="00546152"/>
    <w:rsid w:val="00546334"/>
    <w:rsid w:val="00546CE8"/>
    <w:rsid w:val="00546E7C"/>
    <w:rsid w:val="00547006"/>
    <w:rsid w:val="00547070"/>
    <w:rsid w:val="005470AD"/>
    <w:rsid w:val="00547320"/>
    <w:rsid w:val="005476BD"/>
    <w:rsid w:val="0054797D"/>
    <w:rsid w:val="00550075"/>
    <w:rsid w:val="005506FD"/>
    <w:rsid w:val="005507FB"/>
    <w:rsid w:val="0055108C"/>
    <w:rsid w:val="00551CB8"/>
    <w:rsid w:val="00551E91"/>
    <w:rsid w:val="005524B9"/>
    <w:rsid w:val="00552BD2"/>
    <w:rsid w:val="00553278"/>
    <w:rsid w:val="005534C4"/>
    <w:rsid w:val="005535E6"/>
    <w:rsid w:val="0055385D"/>
    <w:rsid w:val="00553F1F"/>
    <w:rsid w:val="005541A8"/>
    <w:rsid w:val="00554A26"/>
    <w:rsid w:val="00555973"/>
    <w:rsid w:val="005560A9"/>
    <w:rsid w:val="00556A5B"/>
    <w:rsid w:val="00556F46"/>
    <w:rsid w:val="00560440"/>
    <w:rsid w:val="005611CE"/>
    <w:rsid w:val="00561807"/>
    <w:rsid w:val="00561DA6"/>
    <w:rsid w:val="0056271C"/>
    <w:rsid w:val="00562D13"/>
    <w:rsid w:val="00563116"/>
    <w:rsid w:val="00563632"/>
    <w:rsid w:val="005639AD"/>
    <w:rsid w:val="00563D1C"/>
    <w:rsid w:val="00563F71"/>
    <w:rsid w:val="005640E7"/>
    <w:rsid w:val="00564233"/>
    <w:rsid w:val="005642C7"/>
    <w:rsid w:val="005645AA"/>
    <w:rsid w:val="00564E57"/>
    <w:rsid w:val="00565103"/>
    <w:rsid w:val="0056557E"/>
    <w:rsid w:val="005658AB"/>
    <w:rsid w:val="005669FD"/>
    <w:rsid w:val="00566C22"/>
    <w:rsid w:val="00566E1E"/>
    <w:rsid w:val="005673F0"/>
    <w:rsid w:val="0056740A"/>
    <w:rsid w:val="005702A3"/>
    <w:rsid w:val="00570774"/>
    <w:rsid w:val="0057081E"/>
    <w:rsid w:val="00571470"/>
    <w:rsid w:val="0057167C"/>
    <w:rsid w:val="00571A9F"/>
    <w:rsid w:val="00571AD6"/>
    <w:rsid w:val="00571CC0"/>
    <w:rsid w:val="00571D7B"/>
    <w:rsid w:val="00572749"/>
    <w:rsid w:val="00572F4F"/>
    <w:rsid w:val="00573324"/>
    <w:rsid w:val="005738FE"/>
    <w:rsid w:val="00573EDA"/>
    <w:rsid w:val="00574235"/>
    <w:rsid w:val="005747F7"/>
    <w:rsid w:val="00574D3D"/>
    <w:rsid w:val="00574FC4"/>
    <w:rsid w:val="005755B5"/>
    <w:rsid w:val="005756BD"/>
    <w:rsid w:val="00575EB9"/>
    <w:rsid w:val="00576FAC"/>
    <w:rsid w:val="00580067"/>
    <w:rsid w:val="0058040A"/>
    <w:rsid w:val="005804B6"/>
    <w:rsid w:val="00580757"/>
    <w:rsid w:val="00580A8A"/>
    <w:rsid w:val="00580FD4"/>
    <w:rsid w:val="0058105D"/>
    <w:rsid w:val="005811D5"/>
    <w:rsid w:val="0058123C"/>
    <w:rsid w:val="005815CD"/>
    <w:rsid w:val="005816D6"/>
    <w:rsid w:val="00581AF6"/>
    <w:rsid w:val="00581ECB"/>
    <w:rsid w:val="00582212"/>
    <w:rsid w:val="0058274D"/>
    <w:rsid w:val="005836EF"/>
    <w:rsid w:val="005838AF"/>
    <w:rsid w:val="00583998"/>
    <w:rsid w:val="00583A51"/>
    <w:rsid w:val="0058407C"/>
    <w:rsid w:val="00584138"/>
    <w:rsid w:val="00584276"/>
    <w:rsid w:val="00584444"/>
    <w:rsid w:val="00584618"/>
    <w:rsid w:val="00584730"/>
    <w:rsid w:val="00584998"/>
    <w:rsid w:val="00584F4D"/>
    <w:rsid w:val="00584FA1"/>
    <w:rsid w:val="00584FB8"/>
    <w:rsid w:val="005852B3"/>
    <w:rsid w:val="00585910"/>
    <w:rsid w:val="00585D3A"/>
    <w:rsid w:val="00585D61"/>
    <w:rsid w:val="00585F93"/>
    <w:rsid w:val="00586519"/>
    <w:rsid w:val="005870EF"/>
    <w:rsid w:val="005878AD"/>
    <w:rsid w:val="00587AC9"/>
    <w:rsid w:val="00587E28"/>
    <w:rsid w:val="00590369"/>
    <w:rsid w:val="00591738"/>
    <w:rsid w:val="00592196"/>
    <w:rsid w:val="0059294C"/>
    <w:rsid w:val="00592C7A"/>
    <w:rsid w:val="00592E8C"/>
    <w:rsid w:val="00593175"/>
    <w:rsid w:val="00593E6E"/>
    <w:rsid w:val="00594B23"/>
    <w:rsid w:val="00594D57"/>
    <w:rsid w:val="005951CD"/>
    <w:rsid w:val="005954A9"/>
    <w:rsid w:val="00595715"/>
    <w:rsid w:val="0059581A"/>
    <w:rsid w:val="00595C30"/>
    <w:rsid w:val="005966B2"/>
    <w:rsid w:val="00596FEB"/>
    <w:rsid w:val="0059707A"/>
    <w:rsid w:val="00597B60"/>
    <w:rsid w:val="00597FF2"/>
    <w:rsid w:val="005A01E8"/>
    <w:rsid w:val="005A02FC"/>
    <w:rsid w:val="005A068F"/>
    <w:rsid w:val="005A06C3"/>
    <w:rsid w:val="005A0754"/>
    <w:rsid w:val="005A07DF"/>
    <w:rsid w:val="005A1174"/>
    <w:rsid w:val="005A13B2"/>
    <w:rsid w:val="005A13D0"/>
    <w:rsid w:val="005A14AA"/>
    <w:rsid w:val="005A2267"/>
    <w:rsid w:val="005A2B34"/>
    <w:rsid w:val="005A2E17"/>
    <w:rsid w:val="005A2EAA"/>
    <w:rsid w:val="005A3386"/>
    <w:rsid w:val="005A339B"/>
    <w:rsid w:val="005A3C9E"/>
    <w:rsid w:val="005A3D3C"/>
    <w:rsid w:val="005A426B"/>
    <w:rsid w:val="005A43A4"/>
    <w:rsid w:val="005A45C0"/>
    <w:rsid w:val="005A467C"/>
    <w:rsid w:val="005A4B82"/>
    <w:rsid w:val="005A51A1"/>
    <w:rsid w:val="005A5416"/>
    <w:rsid w:val="005A60D6"/>
    <w:rsid w:val="005A6302"/>
    <w:rsid w:val="005A6305"/>
    <w:rsid w:val="005A6919"/>
    <w:rsid w:val="005A6A4F"/>
    <w:rsid w:val="005A6A9F"/>
    <w:rsid w:val="005A6BD1"/>
    <w:rsid w:val="005A6C21"/>
    <w:rsid w:val="005A6F5F"/>
    <w:rsid w:val="005A709B"/>
    <w:rsid w:val="005A7817"/>
    <w:rsid w:val="005A7BC3"/>
    <w:rsid w:val="005B0065"/>
    <w:rsid w:val="005B08C2"/>
    <w:rsid w:val="005B08F2"/>
    <w:rsid w:val="005B0A5D"/>
    <w:rsid w:val="005B0E22"/>
    <w:rsid w:val="005B145E"/>
    <w:rsid w:val="005B18CE"/>
    <w:rsid w:val="005B1BE8"/>
    <w:rsid w:val="005B205C"/>
    <w:rsid w:val="005B2F30"/>
    <w:rsid w:val="005B3010"/>
    <w:rsid w:val="005B3700"/>
    <w:rsid w:val="005B3733"/>
    <w:rsid w:val="005B43A1"/>
    <w:rsid w:val="005B4487"/>
    <w:rsid w:val="005B4DA3"/>
    <w:rsid w:val="005B4FF2"/>
    <w:rsid w:val="005B52A7"/>
    <w:rsid w:val="005B5509"/>
    <w:rsid w:val="005B5704"/>
    <w:rsid w:val="005B5B30"/>
    <w:rsid w:val="005B5D4E"/>
    <w:rsid w:val="005B6086"/>
    <w:rsid w:val="005B6245"/>
    <w:rsid w:val="005B6C31"/>
    <w:rsid w:val="005B748C"/>
    <w:rsid w:val="005C0184"/>
    <w:rsid w:val="005C045F"/>
    <w:rsid w:val="005C06F0"/>
    <w:rsid w:val="005C0D76"/>
    <w:rsid w:val="005C0E58"/>
    <w:rsid w:val="005C0FFD"/>
    <w:rsid w:val="005C1B83"/>
    <w:rsid w:val="005C2116"/>
    <w:rsid w:val="005C28C0"/>
    <w:rsid w:val="005C2A8E"/>
    <w:rsid w:val="005C33F7"/>
    <w:rsid w:val="005C3C7A"/>
    <w:rsid w:val="005C3F9E"/>
    <w:rsid w:val="005C4816"/>
    <w:rsid w:val="005C4FC0"/>
    <w:rsid w:val="005C59D9"/>
    <w:rsid w:val="005C60CA"/>
    <w:rsid w:val="005C610D"/>
    <w:rsid w:val="005C621E"/>
    <w:rsid w:val="005C7386"/>
    <w:rsid w:val="005C7758"/>
    <w:rsid w:val="005C7805"/>
    <w:rsid w:val="005C7938"/>
    <w:rsid w:val="005D0156"/>
    <w:rsid w:val="005D021C"/>
    <w:rsid w:val="005D11C7"/>
    <w:rsid w:val="005D16C7"/>
    <w:rsid w:val="005D1C98"/>
    <w:rsid w:val="005D21F4"/>
    <w:rsid w:val="005D223A"/>
    <w:rsid w:val="005D23CB"/>
    <w:rsid w:val="005D3928"/>
    <w:rsid w:val="005D3BC7"/>
    <w:rsid w:val="005D3E06"/>
    <w:rsid w:val="005D3E59"/>
    <w:rsid w:val="005D414F"/>
    <w:rsid w:val="005D418B"/>
    <w:rsid w:val="005D41A9"/>
    <w:rsid w:val="005D424D"/>
    <w:rsid w:val="005D469B"/>
    <w:rsid w:val="005D5012"/>
    <w:rsid w:val="005D54A6"/>
    <w:rsid w:val="005D64BA"/>
    <w:rsid w:val="005D6916"/>
    <w:rsid w:val="005D6ADA"/>
    <w:rsid w:val="005D6EFD"/>
    <w:rsid w:val="005D74A2"/>
    <w:rsid w:val="005E085A"/>
    <w:rsid w:val="005E096B"/>
    <w:rsid w:val="005E097A"/>
    <w:rsid w:val="005E0FF3"/>
    <w:rsid w:val="005E1399"/>
    <w:rsid w:val="005E229B"/>
    <w:rsid w:val="005E2450"/>
    <w:rsid w:val="005E258F"/>
    <w:rsid w:val="005E3E05"/>
    <w:rsid w:val="005E4778"/>
    <w:rsid w:val="005E4BB3"/>
    <w:rsid w:val="005E4C04"/>
    <w:rsid w:val="005E4F85"/>
    <w:rsid w:val="005E5BD8"/>
    <w:rsid w:val="005E5BDB"/>
    <w:rsid w:val="005E5D9A"/>
    <w:rsid w:val="005E6624"/>
    <w:rsid w:val="005E734D"/>
    <w:rsid w:val="005E792C"/>
    <w:rsid w:val="005E7F5A"/>
    <w:rsid w:val="005F055B"/>
    <w:rsid w:val="005F0671"/>
    <w:rsid w:val="005F0676"/>
    <w:rsid w:val="005F092E"/>
    <w:rsid w:val="005F0EC1"/>
    <w:rsid w:val="005F1051"/>
    <w:rsid w:val="005F15BF"/>
    <w:rsid w:val="005F1EEF"/>
    <w:rsid w:val="005F1F69"/>
    <w:rsid w:val="005F21B6"/>
    <w:rsid w:val="005F2253"/>
    <w:rsid w:val="005F27E7"/>
    <w:rsid w:val="005F3027"/>
    <w:rsid w:val="005F369B"/>
    <w:rsid w:val="005F37CB"/>
    <w:rsid w:val="005F3CC1"/>
    <w:rsid w:val="005F3D3F"/>
    <w:rsid w:val="005F3D5A"/>
    <w:rsid w:val="005F415C"/>
    <w:rsid w:val="005F4BD3"/>
    <w:rsid w:val="005F5AA9"/>
    <w:rsid w:val="005F5D6C"/>
    <w:rsid w:val="005F5FA8"/>
    <w:rsid w:val="005F66F8"/>
    <w:rsid w:val="005F6ACD"/>
    <w:rsid w:val="005F6EF4"/>
    <w:rsid w:val="005F705C"/>
    <w:rsid w:val="005F729F"/>
    <w:rsid w:val="005F78D8"/>
    <w:rsid w:val="005F7D3A"/>
    <w:rsid w:val="005F7FB4"/>
    <w:rsid w:val="00600162"/>
    <w:rsid w:val="00600454"/>
    <w:rsid w:val="00600776"/>
    <w:rsid w:val="00600903"/>
    <w:rsid w:val="00600C12"/>
    <w:rsid w:val="006010F7"/>
    <w:rsid w:val="0060163B"/>
    <w:rsid w:val="00601EDF"/>
    <w:rsid w:val="00602C53"/>
    <w:rsid w:val="00602CE7"/>
    <w:rsid w:val="0060305C"/>
    <w:rsid w:val="00604CE2"/>
    <w:rsid w:val="00604CFF"/>
    <w:rsid w:val="00605147"/>
    <w:rsid w:val="00605D58"/>
    <w:rsid w:val="00605E07"/>
    <w:rsid w:val="00605F80"/>
    <w:rsid w:val="00605F93"/>
    <w:rsid w:val="00607499"/>
    <w:rsid w:val="00607532"/>
    <w:rsid w:val="006077EC"/>
    <w:rsid w:val="00607982"/>
    <w:rsid w:val="00607D82"/>
    <w:rsid w:val="00610067"/>
    <w:rsid w:val="006100F2"/>
    <w:rsid w:val="0061078D"/>
    <w:rsid w:val="00610DE5"/>
    <w:rsid w:val="00611D28"/>
    <w:rsid w:val="00611F76"/>
    <w:rsid w:val="006123CC"/>
    <w:rsid w:val="006123DB"/>
    <w:rsid w:val="0061256B"/>
    <w:rsid w:val="00612D6B"/>
    <w:rsid w:val="00612D84"/>
    <w:rsid w:val="00612DA2"/>
    <w:rsid w:val="006133D5"/>
    <w:rsid w:val="00613482"/>
    <w:rsid w:val="00613589"/>
    <w:rsid w:val="00613AAB"/>
    <w:rsid w:val="00613B29"/>
    <w:rsid w:val="0061440E"/>
    <w:rsid w:val="00614554"/>
    <w:rsid w:val="006148FB"/>
    <w:rsid w:val="00614AD5"/>
    <w:rsid w:val="00614C13"/>
    <w:rsid w:val="00614FC4"/>
    <w:rsid w:val="00615DC1"/>
    <w:rsid w:val="00615DCB"/>
    <w:rsid w:val="0061661C"/>
    <w:rsid w:val="00617091"/>
    <w:rsid w:val="00617EF1"/>
    <w:rsid w:val="00620477"/>
    <w:rsid w:val="00620540"/>
    <w:rsid w:val="006208E8"/>
    <w:rsid w:val="0062094B"/>
    <w:rsid w:val="00620A4C"/>
    <w:rsid w:val="00620AE8"/>
    <w:rsid w:val="006219D0"/>
    <w:rsid w:val="00622614"/>
    <w:rsid w:val="00622768"/>
    <w:rsid w:val="00622CDB"/>
    <w:rsid w:val="00622EBF"/>
    <w:rsid w:val="00622FA7"/>
    <w:rsid w:val="00623417"/>
    <w:rsid w:val="006235E0"/>
    <w:rsid w:val="0062377C"/>
    <w:rsid w:val="0062398D"/>
    <w:rsid w:val="00623CCA"/>
    <w:rsid w:val="006240DE"/>
    <w:rsid w:val="006242C5"/>
    <w:rsid w:val="006245D3"/>
    <w:rsid w:val="00625B17"/>
    <w:rsid w:val="00626738"/>
    <w:rsid w:val="00626CC2"/>
    <w:rsid w:val="0062757D"/>
    <w:rsid w:val="006276B8"/>
    <w:rsid w:val="00627D85"/>
    <w:rsid w:val="00627DE1"/>
    <w:rsid w:val="00627F21"/>
    <w:rsid w:val="0063001A"/>
    <w:rsid w:val="0063027D"/>
    <w:rsid w:val="006302B6"/>
    <w:rsid w:val="00630D8B"/>
    <w:rsid w:val="00630F86"/>
    <w:rsid w:val="0063125C"/>
    <w:rsid w:val="00631867"/>
    <w:rsid w:val="00631E7C"/>
    <w:rsid w:val="00632803"/>
    <w:rsid w:val="00632957"/>
    <w:rsid w:val="0063304D"/>
    <w:rsid w:val="006337AE"/>
    <w:rsid w:val="00633802"/>
    <w:rsid w:val="006338B6"/>
    <w:rsid w:val="00633A7C"/>
    <w:rsid w:val="00633BF9"/>
    <w:rsid w:val="00633E77"/>
    <w:rsid w:val="00633F61"/>
    <w:rsid w:val="00634103"/>
    <w:rsid w:val="006341B1"/>
    <w:rsid w:val="006346BF"/>
    <w:rsid w:val="00635AAC"/>
    <w:rsid w:val="0063679A"/>
    <w:rsid w:val="006369A7"/>
    <w:rsid w:val="00636B0D"/>
    <w:rsid w:val="00636C0B"/>
    <w:rsid w:val="00636F7A"/>
    <w:rsid w:val="006371D4"/>
    <w:rsid w:val="006376B5"/>
    <w:rsid w:val="00637D39"/>
    <w:rsid w:val="00637D92"/>
    <w:rsid w:val="00640305"/>
    <w:rsid w:val="00640C7B"/>
    <w:rsid w:val="00640F12"/>
    <w:rsid w:val="00641088"/>
    <w:rsid w:val="00641EED"/>
    <w:rsid w:val="0064234C"/>
    <w:rsid w:val="00642961"/>
    <w:rsid w:val="00642CE8"/>
    <w:rsid w:val="00643EB1"/>
    <w:rsid w:val="00643F4E"/>
    <w:rsid w:val="006443EA"/>
    <w:rsid w:val="00644462"/>
    <w:rsid w:val="00644590"/>
    <w:rsid w:val="00646697"/>
    <w:rsid w:val="00646E24"/>
    <w:rsid w:val="0064720A"/>
    <w:rsid w:val="006477DD"/>
    <w:rsid w:val="00647D6C"/>
    <w:rsid w:val="00647FCB"/>
    <w:rsid w:val="0065022A"/>
    <w:rsid w:val="00650455"/>
    <w:rsid w:val="00650EAC"/>
    <w:rsid w:val="006510BE"/>
    <w:rsid w:val="00651129"/>
    <w:rsid w:val="006514A6"/>
    <w:rsid w:val="006514DA"/>
    <w:rsid w:val="00651859"/>
    <w:rsid w:val="0065186D"/>
    <w:rsid w:val="00651B00"/>
    <w:rsid w:val="00651C6F"/>
    <w:rsid w:val="00651FAE"/>
    <w:rsid w:val="00652118"/>
    <w:rsid w:val="006529B5"/>
    <w:rsid w:val="00652C0C"/>
    <w:rsid w:val="00652F58"/>
    <w:rsid w:val="00652F71"/>
    <w:rsid w:val="00653779"/>
    <w:rsid w:val="0065383F"/>
    <w:rsid w:val="00653D2B"/>
    <w:rsid w:val="006540E3"/>
    <w:rsid w:val="0065437F"/>
    <w:rsid w:val="006549CC"/>
    <w:rsid w:val="006549FF"/>
    <w:rsid w:val="00654F72"/>
    <w:rsid w:val="00655B8A"/>
    <w:rsid w:val="006561DD"/>
    <w:rsid w:val="00656272"/>
    <w:rsid w:val="006568AA"/>
    <w:rsid w:val="0065710C"/>
    <w:rsid w:val="0065736C"/>
    <w:rsid w:val="0065757F"/>
    <w:rsid w:val="006575EB"/>
    <w:rsid w:val="00657762"/>
    <w:rsid w:val="00657D29"/>
    <w:rsid w:val="006601CF"/>
    <w:rsid w:val="006608F1"/>
    <w:rsid w:val="00660913"/>
    <w:rsid w:val="006609F4"/>
    <w:rsid w:val="00660CBE"/>
    <w:rsid w:val="00660E19"/>
    <w:rsid w:val="00660E88"/>
    <w:rsid w:val="00661028"/>
    <w:rsid w:val="00661919"/>
    <w:rsid w:val="006623D8"/>
    <w:rsid w:val="00662755"/>
    <w:rsid w:val="006628F2"/>
    <w:rsid w:val="00662B3F"/>
    <w:rsid w:val="00662DC4"/>
    <w:rsid w:val="0066339D"/>
    <w:rsid w:val="00663C93"/>
    <w:rsid w:val="00663DDE"/>
    <w:rsid w:val="00664070"/>
    <w:rsid w:val="00664193"/>
    <w:rsid w:val="00664C56"/>
    <w:rsid w:val="00664F1B"/>
    <w:rsid w:val="006656A6"/>
    <w:rsid w:val="006658C1"/>
    <w:rsid w:val="0066590B"/>
    <w:rsid w:val="00666942"/>
    <w:rsid w:val="00667080"/>
    <w:rsid w:val="006674F4"/>
    <w:rsid w:val="00667A91"/>
    <w:rsid w:val="00670394"/>
    <w:rsid w:val="00670A69"/>
    <w:rsid w:val="00670FB0"/>
    <w:rsid w:val="006716D4"/>
    <w:rsid w:val="00671F0D"/>
    <w:rsid w:val="00671F23"/>
    <w:rsid w:val="00672555"/>
    <w:rsid w:val="00672587"/>
    <w:rsid w:val="00672A0A"/>
    <w:rsid w:val="00672CA9"/>
    <w:rsid w:val="00672D73"/>
    <w:rsid w:val="00673203"/>
    <w:rsid w:val="00673584"/>
    <w:rsid w:val="00673C1F"/>
    <w:rsid w:val="00673DCD"/>
    <w:rsid w:val="00673E2C"/>
    <w:rsid w:val="0067422A"/>
    <w:rsid w:val="006743DD"/>
    <w:rsid w:val="00674663"/>
    <w:rsid w:val="00674AA1"/>
    <w:rsid w:val="00675361"/>
    <w:rsid w:val="006753DE"/>
    <w:rsid w:val="00675665"/>
    <w:rsid w:val="00675BF5"/>
    <w:rsid w:val="00675CF7"/>
    <w:rsid w:val="00676144"/>
    <w:rsid w:val="0067618F"/>
    <w:rsid w:val="00676AC0"/>
    <w:rsid w:val="00676B65"/>
    <w:rsid w:val="00677083"/>
    <w:rsid w:val="00677C32"/>
    <w:rsid w:val="00677D87"/>
    <w:rsid w:val="00677EBB"/>
    <w:rsid w:val="00680225"/>
    <w:rsid w:val="00680768"/>
    <w:rsid w:val="00680ADD"/>
    <w:rsid w:val="00681676"/>
    <w:rsid w:val="00681771"/>
    <w:rsid w:val="006819F6"/>
    <w:rsid w:val="00681C14"/>
    <w:rsid w:val="00681C98"/>
    <w:rsid w:val="00682632"/>
    <w:rsid w:val="00682D05"/>
    <w:rsid w:val="006836EF"/>
    <w:rsid w:val="00683A34"/>
    <w:rsid w:val="00683C4F"/>
    <w:rsid w:val="00683C59"/>
    <w:rsid w:val="0068416B"/>
    <w:rsid w:val="00684545"/>
    <w:rsid w:val="0068469F"/>
    <w:rsid w:val="00684970"/>
    <w:rsid w:val="0068585E"/>
    <w:rsid w:val="00685AA1"/>
    <w:rsid w:val="006864A2"/>
    <w:rsid w:val="006865FD"/>
    <w:rsid w:val="006874B9"/>
    <w:rsid w:val="006874E1"/>
    <w:rsid w:val="00687596"/>
    <w:rsid w:val="00687CE9"/>
    <w:rsid w:val="00687F97"/>
    <w:rsid w:val="0069024A"/>
    <w:rsid w:val="006903BE"/>
    <w:rsid w:val="00690421"/>
    <w:rsid w:val="006906E7"/>
    <w:rsid w:val="0069122D"/>
    <w:rsid w:val="0069136A"/>
    <w:rsid w:val="006915BB"/>
    <w:rsid w:val="0069161B"/>
    <w:rsid w:val="006916A8"/>
    <w:rsid w:val="00691785"/>
    <w:rsid w:val="00692105"/>
    <w:rsid w:val="0069220C"/>
    <w:rsid w:val="006922FC"/>
    <w:rsid w:val="00692354"/>
    <w:rsid w:val="00692B41"/>
    <w:rsid w:val="00692BED"/>
    <w:rsid w:val="006930FB"/>
    <w:rsid w:val="00693328"/>
    <w:rsid w:val="00693433"/>
    <w:rsid w:val="00693586"/>
    <w:rsid w:val="006937AC"/>
    <w:rsid w:val="00693BA5"/>
    <w:rsid w:val="00693BA9"/>
    <w:rsid w:val="0069408C"/>
    <w:rsid w:val="006947F0"/>
    <w:rsid w:val="00694F1C"/>
    <w:rsid w:val="006952CA"/>
    <w:rsid w:val="0069539A"/>
    <w:rsid w:val="0069550C"/>
    <w:rsid w:val="006958A8"/>
    <w:rsid w:val="00695B1F"/>
    <w:rsid w:val="00696BC9"/>
    <w:rsid w:val="00696BD3"/>
    <w:rsid w:val="00697416"/>
    <w:rsid w:val="00697858"/>
    <w:rsid w:val="0069795F"/>
    <w:rsid w:val="00697A5A"/>
    <w:rsid w:val="006A0F4C"/>
    <w:rsid w:val="006A1116"/>
    <w:rsid w:val="006A169B"/>
    <w:rsid w:val="006A1844"/>
    <w:rsid w:val="006A1FCD"/>
    <w:rsid w:val="006A20CA"/>
    <w:rsid w:val="006A2643"/>
    <w:rsid w:val="006A3362"/>
    <w:rsid w:val="006A3521"/>
    <w:rsid w:val="006A46EC"/>
    <w:rsid w:val="006A4CA8"/>
    <w:rsid w:val="006A4E44"/>
    <w:rsid w:val="006A5014"/>
    <w:rsid w:val="006A5823"/>
    <w:rsid w:val="006A6B18"/>
    <w:rsid w:val="006A73DE"/>
    <w:rsid w:val="006A77DD"/>
    <w:rsid w:val="006B0411"/>
    <w:rsid w:val="006B09E8"/>
    <w:rsid w:val="006B0A68"/>
    <w:rsid w:val="006B10BB"/>
    <w:rsid w:val="006B1342"/>
    <w:rsid w:val="006B16AA"/>
    <w:rsid w:val="006B1748"/>
    <w:rsid w:val="006B1BF6"/>
    <w:rsid w:val="006B1FC5"/>
    <w:rsid w:val="006B24C9"/>
    <w:rsid w:val="006B29D0"/>
    <w:rsid w:val="006B3579"/>
    <w:rsid w:val="006B3E22"/>
    <w:rsid w:val="006B415F"/>
    <w:rsid w:val="006B435D"/>
    <w:rsid w:val="006B4C7D"/>
    <w:rsid w:val="006B6461"/>
    <w:rsid w:val="006B6E77"/>
    <w:rsid w:val="006B7289"/>
    <w:rsid w:val="006B7B6F"/>
    <w:rsid w:val="006C0275"/>
    <w:rsid w:val="006C0A00"/>
    <w:rsid w:val="006C1494"/>
    <w:rsid w:val="006C1799"/>
    <w:rsid w:val="006C17A9"/>
    <w:rsid w:val="006C1F2B"/>
    <w:rsid w:val="006C202B"/>
    <w:rsid w:val="006C20DF"/>
    <w:rsid w:val="006C23D6"/>
    <w:rsid w:val="006C311E"/>
    <w:rsid w:val="006C3962"/>
    <w:rsid w:val="006C3A58"/>
    <w:rsid w:val="006C3E1F"/>
    <w:rsid w:val="006C3E4A"/>
    <w:rsid w:val="006C3ECB"/>
    <w:rsid w:val="006C443D"/>
    <w:rsid w:val="006C4809"/>
    <w:rsid w:val="006C4A90"/>
    <w:rsid w:val="006C4EEA"/>
    <w:rsid w:val="006C5D7F"/>
    <w:rsid w:val="006C600A"/>
    <w:rsid w:val="006C68ED"/>
    <w:rsid w:val="006C6A05"/>
    <w:rsid w:val="006C6B47"/>
    <w:rsid w:val="006C70A6"/>
    <w:rsid w:val="006C7343"/>
    <w:rsid w:val="006C7B39"/>
    <w:rsid w:val="006C7D99"/>
    <w:rsid w:val="006D1F97"/>
    <w:rsid w:val="006D2652"/>
    <w:rsid w:val="006D2EBF"/>
    <w:rsid w:val="006D3453"/>
    <w:rsid w:val="006D397A"/>
    <w:rsid w:val="006D3A34"/>
    <w:rsid w:val="006D3F52"/>
    <w:rsid w:val="006D4004"/>
    <w:rsid w:val="006D4168"/>
    <w:rsid w:val="006D4A4D"/>
    <w:rsid w:val="006D4C9C"/>
    <w:rsid w:val="006D59DB"/>
    <w:rsid w:val="006D5AF4"/>
    <w:rsid w:val="006D5B4F"/>
    <w:rsid w:val="006D653B"/>
    <w:rsid w:val="006D727E"/>
    <w:rsid w:val="006D757B"/>
    <w:rsid w:val="006D771B"/>
    <w:rsid w:val="006D7C53"/>
    <w:rsid w:val="006D7C6D"/>
    <w:rsid w:val="006D7C93"/>
    <w:rsid w:val="006E0266"/>
    <w:rsid w:val="006E0D35"/>
    <w:rsid w:val="006E164C"/>
    <w:rsid w:val="006E179F"/>
    <w:rsid w:val="006E2203"/>
    <w:rsid w:val="006E267C"/>
    <w:rsid w:val="006E2F5E"/>
    <w:rsid w:val="006E338A"/>
    <w:rsid w:val="006E3677"/>
    <w:rsid w:val="006E3AD4"/>
    <w:rsid w:val="006E3CE6"/>
    <w:rsid w:val="006E40F1"/>
    <w:rsid w:val="006E4CB1"/>
    <w:rsid w:val="006E4DEA"/>
    <w:rsid w:val="006E4E4C"/>
    <w:rsid w:val="006E4EFE"/>
    <w:rsid w:val="006E5653"/>
    <w:rsid w:val="006E608B"/>
    <w:rsid w:val="006E685E"/>
    <w:rsid w:val="006E6C37"/>
    <w:rsid w:val="006E6E38"/>
    <w:rsid w:val="006E7086"/>
    <w:rsid w:val="006E74A3"/>
    <w:rsid w:val="006E7F46"/>
    <w:rsid w:val="006E7FD9"/>
    <w:rsid w:val="006F02C9"/>
    <w:rsid w:val="006F0A12"/>
    <w:rsid w:val="006F1276"/>
    <w:rsid w:val="006F163F"/>
    <w:rsid w:val="006F1824"/>
    <w:rsid w:val="006F19C7"/>
    <w:rsid w:val="006F1A35"/>
    <w:rsid w:val="006F249B"/>
    <w:rsid w:val="006F2679"/>
    <w:rsid w:val="006F2761"/>
    <w:rsid w:val="006F2D2F"/>
    <w:rsid w:val="006F2F9D"/>
    <w:rsid w:val="006F3F33"/>
    <w:rsid w:val="006F410A"/>
    <w:rsid w:val="006F446D"/>
    <w:rsid w:val="006F4749"/>
    <w:rsid w:val="006F4D30"/>
    <w:rsid w:val="006F4DB8"/>
    <w:rsid w:val="006F5146"/>
    <w:rsid w:val="006F5389"/>
    <w:rsid w:val="006F5470"/>
    <w:rsid w:val="006F567D"/>
    <w:rsid w:val="006F5FF7"/>
    <w:rsid w:val="006F71AB"/>
    <w:rsid w:val="0070030A"/>
    <w:rsid w:val="00700942"/>
    <w:rsid w:val="0070128D"/>
    <w:rsid w:val="007014C3"/>
    <w:rsid w:val="00701838"/>
    <w:rsid w:val="00701973"/>
    <w:rsid w:val="007021C9"/>
    <w:rsid w:val="00702304"/>
    <w:rsid w:val="00702572"/>
    <w:rsid w:val="00702805"/>
    <w:rsid w:val="00702FE9"/>
    <w:rsid w:val="007034EB"/>
    <w:rsid w:val="00703BE2"/>
    <w:rsid w:val="007048F2"/>
    <w:rsid w:val="0070526A"/>
    <w:rsid w:val="007052BA"/>
    <w:rsid w:val="0070587C"/>
    <w:rsid w:val="00705B45"/>
    <w:rsid w:val="00705FBD"/>
    <w:rsid w:val="007064D8"/>
    <w:rsid w:val="00706D73"/>
    <w:rsid w:val="00707F52"/>
    <w:rsid w:val="0071069A"/>
    <w:rsid w:val="007112A6"/>
    <w:rsid w:val="00711C1C"/>
    <w:rsid w:val="00712124"/>
    <w:rsid w:val="007121AD"/>
    <w:rsid w:val="00712A31"/>
    <w:rsid w:val="00714C4B"/>
    <w:rsid w:val="0071529A"/>
    <w:rsid w:val="00715722"/>
    <w:rsid w:val="007160B7"/>
    <w:rsid w:val="0071655A"/>
    <w:rsid w:val="007165A4"/>
    <w:rsid w:val="00716939"/>
    <w:rsid w:val="0071735B"/>
    <w:rsid w:val="0071763D"/>
    <w:rsid w:val="00717BC5"/>
    <w:rsid w:val="00717C54"/>
    <w:rsid w:val="007204A8"/>
    <w:rsid w:val="00720650"/>
    <w:rsid w:val="007206F2"/>
    <w:rsid w:val="007207DF"/>
    <w:rsid w:val="00721516"/>
    <w:rsid w:val="0072169F"/>
    <w:rsid w:val="007228EF"/>
    <w:rsid w:val="0072294F"/>
    <w:rsid w:val="00722F83"/>
    <w:rsid w:val="0072327A"/>
    <w:rsid w:val="00723828"/>
    <w:rsid w:val="00723E55"/>
    <w:rsid w:val="007240CE"/>
    <w:rsid w:val="00724339"/>
    <w:rsid w:val="0072449F"/>
    <w:rsid w:val="00724943"/>
    <w:rsid w:val="0072594A"/>
    <w:rsid w:val="00725B48"/>
    <w:rsid w:val="00726136"/>
    <w:rsid w:val="00726A75"/>
    <w:rsid w:val="00726D03"/>
    <w:rsid w:val="00726D24"/>
    <w:rsid w:val="007276E8"/>
    <w:rsid w:val="00727DE2"/>
    <w:rsid w:val="00727F65"/>
    <w:rsid w:val="007303F7"/>
    <w:rsid w:val="00730421"/>
    <w:rsid w:val="00730869"/>
    <w:rsid w:val="00730B03"/>
    <w:rsid w:val="00730F2D"/>
    <w:rsid w:val="00730FA6"/>
    <w:rsid w:val="007312F0"/>
    <w:rsid w:val="0073140F"/>
    <w:rsid w:val="00731772"/>
    <w:rsid w:val="00731987"/>
    <w:rsid w:val="0073238D"/>
    <w:rsid w:val="00732A72"/>
    <w:rsid w:val="00732D2E"/>
    <w:rsid w:val="00733196"/>
    <w:rsid w:val="007331C0"/>
    <w:rsid w:val="007333AB"/>
    <w:rsid w:val="007337B0"/>
    <w:rsid w:val="00733FE2"/>
    <w:rsid w:val="007347A0"/>
    <w:rsid w:val="007348A9"/>
    <w:rsid w:val="00734CD6"/>
    <w:rsid w:val="0073509F"/>
    <w:rsid w:val="00735AF4"/>
    <w:rsid w:val="00735C4E"/>
    <w:rsid w:val="00735DF6"/>
    <w:rsid w:val="00736508"/>
    <w:rsid w:val="007367E2"/>
    <w:rsid w:val="007369A7"/>
    <w:rsid w:val="00736FF5"/>
    <w:rsid w:val="007373D4"/>
    <w:rsid w:val="007376D2"/>
    <w:rsid w:val="00737948"/>
    <w:rsid w:val="00737ABC"/>
    <w:rsid w:val="00737E61"/>
    <w:rsid w:val="007401A0"/>
    <w:rsid w:val="00740228"/>
    <w:rsid w:val="007402A5"/>
    <w:rsid w:val="007414D5"/>
    <w:rsid w:val="007416A0"/>
    <w:rsid w:val="0074188E"/>
    <w:rsid w:val="007422DE"/>
    <w:rsid w:val="007423A1"/>
    <w:rsid w:val="00742B77"/>
    <w:rsid w:val="007432B1"/>
    <w:rsid w:val="007434DA"/>
    <w:rsid w:val="0074364C"/>
    <w:rsid w:val="007439C3"/>
    <w:rsid w:val="00744122"/>
    <w:rsid w:val="00744618"/>
    <w:rsid w:val="007446B5"/>
    <w:rsid w:val="00744754"/>
    <w:rsid w:val="00744803"/>
    <w:rsid w:val="00744EB0"/>
    <w:rsid w:val="0074505D"/>
    <w:rsid w:val="0074527D"/>
    <w:rsid w:val="007452E2"/>
    <w:rsid w:val="007453A1"/>
    <w:rsid w:val="00745429"/>
    <w:rsid w:val="00745706"/>
    <w:rsid w:val="00745DF9"/>
    <w:rsid w:val="007461AD"/>
    <w:rsid w:val="0074623B"/>
    <w:rsid w:val="007463F0"/>
    <w:rsid w:val="00746661"/>
    <w:rsid w:val="007467C4"/>
    <w:rsid w:val="00746D3D"/>
    <w:rsid w:val="00746F6C"/>
    <w:rsid w:val="00747025"/>
    <w:rsid w:val="00747A55"/>
    <w:rsid w:val="007503C1"/>
    <w:rsid w:val="0075086B"/>
    <w:rsid w:val="007511CA"/>
    <w:rsid w:val="00751632"/>
    <w:rsid w:val="00751701"/>
    <w:rsid w:val="007519EE"/>
    <w:rsid w:val="00751B27"/>
    <w:rsid w:val="00751D21"/>
    <w:rsid w:val="00751F9A"/>
    <w:rsid w:val="007527F2"/>
    <w:rsid w:val="00752C1F"/>
    <w:rsid w:val="00752EA6"/>
    <w:rsid w:val="0075315C"/>
    <w:rsid w:val="00753F45"/>
    <w:rsid w:val="0075416E"/>
    <w:rsid w:val="007541A6"/>
    <w:rsid w:val="007544F5"/>
    <w:rsid w:val="007545DE"/>
    <w:rsid w:val="00754738"/>
    <w:rsid w:val="00754B04"/>
    <w:rsid w:val="00754CF2"/>
    <w:rsid w:val="00754F9D"/>
    <w:rsid w:val="00755654"/>
    <w:rsid w:val="00755A2E"/>
    <w:rsid w:val="00755B05"/>
    <w:rsid w:val="00755E1E"/>
    <w:rsid w:val="00755F11"/>
    <w:rsid w:val="00755F34"/>
    <w:rsid w:val="007562D4"/>
    <w:rsid w:val="00757747"/>
    <w:rsid w:val="007577D2"/>
    <w:rsid w:val="00757AD7"/>
    <w:rsid w:val="00757EE0"/>
    <w:rsid w:val="00760E7E"/>
    <w:rsid w:val="007611CF"/>
    <w:rsid w:val="00761319"/>
    <w:rsid w:val="00761BE7"/>
    <w:rsid w:val="00762738"/>
    <w:rsid w:val="007629C9"/>
    <w:rsid w:val="00763261"/>
    <w:rsid w:val="007633BB"/>
    <w:rsid w:val="00763B56"/>
    <w:rsid w:val="00763D8A"/>
    <w:rsid w:val="00763F2D"/>
    <w:rsid w:val="00763F86"/>
    <w:rsid w:val="0076440F"/>
    <w:rsid w:val="0076493D"/>
    <w:rsid w:val="0076556C"/>
    <w:rsid w:val="0076585E"/>
    <w:rsid w:val="00765D07"/>
    <w:rsid w:val="007662A5"/>
    <w:rsid w:val="0076644E"/>
    <w:rsid w:val="00767410"/>
    <w:rsid w:val="007674B3"/>
    <w:rsid w:val="00770332"/>
    <w:rsid w:val="007703C7"/>
    <w:rsid w:val="00770C88"/>
    <w:rsid w:val="0077100A"/>
    <w:rsid w:val="0077154B"/>
    <w:rsid w:val="00771902"/>
    <w:rsid w:val="00772C06"/>
    <w:rsid w:val="00773BC0"/>
    <w:rsid w:val="00774095"/>
    <w:rsid w:val="007745A0"/>
    <w:rsid w:val="00774B5C"/>
    <w:rsid w:val="00775172"/>
    <w:rsid w:val="007753FF"/>
    <w:rsid w:val="0077571E"/>
    <w:rsid w:val="00775758"/>
    <w:rsid w:val="007758E9"/>
    <w:rsid w:val="00775E0B"/>
    <w:rsid w:val="007770E1"/>
    <w:rsid w:val="0077797D"/>
    <w:rsid w:val="00777B78"/>
    <w:rsid w:val="00777F82"/>
    <w:rsid w:val="00780452"/>
    <w:rsid w:val="00781DA4"/>
    <w:rsid w:val="00781E89"/>
    <w:rsid w:val="00781FB0"/>
    <w:rsid w:val="007820D7"/>
    <w:rsid w:val="00782229"/>
    <w:rsid w:val="007828CC"/>
    <w:rsid w:val="00783213"/>
    <w:rsid w:val="00783413"/>
    <w:rsid w:val="0078346F"/>
    <w:rsid w:val="00783D31"/>
    <w:rsid w:val="00784532"/>
    <w:rsid w:val="007848A3"/>
    <w:rsid w:val="00784A62"/>
    <w:rsid w:val="00784AAC"/>
    <w:rsid w:val="00784C9E"/>
    <w:rsid w:val="00785231"/>
    <w:rsid w:val="00785455"/>
    <w:rsid w:val="0078554A"/>
    <w:rsid w:val="00785AFF"/>
    <w:rsid w:val="00786486"/>
    <w:rsid w:val="00787395"/>
    <w:rsid w:val="0078739B"/>
    <w:rsid w:val="00787BBA"/>
    <w:rsid w:val="00787DEE"/>
    <w:rsid w:val="00787E33"/>
    <w:rsid w:val="00787F51"/>
    <w:rsid w:val="00790FF4"/>
    <w:rsid w:val="0079116B"/>
    <w:rsid w:val="00791275"/>
    <w:rsid w:val="007913DD"/>
    <w:rsid w:val="00791454"/>
    <w:rsid w:val="00791835"/>
    <w:rsid w:val="00791E17"/>
    <w:rsid w:val="00791EF7"/>
    <w:rsid w:val="00792754"/>
    <w:rsid w:val="0079282D"/>
    <w:rsid w:val="00792D74"/>
    <w:rsid w:val="00792F0C"/>
    <w:rsid w:val="007936D7"/>
    <w:rsid w:val="00793A21"/>
    <w:rsid w:val="00794528"/>
    <w:rsid w:val="007946F8"/>
    <w:rsid w:val="0079474D"/>
    <w:rsid w:val="00794CAD"/>
    <w:rsid w:val="00794FE0"/>
    <w:rsid w:val="00795222"/>
    <w:rsid w:val="007958CC"/>
    <w:rsid w:val="00796F71"/>
    <w:rsid w:val="0079721F"/>
    <w:rsid w:val="007A0759"/>
    <w:rsid w:val="007A122F"/>
    <w:rsid w:val="007A1D3C"/>
    <w:rsid w:val="007A22C6"/>
    <w:rsid w:val="007A24A4"/>
    <w:rsid w:val="007A24A8"/>
    <w:rsid w:val="007A2B63"/>
    <w:rsid w:val="007A2D23"/>
    <w:rsid w:val="007A3532"/>
    <w:rsid w:val="007A375A"/>
    <w:rsid w:val="007A3A7F"/>
    <w:rsid w:val="007A3F62"/>
    <w:rsid w:val="007A42AB"/>
    <w:rsid w:val="007A4F84"/>
    <w:rsid w:val="007A513F"/>
    <w:rsid w:val="007A51FB"/>
    <w:rsid w:val="007A5E04"/>
    <w:rsid w:val="007A5E76"/>
    <w:rsid w:val="007A61FE"/>
    <w:rsid w:val="007A62FD"/>
    <w:rsid w:val="007A66E7"/>
    <w:rsid w:val="007A67FE"/>
    <w:rsid w:val="007A6B24"/>
    <w:rsid w:val="007A6B77"/>
    <w:rsid w:val="007A6D9D"/>
    <w:rsid w:val="007A7861"/>
    <w:rsid w:val="007A78A2"/>
    <w:rsid w:val="007B0359"/>
    <w:rsid w:val="007B0CC0"/>
    <w:rsid w:val="007B112E"/>
    <w:rsid w:val="007B1152"/>
    <w:rsid w:val="007B1197"/>
    <w:rsid w:val="007B175B"/>
    <w:rsid w:val="007B1A9B"/>
    <w:rsid w:val="007B1E43"/>
    <w:rsid w:val="007B1FAC"/>
    <w:rsid w:val="007B26B6"/>
    <w:rsid w:val="007B3533"/>
    <w:rsid w:val="007B50D0"/>
    <w:rsid w:val="007B5274"/>
    <w:rsid w:val="007B5305"/>
    <w:rsid w:val="007B544B"/>
    <w:rsid w:val="007B5609"/>
    <w:rsid w:val="007B56CB"/>
    <w:rsid w:val="007B59F8"/>
    <w:rsid w:val="007B69ED"/>
    <w:rsid w:val="007B6ED9"/>
    <w:rsid w:val="007B75E6"/>
    <w:rsid w:val="007B7BEB"/>
    <w:rsid w:val="007B7BFD"/>
    <w:rsid w:val="007B7E2B"/>
    <w:rsid w:val="007C0211"/>
    <w:rsid w:val="007C0264"/>
    <w:rsid w:val="007C130B"/>
    <w:rsid w:val="007C1565"/>
    <w:rsid w:val="007C1AC6"/>
    <w:rsid w:val="007C1C75"/>
    <w:rsid w:val="007C1E64"/>
    <w:rsid w:val="007C202F"/>
    <w:rsid w:val="007C2539"/>
    <w:rsid w:val="007C268F"/>
    <w:rsid w:val="007C2C9D"/>
    <w:rsid w:val="007C2E0D"/>
    <w:rsid w:val="007C3215"/>
    <w:rsid w:val="007C395C"/>
    <w:rsid w:val="007C48D1"/>
    <w:rsid w:val="007C4922"/>
    <w:rsid w:val="007C4ACA"/>
    <w:rsid w:val="007C4B5C"/>
    <w:rsid w:val="007C4D54"/>
    <w:rsid w:val="007C4D78"/>
    <w:rsid w:val="007C4E98"/>
    <w:rsid w:val="007C5124"/>
    <w:rsid w:val="007C53EE"/>
    <w:rsid w:val="007C61D4"/>
    <w:rsid w:val="007C6CD0"/>
    <w:rsid w:val="007C6FBE"/>
    <w:rsid w:val="007C7072"/>
    <w:rsid w:val="007C7E3E"/>
    <w:rsid w:val="007D0109"/>
    <w:rsid w:val="007D0851"/>
    <w:rsid w:val="007D0B9F"/>
    <w:rsid w:val="007D0F91"/>
    <w:rsid w:val="007D1220"/>
    <w:rsid w:val="007D1265"/>
    <w:rsid w:val="007D15EC"/>
    <w:rsid w:val="007D169D"/>
    <w:rsid w:val="007D1DFC"/>
    <w:rsid w:val="007D2297"/>
    <w:rsid w:val="007D2B5D"/>
    <w:rsid w:val="007D2BA8"/>
    <w:rsid w:val="007D2C39"/>
    <w:rsid w:val="007D2EDB"/>
    <w:rsid w:val="007D31BC"/>
    <w:rsid w:val="007D39CA"/>
    <w:rsid w:val="007D3B89"/>
    <w:rsid w:val="007D3C36"/>
    <w:rsid w:val="007D4640"/>
    <w:rsid w:val="007D478E"/>
    <w:rsid w:val="007D4C85"/>
    <w:rsid w:val="007D51E9"/>
    <w:rsid w:val="007D544F"/>
    <w:rsid w:val="007D5465"/>
    <w:rsid w:val="007D59B2"/>
    <w:rsid w:val="007D5AEF"/>
    <w:rsid w:val="007D616E"/>
    <w:rsid w:val="007D6500"/>
    <w:rsid w:val="007D6954"/>
    <w:rsid w:val="007D6B08"/>
    <w:rsid w:val="007D6C5F"/>
    <w:rsid w:val="007D6F6E"/>
    <w:rsid w:val="007D7023"/>
    <w:rsid w:val="007D74A3"/>
    <w:rsid w:val="007D75E3"/>
    <w:rsid w:val="007E05E5"/>
    <w:rsid w:val="007E05EE"/>
    <w:rsid w:val="007E0849"/>
    <w:rsid w:val="007E15BC"/>
    <w:rsid w:val="007E17A7"/>
    <w:rsid w:val="007E1936"/>
    <w:rsid w:val="007E1994"/>
    <w:rsid w:val="007E1F0E"/>
    <w:rsid w:val="007E2393"/>
    <w:rsid w:val="007E2879"/>
    <w:rsid w:val="007E2E29"/>
    <w:rsid w:val="007E2F74"/>
    <w:rsid w:val="007E30B3"/>
    <w:rsid w:val="007E30FB"/>
    <w:rsid w:val="007E31D6"/>
    <w:rsid w:val="007E32BC"/>
    <w:rsid w:val="007E36C1"/>
    <w:rsid w:val="007E375F"/>
    <w:rsid w:val="007E3F3E"/>
    <w:rsid w:val="007E4406"/>
    <w:rsid w:val="007E5882"/>
    <w:rsid w:val="007E5974"/>
    <w:rsid w:val="007E5A20"/>
    <w:rsid w:val="007E5BAE"/>
    <w:rsid w:val="007E5CA7"/>
    <w:rsid w:val="007E60DF"/>
    <w:rsid w:val="007E67A7"/>
    <w:rsid w:val="007E6B83"/>
    <w:rsid w:val="007E7350"/>
    <w:rsid w:val="007E754A"/>
    <w:rsid w:val="007E7915"/>
    <w:rsid w:val="007F0277"/>
    <w:rsid w:val="007F03A7"/>
    <w:rsid w:val="007F047D"/>
    <w:rsid w:val="007F0B7C"/>
    <w:rsid w:val="007F1192"/>
    <w:rsid w:val="007F1739"/>
    <w:rsid w:val="007F192A"/>
    <w:rsid w:val="007F193A"/>
    <w:rsid w:val="007F1B1E"/>
    <w:rsid w:val="007F26BB"/>
    <w:rsid w:val="007F2B39"/>
    <w:rsid w:val="007F363B"/>
    <w:rsid w:val="007F39DA"/>
    <w:rsid w:val="007F4349"/>
    <w:rsid w:val="007F43B6"/>
    <w:rsid w:val="007F444A"/>
    <w:rsid w:val="007F46AE"/>
    <w:rsid w:val="007F4C94"/>
    <w:rsid w:val="007F5111"/>
    <w:rsid w:val="007F5C46"/>
    <w:rsid w:val="007F5D46"/>
    <w:rsid w:val="007F5DDC"/>
    <w:rsid w:val="007F6693"/>
    <w:rsid w:val="007F67EA"/>
    <w:rsid w:val="007F6970"/>
    <w:rsid w:val="007F7082"/>
    <w:rsid w:val="007F74F7"/>
    <w:rsid w:val="0080004B"/>
    <w:rsid w:val="0080067B"/>
    <w:rsid w:val="0080148A"/>
    <w:rsid w:val="008014DE"/>
    <w:rsid w:val="00801734"/>
    <w:rsid w:val="00801ACA"/>
    <w:rsid w:val="00801B16"/>
    <w:rsid w:val="00801EAB"/>
    <w:rsid w:val="00801F22"/>
    <w:rsid w:val="00802066"/>
    <w:rsid w:val="00802377"/>
    <w:rsid w:val="00803149"/>
    <w:rsid w:val="00803843"/>
    <w:rsid w:val="00803B1C"/>
    <w:rsid w:val="00804737"/>
    <w:rsid w:val="00804A56"/>
    <w:rsid w:val="00804B96"/>
    <w:rsid w:val="00804F9F"/>
    <w:rsid w:val="008056DB"/>
    <w:rsid w:val="0080639D"/>
    <w:rsid w:val="00806B21"/>
    <w:rsid w:val="0080774B"/>
    <w:rsid w:val="00807938"/>
    <w:rsid w:val="00807A6B"/>
    <w:rsid w:val="00807F0C"/>
    <w:rsid w:val="00810245"/>
    <w:rsid w:val="008106AC"/>
    <w:rsid w:val="008107B2"/>
    <w:rsid w:val="0081293F"/>
    <w:rsid w:val="00812DBA"/>
    <w:rsid w:val="0081365E"/>
    <w:rsid w:val="00813EC4"/>
    <w:rsid w:val="008144A4"/>
    <w:rsid w:val="008149A0"/>
    <w:rsid w:val="00814D13"/>
    <w:rsid w:val="0081559B"/>
    <w:rsid w:val="008156A6"/>
    <w:rsid w:val="00815719"/>
    <w:rsid w:val="008157A2"/>
    <w:rsid w:val="0081580E"/>
    <w:rsid w:val="00815D6B"/>
    <w:rsid w:val="00815D6E"/>
    <w:rsid w:val="008160B0"/>
    <w:rsid w:val="00816F09"/>
    <w:rsid w:val="008179F7"/>
    <w:rsid w:val="00817AAA"/>
    <w:rsid w:val="00817B37"/>
    <w:rsid w:val="00817E89"/>
    <w:rsid w:val="00820569"/>
    <w:rsid w:val="00820AE7"/>
    <w:rsid w:val="00820C8F"/>
    <w:rsid w:val="00820EA5"/>
    <w:rsid w:val="00821582"/>
    <w:rsid w:val="00821775"/>
    <w:rsid w:val="00821EFD"/>
    <w:rsid w:val="00822B4B"/>
    <w:rsid w:val="0082377E"/>
    <w:rsid w:val="008242AC"/>
    <w:rsid w:val="00824E07"/>
    <w:rsid w:val="00825317"/>
    <w:rsid w:val="008253F3"/>
    <w:rsid w:val="008253FB"/>
    <w:rsid w:val="00825450"/>
    <w:rsid w:val="00825AD2"/>
    <w:rsid w:val="0082608D"/>
    <w:rsid w:val="0082620F"/>
    <w:rsid w:val="00826C14"/>
    <w:rsid w:val="00826DEB"/>
    <w:rsid w:val="00827B39"/>
    <w:rsid w:val="00830281"/>
    <w:rsid w:val="008304ED"/>
    <w:rsid w:val="00830594"/>
    <w:rsid w:val="0083107D"/>
    <w:rsid w:val="00831099"/>
    <w:rsid w:val="008311BE"/>
    <w:rsid w:val="00831993"/>
    <w:rsid w:val="008319D7"/>
    <w:rsid w:val="0083257C"/>
    <w:rsid w:val="00832A14"/>
    <w:rsid w:val="00832DEC"/>
    <w:rsid w:val="008335DB"/>
    <w:rsid w:val="0083393B"/>
    <w:rsid w:val="00834432"/>
    <w:rsid w:val="00834ECB"/>
    <w:rsid w:val="00835435"/>
    <w:rsid w:val="008361E7"/>
    <w:rsid w:val="00836F30"/>
    <w:rsid w:val="008370BE"/>
    <w:rsid w:val="008371A8"/>
    <w:rsid w:val="008378EE"/>
    <w:rsid w:val="00837E41"/>
    <w:rsid w:val="008400B2"/>
    <w:rsid w:val="0084019A"/>
    <w:rsid w:val="0084044A"/>
    <w:rsid w:val="00840881"/>
    <w:rsid w:val="00840A9D"/>
    <w:rsid w:val="0084107D"/>
    <w:rsid w:val="0084137A"/>
    <w:rsid w:val="0084140A"/>
    <w:rsid w:val="00841A13"/>
    <w:rsid w:val="00842051"/>
    <w:rsid w:val="0084294F"/>
    <w:rsid w:val="00843389"/>
    <w:rsid w:val="0084369D"/>
    <w:rsid w:val="00843898"/>
    <w:rsid w:val="00844300"/>
    <w:rsid w:val="008445E8"/>
    <w:rsid w:val="00844A04"/>
    <w:rsid w:val="00844A7A"/>
    <w:rsid w:val="008452B7"/>
    <w:rsid w:val="008456D8"/>
    <w:rsid w:val="00845DCB"/>
    <w:rsid w:val="00846364"/>
    <w:rsid w:val="00846774"/>
    <w:rsid w:val="00846940"/>
    <w:rsid w:val="00846E14"/>
    <w:rsid w:val="00846FAF"/>
    <w:rsid w:val="00847282"/>
    <w:rsid w:val="00847DFC"/>
    <w:rsid w:val="00847FB2"/>
    <w:rsid w:val="0085040C"/>
    <w:rsid w:val="00850833"/>
    <w:rsid w:val="00850B63"/>
    <w:rsid w:val="008510F2"/>
    <w:rsid w:val="008513C1"/>
    <w:rsid w:val="00852B1B"/>
    <w:rsid w:val="008530CD"/>
    <w:rsid w:val="008533CE"/>
    <w:rsid w:val="008539A0"/>
    <w:rsid w:val="00854648"/>
    <w:rsid w:val="0085482A"/>
    <w:rsid w:val="00854A82"/>
    <w:rsid w:val="00854B53"/>
    <w:rsid w:val="00856BD5"/>
    <w:rsid w:val="0085729D"/>
    <w:rsid w:val="00857748"/>
    <w:rsid w:val="008577BF"/>
    <w:rsid w:val="00857B31"/>
    <w:rsid w:val="0086031C"/>
    <w:rsid w:val="008605C2"/>
    <w:rsid w:val="00860642"/>
    <w:rsid w:val="008608C2"/>
    <w:rsid w:val="00860B10"/>
    <w:rsid w:val="0086139B"/>
    <w:rsid w:val="0086275D"/>
    <w:rsid w:val="0086280C"/>
    <w:rsid w:val="00863019"/>
    <w:rsid w:val="00864316"/>
    <w:rsid w:val="00864892"/>
    <w:rsid w:val="00864ECD"/>
    <w:rsid w:val="00865258"/>
    <w:rsid w:val="008656BD"/>
    <w:rsid w:val="008657C3"/>
    <w:rsid w:val="00865B29"/>
    <w:rsid w:val="00865FB5"/>
    <w:rsid w:val="00866C8F"/>
    <w:rsid w:val="00866CFE"/>
    <w:rsid w:val="00866EED"/>
    <w:rsid w:val="00867577"/>
    <w:rsid w:val="00867A0A"/>
    <w:rsid w:val="00867AC7"/>
    <w:rsid w:val="00867AE5"/>
    <w:rsid w:val="008706FD"/>
    <w:rsid w:val="00870B92"/>
    <w:rsid w:val="00870EBC"/>
    <w:rsid w:val="00871601"/>
    <w:rsid w:val="0087179D"/>
    <w:rsid w:val="00871B16"/>
    <w:rsid w:val="00871D48"/>
    <w:rsid w:val="00871F27"/>
    <w:rsid w:val="008725E9"/>
    <w:rsid w:val="00872A53"/>
    <w:rsid w:val="008743D0"/>
    <w:rsid w:val="008745E3"/>
    <w:rsid w:val="0087473C"/>
    <w:rsid w:val="00874D56"/>
    <w:rsid w:val="00875F96"/>
    <w:rsid w:val="0087612F"/>
    <w:rsid w:val="0087626D"/>
    <w:rsid w:val="00876A69"/>
    <w:rsid w:val="00876DA7"/>
    <w:rsid w:val="008771B4"/>
    <w:rsid w:val="00877502"/>
    <w:rsid w:val="008776DE"/>
    <w:rsid w:val="0087798E"/>
    <w:rsid w:val="00877BB3"/>
    <w:rsid w:val="00877E0A"/>
    <w:rsid w:val="008805DE"/>
    <w:rsid w:val="008806C7"/>
    <w:rsid w:val="0088109D"/>
    <w:rsid w:val="008810FE"/>
    <w:rsid w:val="00881271"/>
    <w:rsid w:val="008812F9"/>
    <w:rsid w:val="00881354"/>
    <w:rsid w:val="0088152C"/>
    <w:rsid w:val="00881D59"/>
    <w:rsid w:val="00881EC3"/>
    <w:rsid w:val="008823C7"/>
    <w:rsid w:val="00883372"/>
    <w:rsid w:val="00883D60"/>
    <w:rsid w:val="00883F1F"/>
    <w:rsid w:val="008848F3"/>
    <w:rsid w:val="00884B91"/>
    <w:rsid w:val="00884D83"/>
    <w:rsid w:val="0088518B"/>
    <w:rsid w:val="00885620"/>
    <w:rsid w:val="00885625"/>
    <w:rsid w:val="0088597E"/>
    <w:rsid w:val="008859E7"/>
    <w:rsid w:val="00885F32"/>
    <w:rsid w:val="00886279"/>
    <w:rsid w:val="0088636D"/>
    <w:rsid w:val="00886724"/>
    <w:rsid w:val="0088696F"/>
    <w:rsid w:val="00886A5C"/>
    <w:rsid w:val="00886B5D"/>
    <w:rsid w:val="00886F8C"/>
    <w:rsid w:val="0088711B"/>
    <w:rsid w:val="0088774B"/>
    <w:rsid w:val="00887B42"/>
    <w:rsid w:val="00887E8A"/>
    <w:rsid w:val="00890262"/>
    <w:rsid w:val="00890656"/>
    <w:rsid w:val="00891438"/>
    <w:rsid w:val="008925F3"/>
    <w:rsid w:val="008928DF"/>
    <w:rsid w:val="00892B99"/>
    <w:rsid w:val="00893C5B"/>
    <w:rsid w:val="00894557"/>
    <w:rsid w:val="00894E3B"/>
    <w:rsid w:val="00895361"/>
    <w:rsid w:val="00896029"/>
    <w:rsid w:val="008961A9"/>
    <w:rsid w:val="00897095"/>
    <w:rsid w:val="00897543"/>
    <w:rsid w:val="00897C7F"/>
    <w:rsid w:val="008A0E03"/>
    <w:rsid w:val="008A1736"/>
    <w:rsid w:val="008A1B56"/>
    <w:rsid w:val="008A25AD"/>
    <w:rsid w:val="008A2643"/>
    <w:rsid w:val="008A2A4B"/>
    <w:rsid w:val="008A2C5F"/>
    <w:rsid w:val="008A3390"/>
    <w:rsid w:val="008A33E2"/>
    <w:rsid w:val="008A342F"/>
    <w:rsid w:val="008A3740"/>
    <w:rsid w:val="008A3D7E"/>
    <w:rsid w:val="008A3F1F"/>
    <w:rsid w:val="008A3FF3"/>
    <w:rsid w:val="008A4294"/>
    <w:rsid w:val="008A4663"/>
    <w:rsid w:val="008A4B16"/>
    <w:rsid w:val="008A4CFE"/>
    <w:rsid w:val="008A4DE0"/>
    <w:rsid w:val="008A4FAE"/>
    <w:rsid w:val="008A502F"/>
    <w:rsid w:val="008A538C"/>
    <w:rsid w:val="008A5A51"/>
    <w:rsid w:val="008A5EDC"/>
    <w:rsid w:val="008A6653"/>
    <w:rsid w:val="008A6880"/>
    <w:rsid w:val="008A69AA"/>
    <w:rsid w:val="008A6A32"/>
    <w:rsid w:val="008A6B1F"/>
    <w:rsid w:val="008A6D1C"/>
    <w:rsid w:val="008A7D06"/>
    <w:rsid w:val="008B0E6D"/>
    <w:rsid w:val="008B0FE8"/>
    <w:rsid w:val="008B105F"/>
    <w:rsid w:val="008B178B"/>
    <w:rsid w:val="008B17D7"/>
    <w:rsid w:val="008B1AD0"/>
    <w:rsid w:val="008B2468"/>
    <w:rsid w:val="008B2995"/>
    <w:rsid w:val="008B37F7"/>
    <w:rsid w:val="008B3A21"/>
    <w:rsid w:val="008B3F62"/>
    <w:rsid w:val="008B4251"/>
    <w:rsid w:val="008B4455"/>
    <w:rsid w:val="008B4EA1"/>
    <w:rsid w:val="008B5C28"/>
    <w:rsid w:val="008B668F"/>
    <w:rsid w:val="008B680B"/>
    <w:rsid w:val="008B6E60"/>
    <w:rsid w:val="008B6F3D"/>
    <w:rsid w:val="008B7749"/>
    <w:rsid w:val="008B7793"/>
    <w:rsid w:val="008B7A2C"/>
    <w:rsid w:val="008C0C14"/>
    <w:rsid w:val="008C1064"/>
    <w:rsid w:val="008C184D"/>
    <w:rsid w:val="008C197E"/>
    <w:rsid w:val="008C21E7"/>
    <w:rsid w:val="008C2865"/>
    <w:rsid w:val="008C29BA"/>
    <w:rsid w:val="008C2AAD"/>
    <w:rsid w:val="008C34C8"/>
    <w:rsid w:val="008C3B79"/>
    <w:rsid w:val="008C4071"/>
    <w:rsid w:val="008C497C"/>
    <w:rsid w:val="008C56E1"/>
    <w:rsid w:val="008C5869"/>
    <w:rsid w:val="008C59D0"/>
    <w:rsid w:val="008C6229"/>
    <w:rsid w:val="008C6B29"/>
    <w:rsid w:val="008C6D01"/>
    <w:rsid w:val="008C6DA3"/>
    <w:rsid w:val="008C7427"/>
    <w:rsid w:val="008C76AC"/>
    <w:rsid w:val="008C7B90"/>
    <w:rsid w:val="008D01CE"/>
    <w:rsid w:val="008D0422"/>
    <w:rsid w:val="008D06EF"/>
    <w:rsid w:val="008D0ECB"/>
    <w:rsid w:val="008D0FE0"/>
    <w:rsid w:val="008D1E2B"/>
    <w:rsid w:val="008D2006"/>
    <w:rsid w:val="008D20DB"/>
    <w:rsid w:val="008D3C34"/>
    <w:rsid w:val="008D3CA1"/>
    <w:rsid w:val="008D3EF8"/>
    <w:rsid w:val="008D4189"/>
    <w:rsid w:val="008D429E"/>
    <w:rsid w:val="008D4468"/>
    <w:rsid w:val="008D45DE"/>
    <w:rsid w:val="008D4A72"/>
    <w:rsid w:val="008D5235"/>
    <w:rsid w:val="008D5B16"/>
    <w:rsid w:val="008D64DE"/>
    <w:rsid w:val="008D64F8"/>
    <w:rsid w:val="008D6A27"/>
    <w:rsid w:val="008D71E5"/>
    <w:rsid w:val="008D720A"/>
    <w:rsid w:val="008D73A3"/>
    <w:rsid w:val="008D73E1"/>
    <w:rsid w:val="008D7732"/>
    <w:rsid w:val="008D7B9B"/>
    <w:rsid w:val="008D7F93"/>
    <w:rsid w:val="008D7FDF"/>
    <w:rsid w:val="008E09E1"/>
    <w:rsid w:val="008E0E07"/>
    <w:rsid w:val="008E0FFD"/>
    <w:rsid w:val="008E12D6"/>
    <w:rsid w:val="008E181E"/>
    <w:rsid w:val="008E1B0D"/>
    <w:rsid w:val="008E1B93"/>
    <w:rsid w:val="008E2BE6"/>
    <w:rsid w:val="008E2CFF"/>
    <w:rsid w:val="008E328A"/>
    <w:rsid w:val="008E32F6"/>
    <w:rsid w:val="008E39A5"/>
    <w:rsid w:val="008E3DDF"/>
    <w:rsid w:val="008E45DE"/>
    <w:rsid w:val="008E4A2F"/>
    <w:rsid w:val="008E50C5"/>
    <w:rsid w:val="008E53AA"/>
    <w:rsid w:val="008E5907"/>
    <w:rsid w:val="008E6905"/>
    <w:rsid w:val="008E6E41"/>
    <w:rsid w:val="008E71E6"/>
    <w:rsid w:val="008E7225"/>
    <w:rsid w:val="008F0017"/>
    <w:rsid w:val="008F01D0"/>
    <w:rsid w:val="008F02D4"/>
    <w:rsid w:val="008F0539"/>
    <w:rsid w:val="008F0ED3"/>
    <w:rsid w:val="008F1209"/>
    <w:rsid w:val="008F12FE"/>
    <w:rsid w:val="008F170B"/>
    <w:rsid w:val="008F1B96"/>
    <w:rsid w:val="008F2211"/>
    <w:rsid w:val="008F24D6"/>
    <w:rsid w:val="008F2651"/>
    <w:rsid w:val="008F26C9"/>
    <w:rsid w:val="008F283B"/>
    <w:rsid w:val="008F347E"/>
    <w:rsid w:val="008F35DA"/>
    <w:rsid w:val="008F39F7"/>
    <w:rsid w:val="008F3B13"/>
    <w:rsid w:val="008F43FC"/>
    <w:rsid w:val="008F49A1"/>
    <w:rsid w:val="008F4A9B"/>
    <w:rsid w:val="008F545B"/>
    <w:rsid w:val="008F55F8"/>
    <w:rsid w:val="008F594D"/>
    <w:rsid w:val="008F5E6C"/>
    <w:rsid w:val="008F6293"/>
    <w:rsid w:val="008F67B5"/>
    <w:rsid w:val="008F6E9B"/>
    <w:rsid w:val="008F6EAE"/>
    <w:rsid w:val="008F6F04"/>
    <w:rsid w:val="008F6F1E"/>
    <w:rsid w:val="008F7300"/>
    <w:rsid w:val="008F772E"/>
    <w:rsid w:val="009004C9"/>
    <w:rsid w:val="009005E0"/>
    <w:rsid w:val="0090072A"/>
    <w:rsid w:val="00900757"/>
    <w:rsid w:val="00900A54"/>
    <w:rsid w:val="00901856"/>
    <w:rsid w:val="00901E5F"/>
    <w:rsid w:val="009020BF"/>
    <w:rsid w:val="00902892"/>
    <w:rsid w:val="00903619"/>
    <w:rsid w:val="0090433F"/>
    <w:rsid w:val="00904478"/>
    <w:rsid w:val="00904617"/>
    <w:rsid w:val="00904728"/>
    <w:rsid w:val="00904B4D"/>
    <w:rsid w:val="009051BF"/>
    <w:rsid w:val="009056ED"/>
    <w:rsid w:val="0090575E"/>
    <w:rsid w:val="00905A7D"/>
    <w:rsid w:val="00905A9D"/>
    <w:rsid w:val="00905C06"/>
    <w:rsid w:val="00906739"/>
    <w:rsid w:val="00906AD2"/>
    <w:rsid w:val="00906B3A"/>
    <w:rsid w:val="0090749B"/>
    <w:rsid w:val="009079D9"/>
    <w:rsid w:val="00907DB4"/>
    <w:rsid w:val="00907FD2"/>
    <w:rsid w:val="00910020"/>
    <w:rsid w:val="009101FE"/>
    <w:rsid w:val="00910208"/>
    <w:rsid w:val="009102B9"/>
    <w:rsid w:val="00910914"/>
    <w:rsid w:val="00911285"/>
    <w:rsid w:val="00911500"/>
    <w:rsid w:val="00911531"/>
    <w:rsid w:val="0091277C"/>
    <w:rsid w:val="009127EB"/>
    <w:rsid w:val="0091316F"/>
    <w:rsid w:val="00913770"/>
    <w:rsid w:val="00914336"/>
    <w:rsid w:val="009147D1"/>
    <w:rsid w:val="00914A31"/>
    <w:rsid w:val="00915F4B"/>
    <w:rsid w:val="0091654E"/>
    <w:rsid w:val="009165BA"/>
    <w:rsid w:val="009166EE"/>
    <w:rsid w:val="0091673F"/>
    <w:rsid w:val="00916755"/>
    <w:rsid w:val="0091687E"/>
    <w:rsid w:val="00916FF2"/>
    <w:rsid w:val="009171FD"/>
    <w:rsid w:val="009172E9"/>
    <w:rsid w:val="009175C4"/>
    <w:rsid w:val="00917AE6"/>
    <w:rsid w:val="00917E02"/>
    <w:rsid w:val="00920871"/>
    <w:rsid w:val="00920893"/>
    <w:rsid w:val="00920EED"/>
    <w:rsid w:val="00921696"/>
    <w:rsid w:val="009216A8"/>
    <w:rsid w:val="0092173A"/>
    <w:rsid w:val="00921DC1"/>
    <w:rsid w:val="00921E0B"/>
    <w:rsid w:val="00922276"/>
    <w:rsid w:val="009222AA"/>
    <w:rsid w:val="00922BC2"/>
    <w:rsid w:val="0092330E"/>
    <w:rsid w:val="00923F44"/>
    <w:rsid w:val="009246B9"/>
    <w:rsid w:val="009249DE"/>
    <w:rsid w:val="00924CB6"/>
    <w:rsid w:val="009251DA"/>
    <w:rsid w:val="0092538A"/>
    <w:rsid w:val="009255A1"/>
    <w:rsid w:val="00925A3D"/>
    <w:rsid w:val="00926353"/>
    <w:rsid w:val="009267E7"/>
    <w:rsid w:val="00926B3A"/>
    <w:rsid w:val="00926C20"/>
    <w:rsid w:val="009271EA"/>
    <w:rsid w:val="0092778D"/>
    <w:rsid w:val="00927E27"/>
    <w:rsid w:val="009300EE"/>
    <w:rsid w:val="00930197"/>
    <w:rsid w:val="009302F5"/>
    <w:rsid w:val="009303A0"/>
    <w:rsid w:val="00930D88"/>
    <w:rsid w:val="00930F7D"/>
    <w:rsid w:val="00931B79"/>
    <w:rsid w:val="00931BB8"/>
    <w:rsid w:val="00932080"/>
    <w:rsid w:val="009328D6"/>
    <w:rsid w:val="00932A9C"/>
    <w:rsid w:val="0093301E"/>
    <w:rsid w:val="0093363A"/>
    <w:rsid w:val="00933CF4"/>
    <w:rsid w:val="00933DBD"/>
    <w:rsid w:val="009340BA"/>
    <w:rsid w:val="009345C5"/>
    <w:rsid w:val="009346FC"/>
    <w:rsid w:val="009352C0"/>
    <w:rsid w:val="00935A4B"/>
    <w:rsid w:val="00935E82"/>
    <w:rsid w:val="00936351"/>
    <w:rsid w:val="00936535"/>
    <w:rsid w:val="00936658"/>
    <w:rsid w:val="0093689F"/>
    <w:rsid w:val="00937E99"/>
    <w:rsid w:val="00940287"/>
    <w:rsid w:val="00940499"/>
    <w:rsid w:val="009405BD"/>
    <w:rsid w:val="009406E6"/>
    <w:rsid w:val="009408DA"/>
    <w:rsid w:val="00940CFC"/>
    <w:rsid w:val="00941486"/>
    <w:rsid w:val="00941488"/>
    <w:rsid w:val="009415C3"/>
    <w:rsid w:val="00941705"/>
    <w:rsid w:val="00941FC1"/>
    <w:rsid w:val="00942001"/>
    <w:rsid w:val="0094231C"/>
    <w:rsid w:val="0094235C"/>
    <w:rsid w:val="00942626"/>
    <w:rsid w:val="00942AD3"/>
    <w:rsid w:val="0094345F"/>
    <w:rsid w:val="009434A5"/>
    <w:rsid w:val="00943699"/>
    <w:rsid w:val="00943868"/>
    <w:rsid w:val="00943C8B"/>
    <w:rsid w:val="00944180"/>
    <w:rsid w:val="009447B1"/>
    <w:rsid w:val="00945023"/>
    <w:rsid w:val="009457AB"/>
    <w:rsid w:val="009457D5"/>
    <w:rsid w:val="00945C29"/>
    <w:rsid w:val="00945CE5"/>
    <w:rsid w:val="00946095"/>
    <w:rsid w:val="009465F9"/>
    <w:rsid w:val="00946650"/>
    <w:rsid w:val="009467E9"/>
    <w:rsid w:val="0094773F"/>
    <w:rsid w:val="009478EE"/>
    <w:rsid w:val="00947D68"/>
    <w:rsid w:val="0095002B"/>
    <w:rsid w:val="009500E4"/>
    <w:rsid w:val="009500FB"/>
    <w:rsid w:val="00950B7A"/>
    <w:rsid w:val="00950F48"/>
    <w:rsid w:val="00950FB5"/>
    <w:rsid w:val="0095122E"/>
    <w:rsid w:val="0095269D"/>
    <w:rsid w:val="009526DA"/>
    <w:rsid w:val="0095281B"/>
    <w:rsid w:val="009534D2"/>
    <w:rsid w:val="0095362A"/>
    <w:rsid w:val="00953B5E"/>
    <w:rsid w:val="0095408C"/>
    <w:rsid w:val="00954823"/>
    <w:rsid w:val="0095493D"/>
    <w:rsid w:val="0095528C"/>
    <w:rsid w:val="009554B8"/>
    <w:rsid w:val="00955761"/>
    <w:rsid w:val="00955925"/>
    <w:rsid w:val="00955E43"/>
    <w:rsid w:val="009563CC"/>
    <w:rsid w:val="00956E11"/>
    <w:rsid w:val="009573DE"/>
    <w:rsid w:val="009575A2"/>
    <w:rsid w:val="00957EFB"/>
    <w:rsid w:val="0096010B"/>
    <w:rsid w:val="00960E20"/>
    <w:rsid w:val="00960E9F"/>
    <w:rsid w:val="00961325"/>
    <w:rsid w:val="0096185B"/>
    <w:rsid w:val="00961CAF"/>
    <w:rsid w:val="00962029"/>
    <w:rsid w:val="009625B2"/>
    <w:rsid w:val="0096328B"/>
    <w:rsid w:val="009632D0"/>
    <w:rsid w:val="0096339F"/>
    <w:rsid w:val="00963A4D"/>
    <w:rsid w:val="00963AB2"/>
    <w:rsid w:val="00963DBE"/>
    <w:rsid w:val="00963E03"/>
    <w:rsid w:val="00963F71"/>
    <w:rsid w:val="00964102"/>
    <w:rsid w:val="0096454D"/>
    <w:rsid w:val="00964BB4"/>
    <w:rsid w:val="00964E54"/>
    <w:rsid w:val="00964E68"/>
    <w:rsid w:val="0096507B"/>
    <w:rsid w:val="00965101"/>
    <w:rsid w:val="00965421"/>
    <w:rsid w:val="009654EB"/>
    <w:rsid w:val="00966565"/>
    <w:rsid w:val="00966BD4"/>
    <w:rsid w:val="009676EB"/>
    <w:rsid w:val="009679E7"/>
    <w:rsid w:val="00967AF6"/>
    <w:rsid w:val="00967E92"/>
    <w:rsid w:val="00967FDD"/>
    <w:rsid w:val="009709D9"/>
    <w:rsid w:val="00970A83"/>
    <w:rsid w:val="00970CCE"/>
    <w:rsid w:val="00971351"/>
    <w:rsid w:val="009714E6"/>
    <w:rsid w:val="0097158F"/>
    <w:rsid w:val="00971BC5"/>
    <w:rsid w:val="00971EAF"/>
    <w:rsid w:val="00971EF2"/>
    <w:rsid w:val="009727EE"/>
    <w:rsid w:val="00972820"/>
    <w:rsid w:val="00972ADD"/>
    <w:rsid w:val="00972C72"/>
    <w:rsid w:val="00973199"/>
    <w:rsid w:val="00973753"/>
    <w:rsid w:val="00973DEE"/>
    <w:rsid w:val="0097433E"/>
    <w:rsid w:val="0097472F"/>
    <w:rsid w:val="00974B4E"/>
    <w:rsid w:val="00974BC3"/>
    <w:rsid w:val="00975470"/>
    <w:rsid w:val="009758B2"/>
    <w:rsid w:val="0097637A"/>
    <w:rsid w:val="00976642"/>
    <w:rsid w:val="009770FB"/>
    <w:rsid w:val="00977632"/>
    <w:rsid w:val="00977C58"/>
    <w:rsid w:val="009803A6"/>
    <w:rsid w:val="009804F5"/>
    <w:rsid w:val="009809E3"/>
    <w:rsid w:val="00980DCF"/>
    <w:rsid w:val="00980F26"/>
    <w:rsid w:val="009811BF"/>
    <w:rsid w:val="009815AE"/>
    <w:rsid w:val="00981942"/>
    <w:rsid w:val="00981B28"/>
    <w:rsid w:val="00981FB0"/>
    <w:rsid w:val="00981FC4"/>
    <w:rsid w:val="00982281"/>
    <w:rsid w:val="00982844"/>
    <w:rsid w:val="009828ED"/>
    <w:rsid w:val="009829BE"/>
    <w:rsid w:val="00983AE3"/>
    <w:rsid w:val="009849F9"/>
    <w:rsid w:val="0098629D"/>
    <w:rsid w:val="00986314"/>
    <w:rsid w:val="00986F14"/>
    <w:rsid w:val="00987349"/>
    <w:rsid w:val="00990831"/>
    <w:rsid w:val="00990918"/>
    <w:rsid w:val="00990C5F"/>
    <w:rsid w:val="00990E7F"/>
    <w:rsid w:val="009910DB"/>
    <w:rsid w:val="00991256"/>
    <w:rsid w:val="00991A7B"/>
    <w:rsid w:val="00991CA8"/>
    <w:rsid w:val="00991E60"/>
    <w:rsid w:val="00992622"/>
    <w:rsid w:val="00993676"/>
    <w:rsid w:val="00993C0D"/>
    <w:rsid w:val="00993FFB"/>
    <w:rsid w:val="009942A5"/>
    <w:rsid w:val="00994653"/>
    <w:rsid w:val="00994E1F"/>
    <w:rsid w:val="00995893"/>
    <w:rsid w:val="009959B0"/>
    <w:rsid w:val="00995A70"/>
    <w:rsid w:val="00995D10"/>
    <w:rsid w:val="0099662F"/>
    <w:rsid w:val="00996975"/>
    <w:rsid w:val="00996EE2"/>
    <w:rsid w:val="00996EF7"/>
    <w:rsid w:val="00996EFF"/>
    <w:rsid w:val="00997029"/>
    <w:rsid w:val="009978F7"/>
    <w:rsid w:val="00997AEE"/>
    <w:rsid w:val="009A00C7"/>
    <w:rsid w:val="009A01D2"/>
    <w:rsid w:val="009A0690"/>
    <w:rsid w:val="009A07C8"/>
    <w:rsid w:val="009A09CE"/>
    <w:rsid w:val="009A12B0"/>
    <w:rsid w:val="009A12BC"/>
    <w:rsid w:val="009A1757"/>
    <w:rsid w:val="009A2A3F"/>
    <w:rsid w:val="009A3148"/>
    <w:rsid w:val="009A3244"/>
    <w:rsid w:val="009A3681"/>
    <w:rsid w:val="009A3C09"/>
    <w:rsid w:val="009A4060"/>
    <w:rsid w:val="009A47CD"/>
    <w:rsid w:val="009A5048"/>
    <w:rsid w:val="009A53AC"/>
    <w:rsid w:val="009A553C"/>
    <w:rsid w:val="009A553E"/>
    <w:rsid w:val="009A58D1"/>
    <w:rsid w:val="009A5B16"/>
    <w:rsid w:val="009A6383"/>
    <w:rsid w:val="009A6A4C"/>
    <w:rsid w:val="009A6CBF"/>
    <w:rsid w:val="009A730A"/>
    <w:rsid w:val="009A7913"/>
    <w:rsid w:val="009A7D88"/>
    <w:rsid w:val="009A7DCC"/>
    <w:rsid w:val="009B1CD2"/>
    <w:rsid w:val="009B27F7"/>
    <w:rsid w:val="009B2CFA"/>
    <w:rsid w:val="009B30F3"/>
    <w:rsid w:val="009B374F"/>
    <w:rsid w:val="009B382F"/>
    <w:rsid w:val="009B3E2D"/>
    <w:rsid w:val="009B41CC"/>
    <w:rsid w:val="009B4DF1"/>
    <w:rsid w:val="009B4EF1"/>
    <w:rsid w:val="009B54F0"/>
    <w:rsid w:val="009B5875"/>
    <w:rsid w:val="009B5A3C"/>
    <w:rsid w:val="009B5EB0"/>
    <w:rsid w:val="009B5F91"/>
    <w:rsid w:val="009B6F08"/>
    <w:rsid w:val="009B7264"/>
    <w:rsid w:val="009B7326"/>
    <w:rsid w:val="009B75E2"/>
    <w:rsid w:val="009B7F46"/>
    <w:rsid w:val="009C024E"/>
    <w:rsid w:val="009C03C2"/>
    <w:rsid w:val="009C0598"/>
    <w:rsid w:val="009C076C"/>
    <w:rsid w:val="009C0E39"/>
    <w:rsid w:val="009C1B36"/>
    <w:rsid w:val="009C2A75"/>
    <w:rsid w:val="009C2CF6"/>
    <w:rsid w:val="009C2F8D"/>
    <w:rsid w:val="009C31DC"/>
    <w:rsid w:val="009C36B3"/>
    <w:rsid w:val="009C37E9"/>
    <w:rsid w:val="009C3A40"/>
    <w:rsid w:val="009C42AD"/>
    <w:rsid w:val="009C456A"/>
    <w:rsid w:val="009C45DE"/>
    <w:rsid w:val="009C4905"/>
    <w:rsid w:val="009C55B5"/>
    <w:rsid w:val="009C574C"/>
    <w:rsid w:val="009C5BC4"/>
    <w:rsid w:val="009C6099"/>
    <w:rsid w:val="009C678C"/>
    <w:rsid w:val="009C7AC0"/>
    <w:rsid w:val="009C7B53"/>
    <w:rsid w:val="009D0564"/>
    <w:rsid w:val="009D174A"/>
    <w:rsid w:val="009D25C7"/>
    <w:rsid w:val="009D2696"/>
    <w:rsid w:val="009D2C55"/>
    <w:rsid w:val="009D2CAE"/>
    <w:rsid w:val="009D2F77"/>
    <w:rsid w:val="009D3767"/>
    <w:rsid w:val="009D38F0"/>
    <w:rsid w:val="009D3C0C"/>
    <w:rsid w:val="009D3C44"/>
    <w:rsid w:val="009D3E04"/>
    <w:rsid w:val="009D4356"/>
    <w:rsid w:val="009D44CF"/>
    <w:rsid w:val="009D4571"/>
    <w:rsid w:val="009D4767"/>
    <w:rsid w:val="009D4C3A"/>
    <w:rsid w:val="009D4E28"/>
    <w:rsid w:val="009D4EBB"/>
    <w:rsid w:val="009D53EA"/>
    <w:rsid w:val="009D5AA5"/>
    <w:rsid w:val="009D5E41"/>
    <w:rsid w:val="009D5F3A"/>
    <w:rsid w:val="009D64E7"/>
    <w:rsid w:val="009D67E4"/>
    <w:rsid w:val="009D69C9"/>
    <w:rsid w:val="009D6B21"/>
    <w:rsid w:val="009D7202"/>
    <w:rsid w:val="009D73D5"/>
    <w:rsid w:val="009D7662"/>
    <w:rsid w:val="009D796E"/>
    <w:rsid w:val="009D7A9D"/>
    <w:rsid w:val="009D7C4E"/>
    <w:rsid w:val="009E0016"/>
    <w:rsid w:val="009E0371"/>
    <w:rsid w:val="009E115C"/>
    <w:rsid w:val="009E1785"/>
    <w:rsid w:val="009E19A4"/>
    <w:rsid w:val="009E1E9A"/>
    <w:rsid w:val="009E1F42"/>
    <w:rsid w:val="009E276E"/>
    <w:rsid w:val="009E30AA"/>
    <w:rsid w:val="009E312B"/>
    <w:rsid w:val="009E3CF0"/>
    <w:rsid w:val="009E41F9"/>
    <w:rsid w:val="009E452A"/>
    <w:rsid w:val="009E4949"/>
    <w:rsid w:val="009E4D1E"/>
    <w:rsid w:val="009E4DEF"/>
    <w:rsid w:val="009E53FA"/>
    <w:rsid w:val="009E5408"/>
    <w:rsid w:val="009E544E"/>
    <w:rsid w:val="009E5CD1"/>
    <w:rsid w:val="009E6162"/>
    <w:rsid w:val="009E7332"/>
    <w:rsid w:val="009E766A"/>
    <w:rsid w:val="009E7BC5"/>
    <w:rsid w:val="009F00B9"/>
    <w:rsid w:val="009F0958"/>
    <w:rsid w:val="009F0B28"/>
    <w:rsid w:val="009F1E63"/>
    <w:rsid w:val="009F23E8"/>
    <w:rsid w:val="009F2564"/>
    <w:rsid w:val="009F2EDA"/>
    <w:rsid w:val="009F323B"/>
    <w:rsid w:val="009F33B7"/>
    <w:rsid w:val="009F3506"/>
    <w:rsid w:val="009F3991"/>
    <w:rsid w:val="009F4173"/>
    <w:rsid w:val="009F419E"/>
    <w:rsid w:val="009F4396"/>
    <w:rsid w:val="009F4942"/>
    <w:rsid w:val="009F4D67"/>
    <w:rsid w:val="009F4DEA"/>
    <w:rsid w:val="009F5445"/>
    <w:rsid w:val="009F5628"/>
    <w:rsid w:val="009F6732"/>
    <w:rsid w:val="009F6C71"/>
    <w:rsid w:val="009F73D0"/>
    <w:rsid w:val="009F75CA"/>
    <w:rsid w:val="009F77DE"/>
    <w:rsid w:val="009F77F7"/>
    <w:rsid w:val="009F7C08"/>
    <w:rsid w:val="009F7F05"/>
    <w:rsid w:val="00A00086"/>
    <w:rsid w:val="00A006C5"/>
    <w:rsid w:val="00A008DC"/>
    <w:rsid w:val="00A00F26"/>
    <w:rsid w:val="00A020FC"/>
    <w:rsid w:val="00A0297A"/>
    <w:rsid w:val="00A02BCB"/>
    <w:rsid w:val="00A02CD6"/>
    <w:rsid w:val="00A0346E"/>
    <w:rsid w:val="00A03F7A"/>
    <w:rsid w:val="00A0406A"/>
    <w:rsid w:val="00A04475"/>
    <w:rsid w:val="00A0509A"/>
    <w:rsid w:val="00A0519E"/>
    <w:rsid w:val="00A051E9"/>
    <w:rsid w:val="00A055AF"/>
    <w:rsid w:val="00A05F18"/>
    <w:rsid w:val="00A06351"/>
    <w:rsid w:val="00A06C2E"/>
    <w:rsid w:val="00A06D19"/>
    <w:rsid w:val="00A07C31"/>
    <w:rsid w:val="00A1003A"/>
    <w:rsid w:val="00A10968"/>
    <w:rsid w:val="00A10C95"/>
    <w:rsid w:val="00A11301"/>
    <w:rsid w:val="00A11F5D"/>
    <w:rsid w:val="00A124ED"/>
    <w:rsid w:val="00A12704"/>
    <w:rsid w:val="00A1278B"/>
    <w:rsid w:val="00A127F6"/>
    <w:rsid w:val="00A128B5"/>
    <w:rsid w:val="00A12C72"/>
    <w:rsid w:val="00A13349"/>
    <w:rsid w:val="00A1376B"/>
    <w:rsid w:val="00A138B3"/>
    <w:rsid w:val="00A14B66"/>
    <w:rsid w:val="00A15AD8"/>
    <w:rsid w:val="00A15C73"/>
    <w:rsid w:val="00A15D93"/>
    <w:rsid w:val="00A15EBD"/>
    <w:rsid w:val="00A15FDE"/>
    <w:rsid w:val="00A160C9"/>
    <w:rsid w:val="00A169F3"/>
    <w:rsid w:val="00A16A08"/>
    <w:rsid w:val="00A16F9F"/>
    <w:rsid w:val="00A174D2"/>
    <w:rsid w:val="00A17722"/>
    <w:rsid w:val="00A17E41"/>
    <w:rsid w:val="00A20052"/>
    <w:rsid w:val="00A2019C"/>
    <w:rsid w:val="00A2073A"/>
    <w:rsid w:val="00A2119A"/>
    <w:rsid w:val="00A2260B"/>
    <w:rsid w:val="00A22CEF"/>
    <w:rsid w:val="00A23049"/>
    <w:rsid w:val="00A233CF"/>
    <w:rsid w:val="00A2360B"/>
    <w:rsid w:val="00A23703"/>
    <w:rsid w:val="00A23C2C"/>
    <w:rsid w:val="00A23DFE"/>
    <w:rsid w:val="00A2440D"/>
    <w:rsid w:val="00A244E2"/>
    <w:rsid w:val="00A24642"/>
    <w:rsid w:val="00A2486C"/>
    <w:rsid w:val="00A25534"/>
    <w:rsid w:val="00A255A9"/>
    <w:rsid w:val="00A25791"/>
    <w:rsid w:val="00A258BA"/>
    <w:rsid w:val="00A25F26"/>
    <w:rsid w:val="00A26245"/>
    <w:rsid w:val="00A267BA"/>
    <w:rsid w:val="00A268AC"/>
    <w:rsid w:val="00A27919"/>
    <w:rsid w:val="00A27C1C"/>
    <w:rsid w:val="00A27C57"/>
    <w:rsid w:val="00A305ED"/>
    <w:rsid w:val="00A30654"/>
    <w:rsid w:val="00A30CF2"/>
    <w:rsid w:val="00A30E1B"/>
    <w:rsid w:val="00A3104C"/>
    <w:rsid w:val="00A316DD"/>
    <w:rsid w:val="00A31764"/>
    <w:rsid w:val="00A3194E"/>
    <w:rsid w:val="00A319C4"/>
    <w:rsid w:val="00A31B68"/>
    <w:rsid w:val="00A31EC8"/>
    <w:rsid w:val="00A322A6"/>
    <w:rsid w:val="00A3251C"/>
    <w:rsid w:val="00A3255F"/>
    <w:rsid w:val="00A3295D"/>
    <w:rsid w:val="00A333A1"/>
    <w:rsid w:val="00A33608"/>
    <w:rsid w:val="00A345A8"/>
    <w:rsid w:val="00A346A0"/>
    <w:rsid w:val="00A348FA"/>
    <w:rsid w:val="00A34B06"/>
    <w:rsid w:val="00A34B18"/>
    <w:rsid w:val="00A34E00"/>
    <w:rsid w:val="00A35801"/>
    <w:rsid w:val="00A35DC0"/>
    <w:rsid w:val="00A35FD8"/>
    <w:rsid w:val="00A362D1"/>
    <w:rsid w:val="00A36880"/>
    <w:rsid w:val="00A369A3"/>
    <w:rsid w:val="00A36F02"/>
    <w:rsid w:val="00A376DC"/>
    <w:rsid w:val="00A37CEB"/>
    <w:rsid w:val="00A40F1E"/>
    <w:rsid w:val="00A42ED0"/>
    <w:rsid w:val="00A43196"/>
    <w:rsid w:val="00A43786"/>
    <w:rsid w:val="00A43A24"/>
    <w:rsid w:val="00A43CFE"/>
    <w:rsid w:val="00A43E7A"/>
    <w:rsid w:val="00A442D9"/>
    <w:rsid w:val="00A444E1"/>
    <w:rsid w:val="00A446EC"/>
    <w:rsid w:val="00A45065"/>
    <w:rsid w:val="00A45751"/>
    <w:rsid w:val="00A45784"/>
    <w:rsid w:val="00A458B5"/>
    <w:rsid w:val="00A45F45"/>
    <w:rsid w:val="00A46372"/>
    <w:rsid w:val="00A46412"/>
    <w:rsid w:val="00A46C30"/>
    <w:rsid w:val="00A47001"/>
    <w:rsid w:val="00A4749E"/>
    <w:rsid w:val="00A477DA"/>
    <w:rsid w:val="00A47D7C"/>
    <w:rsid w:val="00A50C63"/>
    <w:rsid w:val="00A50EDE"/>
    <w:rsid w:val="00A50F47"/>
    <w:rsid w:val="00A51215"/>
    <w:rsid w:val="00A51539"/>
    <w:rsid w:val="00A51666"/>
    <w:rsid w:val="00A519C0"/>
    <w:rsid w:val="00A51FFE"/>
    <w:rsid w:val="00A52A7B"/>
    <w:rsid w:val="00A52AFA"/>
    <w:rsid w:val="00A52B62"/>
    <w:rsid w:val="00A530A2"/>
    <w:rsid w:val="00A531FF"/>
    <w:rsid w:val="00A53720"/>
    <w:rsid w:val="00A53915"/>
    <w:rsid w:val="00A53B64"/>
    <w:rsid w:val="00A544C4"/>
    <w:rsid w:val="00A552B8"/>
    <w:rsid w:val="00A55A64"/>
    <w:rsid w:val="00A55B08"/>
    <w:rsid w:val="00A56232"/>
    <w:rsid w:val="00A56E1D"/>
    <w:rsid w:val="00A57053"/>
    <w:rsid w:val="00A570D6"/>
    <w:rsid w:val="00A5776A"/>
    <w:rsid w:val="00A577BE"/>
    <w:rsid w:val="00A57C01"/>
    <w:rsid w:val="00A604AC"/>
    <w:rsid w:val="00A60DDA"/>
    <w:rsid w:val="00A60E73"/>
    <w:rsid w:val="00A60F80"/>
    <w:rsid w:val="00A61B69"/>
    <w:rsid w:val="00A61DA2"/>
    <w:rsid w:val="00A62105"/>
    <w:rsid w:val="00A626D9"/>
    <w:rsid w:val="00A6294E"/>
    <w:rsid w:val="00A62A7F"/>
    <w:rsid w:val="00A630F0"/>
    <w:rsid w:val="00A63245"/>
    <w:rsid w:val="00A636DA"/>
    <w:rsid w:val="00A6439F"/>
    <w:rsid w:val="00A64C24"/>
    <w:rsid w:val="00A656CC"/>
    <w:rsid w:val="00A65C4D"/>
    <w:rsid w:val="00A66158"/>
    <w:rsid w:val="00A67141"/>
    <w:rsid w:val="00A672D2"/>
    <w:rsid w:val="00A675EC"/>
    <w:rsid w:val="00A67670"/>
    <w:rsid w:val="00A678D6"/>
    <w:rsid w:val="00A67D94"/>
    <w:rsid w:val="00A70755"/>
    <w:rsid w:val="00A71085"/>
    <w:rsid w:val="00A71112"/>
    <w:rsid w:val="00A712A8"/>
    <w:rsid w:val="00A712EF"/>
    <w:rsid w:val="00A71925"/>
    <w:rsid w:val="00A72235"/>
    <w:rsid w:val="00A72FC6"/>
    <w:rsid w:val="00A74128"/>
    <w:rsid w:val="00A744C6"/>
    <w:rsid w:val="00A750A5"/>
    <w:rsid w:val="00A750DF"/>
    <w:rsid w:val="00A75220"/>
    <w:rsid w:val="00A75446"/>
    <w:rsid w:val="00A7597B"/>
    <w:rsid w:val="00A75E1F"/>
    <w:rsid w:val="00A76055"/>
    <w:rsid w:val="00A7634F"/>
    <w:rsid w:val="00A76A13"/>
    <w:rsid w:val="00A76BAA"/>
    <w:rsid w:val="00A76D50"/>
    <w:rsid w:val="00A77A44"/>
    <w:rsid w:val="00A80DD9"/>
    <w:rsid w:val="00A811D1"/>
    <w:rsid w:val="00A8121F"/>
    <w:rsid w:val="00A819BF"/>
    <w:rsid w:val="00A81F4D"/>
    <w:rsid w:val="00A82619"/>
    <w:rsid w:val="00A82D39"/>
    <w:rsid w:val="00A82D3B"/>
    <w:rsid w:val="00A82DC0"/>
    <w:rsid w:val="00A82E43"/>
    <w:rsid w:val="00A83179"/>
    <w:rsid w:val="00A837ED"/>
    <w:rsid w:val="00A83A5B"/>
    <w:rsid w:val="00A84091"/>
    <w:rsid w:val="00A840C9"/>
    <w:rsid w:val="00A84352"/>
    <w:rsid w:val="00A8459C"/>
    <w:rsid w:val="00A84851"/>
    <w:rsid w:val="00A85845"/>
    <w:rsid w:val="00A85EEC"/>
    <w:rsid w:val="00A8635F"/>
    <w:rsid w:val="00A86977"/>
    <w:rsid w:val="00A8699B"/>
    <w:rsid w:val="00A87063"/>
    <w:rsid w:val="00A872F2"/>
    <w:rsid w:val="00A87F4C"/>
    <w:rsid w:val="00A90446"/>
    <w:rsid w:val="00A905C8"/>
    <w:rsid w:val="00A91713"/>
    <w:rsid w:val="00A92689"/>
    <w:rsid w:val="00A92966"/>
    <w:rsid w:val="00A92ABF"/>
    <w:rsid w:val="00A92B2A"/>
    <w:rsid w:val="00A92BD5"/>
    <w:rsid w:val="00A92ECA"/>
    <w:rsid w:val="00A93759"/>
    <w:rsid w:val="00A93895"/>
    <w:rsid w:val="00A93E5B"/>
    <w:rsid w:val="00A94AAF"/>
    <w:rsid w:val="00A94FEE"/>
    <w:rsid w:val="00A95406"/>
    <w:rsid w:val="00A95846"/>
    <w:rsid w:val="00A95986"/>
    <w:rsid w:val="00A95998"/>
    <w:rsid w:val="00A95B55"/>
    <w:rsid w:val="00A961C4"/>
    <w:rsid w:val="00A962D3"/>
    <w:rsid w:val="00A96705"/>
    <w:rsid w:val="00A96C6A"/>
    <w:rsid w:val="00A9713D"/>
    <w:rsid w:val="00A976EB"/>
    <w:rsid w:val="00AA033A"/>
    <w:rsid w:val="00AA0350"/>
    <w:rsid w:val="00AA03AA"/>
    <w:rsid w:val="00AA07C1"/>
    <w:rsid w:val="00AA0BD5"/>
    <w:rsid w:val="00AA0CCB"/>
    <w:rsid w:val="00AA1223"/>
    <w:rsid w:val="00AA1721"/>
    <w:rsid w:val="00AA17E3"/>
    <w:rsid w:val="00AA1C99"/>
    <w:rsid w:val="00AA1F2C"/>
    <w:rsid w:val="00AA289E"/>
    <w:rsid w:val="00AA2C41"/>
    <w:rsid w:val="00AA30C3"/>
    <w:rsid w:val="00AA3C6F"/>
    <w:rsid w:val="00AA4068"/>
    <w:rsid w:val="00AA4754"/>
    <w:rsid w:val="00AA4FB7"/>
    <w:rsid w:val="00AA503B"/>
    <w:rsid w:val="00AA5439"/>
    <w:rsid w:val="00AA5486"/>
    <w:rsid w:val="00AA63E4"/>
    <w:rsid w:val="00AA6AB2"/>
    <w:rsid w:val="00AA6DE2"/>
    <w:rsid w:val="00AA71F1"/>
    <w:rsid w:val="00AA76EE"/>
    <w:rsid w:val="00AA7886"/>
    <w:rsid w:val="00AA7D2B"/>
    <w:rsid w:val="00AB0222"/>
    <w:rsid w:val="00AB0507"/>
    <w:rsid w:val="00AB098F"/>
    <w:rsid w:val="00AB0C43"/>
    <w:rsid w:val="00AB11E5"/>
    <w:rsid w:val="00AB150A"/>
    <w:rsid w:val="00AB1B2B"/>
    <w:rsid w:val="00AB2328"/>
    <w:rsid w:val="00AB2401"/>
    <w:rsid w:val="00AB2597"/>
    <w:rsid w:val="00AB33FB"/>
    <w:rsid w:val="00AB3421"/>
    <w:rsid w:val="00AB36B2"/>
    <w:rsid w:val="00AB380E"/>
    <w:rsid w:val="00AB3BF6"/>
    <w:rsid w:val="00AB3F3D"/>
    <w:rsid w:val="00AB454A"/>
    <w:rsid w:val="00AB485B"/>
    <w:rsid w:val="00AB4CE2"/>
    <w:rsid w:val="00AB4E8C"/>
    <w:rsid w:val="00AB4F3C"/>
    <w:rsid w:val="00AB5DF3"/>
    <w:rsid w:val="00AB5E51"/>
    <w:rsid w:val="00AB5F13"/>
    <w:rsid w:val="00AB60EC"/>
    <w:rsid w:val="00AB612B"/>
    <w:rsid w:val="00AB63E5"/>
    <w:rsid w:val="00AB6877"/>
    <w:rsid w:val="00AB6894"/>
    <w:rsid w:val="00AB6AFD"/>
    <w:rsid w:val="00AB6C8D"/>
    <w:rsid w:val="00AB6D5D"/>
    <w:rsid w:val="00AB6F47"/>
    <w:rsid w:val="00AB71D3"/>
    <w:rsid w:val="00AB7698"/>
    <w:rsid w:val="00AB7C75"/>
    <w:rsid w:val="00AB7FF9"/>
    <w:rsid w:val="00AC1147"/>
    <w:rsid w:val="00AC1B46"/>
    <w:rsid w:val="00AC1C23"/>
    <w:rsid w:val="00AC1D02"/>
    <w:rsid w:val="00AC1E49"/>
    <w:rsid w:val="00AC25C0"/>
    <w:rsid w:val="00AC2FED"/>
    <w:rsid w:val="00AC3556"/>
    <w:rsid w:val="00AC3E27"/>
    <w:rsid w:val="00AC4C67"/>
    <w:rsid w:val="00AC58BC"/>
    <w:rsid w:val="00AC5B0D"/>
    <w:rsid w:val="00AC64FD"/>
    <w:rsid w:val="00AC6729"/>
    <w:rsid w:val="00AC672B"/>
    <w:rsid w:val="00AC6734"/>
    <w:rsid w:val="00AC68A8"/>
    <w:rsid w:val="00AC68F0"/>
    <w:rsid w:val="00AC6B2D"/>
    <w:rsid w:val="00AC6CEA"/>
    <w:rsid w:val="00AC728A"/>
    <w:rsid w:val="00AC7790"/>
    <w:rsid w:val="00AD07AA"/>
    <w:rsid w:val="00AD07BC"/>
    <w:rsid w:val="00AD0E4B"/>
    <w:rsid w:val="00AD1896"/>
    <w:rsid w:val="00AD1924"/>
    <w:rsid w:val="00AD1B46"/>
    <w:rsid w:val="00AD1BA4"/>
    <w:rsid w:val="00AD2113"/>
    <w:rsid w:val="00AD2CD8"/>
    <w:rsid w:val="00AD3124"/>
    <w:rsid w:val="00AD32C7"/>
    <w:rsid w:val="00AD344B"/>
    <w:rsid w:val="00AD3D3B"/>
    <w:rsid w:val="00AD454F"/>
    <w:rsid w:val="00AD45E6"/>
    <w:rsid w:val="00AD48C1"/>
    <w:rsid w:val="00AD55AA"/>
    <w:rsid w:val="00AD572F"/>
    <w:rsid w:val="00AD5BC7"/>
    <w:rsid w:val="00AD68DA"/>
    <w:rsid w:val="00AD6F07"/>
    <w:rsid w:val="00AD7306"/>
    <w:rsid w:val="00AD7F05"/>
    <w:rsid w:val="00AE0521"/>
    <w:rsid w:val="00AE0A3A"/>
    <w:rsid w:val="00AE0B47"/>
    <w:rsid w:val="00AE0BDA"/>
    <w:rsid w:val="00AE1005"/>
    <w:rsid w:val="00AE246E"/>
    <w:rsid w:val="00AE2562"/>
    <w:rsid w:val="00AE2A09"/>
    <w:rsid w:val="00AE305A"/>
    <w:rsid w:val="00AE321A"/>
    <w:rsid w:val="00AE32A9"/>
    <w:rsid w:val="00AE3BF5"/>
    <w:rsid w:val="00AE4715"/>
    <w:rsid w:val="00AE4CE7"/>
    <w:rsid w:val="00AE4E6C"/>
    <w:rsid w:val="00AE5E6D"/>
    <w:rsid w:val="00AE5F68"/>
    <w:rsid w:val="00AE5FAB"/>
    <w:rsid w:val="00AE627F"/>
    <w:rsid w:val="00AE64E6"/>
    <w:rsid w:val="00AE68A2"/>
    <w:rsid w:val="00AE68F0"/>
    <w:rsid w:val="00AE7057"/>
    <w:rsid w:val="00AE7D4D"/>
    <w:rsid w:val="00AF0504"/>
    <w:rsid w:val="00AF0667"/>
    <w:rsid w:val="00AF1C73"/>
    <w:rsid w:val="00AF22E9"/>
    <w:rsid w:val="00AF2BC8"/>
    <w:rsid w:val="00AF2C43"/>
    <w:rsid w:val="00AF2F47"/>
    <w:rsid w:val="00AF34A5"/>
    <w:rsid w:val="00AF4171"/>
    <w:rsid w:val="00AF426C"/>
    <w:rsid w:val="00AF46CE"/>
    <w:rsid w:val="00AF4A5A"/>
    <w:rsid w:val="00AF529B"/>
    <w:rsid w:val="00AF5380"/>
    <w:rsid w:val="00AF5A15"/>
    <w:rsid w:val="00AF5EB2"/>
    <w:rsid w:val="00AF62B0"/>
    <w:rsid w:val="00AF6593"/>
    <w:rsid w:val="00AF6844"/>
    <w:rsid w:val="00AF6BB8"/>
    <w:rsid w:val="00AF6CC0"/>
    <w:rsid w:val="00AF6F15"/>
    <w:rsid w:val="00AF6F44"/>
    <w:rsid w:val="00AF7700"/>
    <w:rsid w:val="00AF77A6"/>
    <w:rsid w:val="00B00339"/>
    <w:rsid w:val="00B00A48"/>
    <w:rsid w:val="00B01812"/>
    <w:rsid w:val="00B01A6D"/>
    <w:rsid w:val="00B01B31"/>
    <w:rsid w:val="00B01D5A"/>
    <w:rsid w:val="00B01E07"/>
    <w:rsid w:val="00B01F79"/>
    <w:rsid w:val="00B024CC"/>
    <w:rsid w:val="00B02500"/>
    <w:rsid w:val="00B028E5"/>
    <w:rsid w:val="00B03773"/>
    <w:rsid w:val="00B037CA"/>
    <w:rsid w:val="00B04386"/>
    <w:rsid w:val="00B049C0"/>
    <w:rsid w:val="00B04BA8"/>
    <w:rsid w:val="00B04DA6"/>
    <w:rsid w:val="00B051A6"/>
    <w:rsid w:val="00B05999"/>
    <w:rsid w:val="00B0626D"/>
    <w:rsid w:val="00B063B7"/>
    <w:rsid w:val="00B063CA"/>
    <w:rsid w:val="00B06A28"/>
    <w:rsid w:val="00B06AD4"/>
    <w:rsid w:val="00B07798"/>
    <w:rsid w:val="00B079E2"/>
    <w:rsid w:val="00B07AE1"/>
    <w:rsid w:val="00B07C24"/>
    <w:rsid w:val="00B100C5"/>
    <w:rsid w:val="00B10270"/>
    <w:rsid w:val="00B10749"/>
    <w:rsid w:val="00B11748"/>
    <w:rsid w:val="00B12890"/>
    <w:rsid w:val="00B12DFC"/>
    <w:rsid w:val="00B136B3"/>
    <w:rsid w:val="00B1373F"/>
    <w:rsid w:val="00B14222"/>
    <w:rsid w:val="00B143F9"/>
    <w:rsid w:val="00B148F8"/>
    <w:rsid w:val="00B149A8"/>
    <w:rsid w:val="00B14B91"/>
    <w:rsid w:val="00B15519"/>
    <w:rsid w:val="00B1572C"/>
    <w:rsid w:val="00B158CF"/>
    <w:rsid w:val="00B158F4"/>
    <w:rsid w:val="00B15D47"/>
    <w:rsid w:val="00B172B0"/>
    <w:rsid w:val="00B1799F"/>
    <w:rsid w:val="00B207C2"/>
    <w:rsid w:val="00B20C86"/>
    <w:rsid w:val="00B210E0"/>
    <w:rsid w:val="00B21EAC"/>
    <w:rsid w:val="00B223EA"/>
    <w:rsid w:val="00B22A9E"/>
    <w:rsid w:val="00B22D09"/>
    <w:rsid w:val="00B23230"/>
    <w:rsid w:val="00B232E4"/>
    <w:rsid w:val="00B23B3A"/>
    <w:rsid w:val="00B23E8B"/>
    <w:rsid w:val="00B24138"/>
    <w:rsid w:val="00B24C19"/>
    <w:rsid w:val="00B24E22"/>
    <w:rsid w:val="00B2533B"/>
    <w:rsid w:val="00B255FF"/>
    <w:rsid w:val="00B25F62"/>
    <w:rsid w:val="00B2671F"/>
    <w:rsid w:val="00B26793"/>
    <w:rsid w:val="00B268A2"/>
    <w:rsid w:val="00B268D9"/>
    <w:rsid w:val="00B26B1B"/>
    <w:rsid w:val="00B26C0C"/>
    <w:rsid w:val="00B26C53"/>
    <w:rsid w:val="00B272D7"/>
    <w:rsid w:val="00B27EF0"/>
    <w:rsid w:val="00B30595"/>
    <w:rsid w:val="00B30616"/>
    <w:rsid w:val="00B3062F"/>
    <w:rsid w:val="00B30755"/>
    <w:rsid w:val="00B30BB1"/>
    <w:rsid w:val="00B31C40"/>
    <w:rsid w:val="00B3286B"/>
    <w:rsid w:val="00B32F46"/>
    <w:rsid w:val="00B32FC3"/>
    <w:rsid w:val="00B331EC"/>
    <w:rsid w:val="00B332A8"/>
    <w:rsid w:val="00B34018"/>
    <w:rsid w:val="00B341E0"/>
    <w:rsid w:val="00B343F9"/>
    <w:rsid w:val="00B34416"/>
    <w:rsid w:val="00B346CD"/>
    <w:rsid w:val="00B3479B"/>
    <w:rsid w:val="00B347B9"/>
    <w:rsid w:val="00B34909"/>
    <w:rsid w:val="00B34D2E"/>
    <w:rsid w:val="00B34E2A"/>
    <w:rsid w:val="00B35BCB"/>
    <w:rsid w:val="00B35E0C"/>
    <w:rsid w:val="00B361A2"/>
    <w:rsid w:val="00B3661B"/>
    <w:rsid w:val="00B366D6"/>
    <w:rsid w:val="00B3680A"/>
    <w:rsid w:val="00B37544"/>
    <w:rsid w:val="00B37981"/>
    <w:rsid w:val="00B379D5"/>
    <w:rsid w:val="00B37EA2"/>
    <w:rsid w:val="00B4018C"/>
    <w:rsid w:val="00B413A8"/>
    <w:rsid w:val="00B417F6"/>
    <w:rsid w:val="00B419FC"/>
    <w:rsid w:val="00B42779"/>
    <w:rsid w:val="00B427D1"/>
    <w:rsid w:val="00B42B29"/>
    <w:rsid w:val="00B42BA5"/>
    <w:rsid w:val="00B44681"/>
    <w:rsid w:val="00B447D4"/>
    <w:rsid w:val="00B448F6"/>
    <w:rsid w:val="00B44C62"/>
    <w:rsid w:val="00B4545C"/>
    <w:rsid w:val="00B45720"/>
    <w:rsid w:val="00B45EA6"/>
    <w:rsid w:val="00B468C9"/>
    <w:rsid w:val="00B46A92"/>
    <w:rsid w:val="00B504B1"/>
    <w:rsid w:val="00B5059B"/>
    <w:rsid w:val="00B50F13"/>
    <w:rsid w:val="00B50FE1"/>
    <w:rsid w:val="00B51269"/>
    <w:rsid w:val="00B514DE"/>
    <w:rsid w:val="00B51B28"/>
    <w:rsid w:val="00B51F78"/>
    <w:rsid w:val="00B527D0"/>
    <w:rsid w:val="00B528B0"/>
    <w:rsid w:val="00B5388E"/>
    <w:rsid w:val="00B53E95"/>
    <w:rsid w:val="00B540B9"/>
    <w:rsid w:val="00B54DBD"/>
    <w:rsid w:val="00B55032"/>
    <w:rsid w:val="00B55404"/>
    <w:rsid w:val="00B55478"/>
    <w:rsid w:val="00B55F90"/>
    <w:rsid w:val="00B56394"/>
    <w:rsid w:val="00B56774"/>
    <w:rsid w:val="00B56BC8"/>
    <w:rsid w:val="00B56D36"/>
    <w:rsid w:val="00B575D4"/>
    <w:rsid w:val="00B57C00"/>
    <w:rsid w:val="00B6024F"/>
    <w:rsid w:val="00B603A7"/>
    <w:rsid w:val="00B605A0"/>
    <w:rsid w:val="00B60886"/>
    <w:rsid w:val="00B60A1B"/>
    <w:rsid w:val="00B60CFB"/>
    <w:rsid w:val="00B6235D"/>
    <w:rsid w:val="00B62B24"/>
    <w:rsid w:val="00B62ED2"/>
    <w:rsid w:val="00B62F44"/>
    <w:rsid w:val="00B62F48"/>
    <w:rsid w:val="00B632A9"/>
    <w:rsid w:val="00B638AB"/>
    <w:rsid w:val="00B6395A"/>
    <w:rsid w:val="00B63AB1"/>
    <w:rsid w:val="00B63F51"/>
    <w:rsid w:val="00B6404A"/>
    <w:rsid w:val="00B64094"/>
    <w:rsid w:val="00B64506"/>
    <w:rsid w:val="00B645BF"/>
    <w:rsid w:val="00B647F4"/>
    <w:rsid w:val="00B6482A"/>
    <w:rsid w:val="00B64867"/>
    <w:rsid w:val="00B648B4"/>
    <w:rsid w:val="00B648F0"/>
    <w:rsid w:val="00B64B41"/>
    <w:rsid w:val="00B64B6A"/>
    <w:rsid w:val="00B64FC5"/>
    <w:rsid w:val="00B652F4"/>
    <w:rsid w:val="00B654B3"/>
    <w:rsid w:val="00B659BA"/>
    <w:rsid w:val="00B65B50"/>
    <w:rsid w:val="00B65F40"/>
    <w:rsid w:val="00B66434"/>
    <w:rsid w:val="00B67AA0"/>
    <w:rsid w:val="00B70426"/>
    <w:rsid w:val="00B70CDA"/>
    <w:rsid w:val="00B70F8A"/>
    <w:rsid w:val="00B7138D"/>
    <w:rsid w:val="00B71C50"/>
    <w:rsid w:val="00B72509"/>
    <w:rsid w:val="00B72603"/>
    <w:rsid w:val="00B7280D"/>
    <w:rsid w:val="00B72D70"/>
    <w:rsid w:val="00B73037"/>
    <w:rsid w:val="00B730F8"/>
    <w:rsid w:val="00B73579"/>
    <w:rsid w:val="00B73633"/>
    <w:rsid w:val="00B73E19"/>
    <w:rsid w:val="00B73FAF"/>
    <w:rsid w:val="00B742E3"/>
    <w:rsid w:val="00B74CD9"/>
    <w:rsid w:val="00B75682"/>
    <w:rsid w:val="00B75873"/>
    <w:rsid w:val="00B759D5"/>
    <w:rsid w:val="00B75AE0"/>
    <w:rsid w:val="00B7655C"/>
    <w:rsid w:val="00B766E1"/>
    <w:rsid w:val="00B76C03"/>
    <w:rsid w:val="00B76CEF"/>
    <w:rsid w:val="00B76E54"/>
    <w:rsid w:val="00B778EE"/>
    <w:rsid w:val="00B77980"/>
    <w:rsid w:val="00B77DA8"/>
    <w:rsid w:val="00B803B2"/>
    <w:rsid w:val="00B80CBA"/>
    <w:rsid w:val="00B80E73"/>
    <w:rsid w:val="00B81645"/>
    <w:rsid w:val="00B81796"/>
    <w:rsid w:val="00B82DBC"/>
    <w:rsid w:val="00B83517"/>
    <w:rsid w:val="00B84470"/>
    <w:rsid w:val="00B849CA"/>
    <w:rsid w:val="00B84E2A"/>
    <w:rsid w:val="00B84E54"/>
    <w:rsid w:val="00B8532D"/>
    <w:rsid w:val="00B85610"/>
    <w:rsid w:val="00B85C75"/>
    <w:rsid w:val="00B85D1C"/>
    <w:rsid w:val="00B861B0"/>
    <w:rsid w:val="00B8633F"/>
    <w:rsid w:val="00B86986"/>
    <w:rsid w:val="00B86FAC"/>
    <w:rsid w:val="00B8723A"/>
    <w:rsid w:val="00B87329"/>
    <w:rsid w:val="00B87492"/>
    <w:rsid w:val="00B878A2"/>
    <w:rsid w:val="00B87B6C"/>
    <w:rsid w:val="00B87CA7"/>
    <w:rsid w:val="00B90149"/>
    <w:rsid w:val="00B90214"/>
    <w:rsid w:val="00B912B6"/>
    <w:rsid w:val="00B913C6"/>
    <w:rsid w:val="00B91AED"/>
    <w:rsid w:val="00B92D26"/>
    <w:rsid w:val="00B9373F"/>
    <w:rsid w:val="00B94761"/>
    <w:rsid w:val="00B947D9"/>
    <w:rsid w:val="00B94FB8"/>
    <w:rsid w:val="00B95601"/>
    <w:rsid w:val="00B957A9"/>
    <w:rsid w:val="00B95E99"/>
    <w:rsid w:val="00B96352"/>
    <w:rsid w:val="00B96877"/>
    <w:rsid w:val="00B96A23"/>
    <w:rsid w:val="00B96BB6"/>
    <w:rsid w:val="00B97482"/>
    <w:rsid w:val="00B97967"/>
    <w:rsid w:val="00BA07CE"/>
    <w:rsid w:val="00BA12E1"/>
    <w:rsid w:val="00BA18BD"/>
    <w:rsid w:val="00BA1D94"/>
    <w:rsid w:val="00BA2204"/>
    <w:rsid w:val="00BA237F"/>
    <w:rsid w:val="00BA26A6"/>
    <w:rsid w:val="00BA26D9"/>
    <w:rsid w:val="00BA2A1C"/>
    <w:rsid w:val="00BA2D0E"/>
    <w:rsid w:val="00BA312F"/>
    <w:rsid w:val="00BA32EA"/>
    <w:rsid w:val="00BA3C23"/>
    <w:rsid w:val="00BA3D76"/>
    <w:rsid w:val="00BA3E79"/>
    <w:rsid w:val="00BA42D7"/>
    <w:rsid w:val="00BA46F0"/>
    <w:rsid w:val="00BA4B06"/>
    <w:rsid w:val="00BA536A"/>
    <w:rsid w:val="00BA569F"/>
    <w:rsid w:val="00BA5872"/>
    <w:rsid w:val="00BA5C4D"/>
    <w:rsid w:val="00BA60E1"/>
    <w:rsid w:val="00BA6153"/>
    <w:rsid w:val="00BA6328"/>
    <w:rsid w:val="00BA7246"/>
    <w:rsid w:val="00BA75C0"/>
    <w:rsid w:val="00BA787F"/>
    <w:rsid w:val="00BA7C67"/>
    <w:rsid w:val="00BB0181"/>
    <w:rsid w:val="00BB05A8"/>
    <w:rsid w:val="00BB19A0"/>
    <w:rsid w:val="00BB207D"/>
    <w:rsid w:val="00BB2AE1"/>
    <w:rsid w:val="00BB2DF4"/>
    <w:rsid w:val="00BB30DF"/>
    <w:rsid w:val="00BB36B3"/>
    <w:rsid w:val="00BB37D2"/>
    <w:rsid w:val="00BB41CC"/>
    <w:rsid w:val="00BB4C2B"/>
    <w:rsid w:val="00BB4D13"/>
    <w:rsid w:val="00BB5048"/>
    <w:rsid w:val="00BB52EC"/>
    <w:rsid w:val="00BB5930"/>
    <w:rsid w:val="00BB5965"/>
    <w:rsid w:val="00BB62FF"/>
    <w:rsid w:val="00BB6EB8"/>
    <w:rsid w:val="00BB7795"/>
    <w:rsid w:val="00BB7EF8"/>
    <w:rsid w:val="00BC0296"/>
    <w:rsid w:val="00BC03A7"/>
    <w:rsid w:val="00BC09B4"/>
    <w:rsid w:val="00BC0FB6"/>
    <w:rsid w:val="00BC10A3"/>
    <w:rsid w:val="00BC1498"/>
    <w:rsid w:val="00BC18FD"/>
    <w:rsid w:val="00BC1E93"/>
    <w:rsid w:val="00BC35B1"/>
    <w:rsid w:val="00BC3925"/>
    <w:rsid w:val="00BC4E72"/>
    <w:rsid w:val="00BC5DCA"/>
    <w:rsid w:val="00BC5E77"/>
    <w:rsid w:val="00BC628F"/>
    <w:rsid w:val="00BC62A0"/>
    <w:rsid w:val="00BC6672"/>
    <w:rsid w:val="00BC6821"/>
    <w:rsid w:val="00BC6D95"/>
    <w:rsid w:val="00BC6FC6"/>
    <w:rsid w:val="00BC7026"/>
    <w:rsid w:val="00BC704C"/>
    <w:rsid w:val="00BC73D1"/>
    <w:rsid w:val="00BC79BF"/>
    <w:rsid w:val="00BD0380"/>
    <w:rsid w:val="00BD053C"/>
    <w:rsid w:val="00BD0655"/>
    <w:rsid w:val="00BD074E"/>
    <w:rsid w:val="00BD076C"/>
    <w:rsid w:val="00BD1475"/>
    <w:rsid w:val="00BD167C"/>
    <w:rsid w:val="00BD16D0"/>
    <w:rsid w:val="00BD173D"/>
    <w:rsid w:val="00BD17EC"/>
    <w:rsid w:val="00BD1829"/>
    <w:rsid w:val="00BD1902"/>
    <w:rsid w:val="00BD1E45"/>
    <w:rsid w:val="00BD2F25"/>
    <w:rsid w:val="00BD2F2F"/>
    <w:rsid w:val="00BD4D31"/>
    <w:rsid w:val="00BD58BC"/>
    <w:rsid w:val="00BD596F"/>
    <w:rsid w:val="00BD5A27"/>
    <w:rsid w:val="00BD5B51"/>
    <w:rsid w:val="00BD5DFE"/>
    <w:rsid w:val="00BD6503"/>
    <w:rsid w:val="00BD6811"/>
    <w:rsid w:val="00BD68BD"/>
    <w:rsid w:val="00BD6D5C"/>
    <w:rsid w:val="00BD7048"/>
    <w:rsid w:val="00BD7AC9"/>
    <w:rsid w:val="00BE0222"/>
    <w:rsid w:val="00BE04A3"/>
    <w:rsid w:val="00BE0596"/>
    <w:rsid w:val="00BE15E9"/>
    <w:rsid w:val="00BE1F0F"/>
    <w:rsid w:val="00BE2420"/>
    <w:rsid w:val="00BE274D"/>
    <w:rsid w:val="00BE2764"/>
    <w:rsid w:val="00BE2C43"/>
    <w:rsid w:val="00BE33B1"/>
    <w:rsid w:val="00BE352F"/>
    <w:rsid w:val="00BE41BA"/>
    <w:rsid w:val="00BE48E7"/>
    <w:rsid w:val="00BE49AC"/>
    <w:rsid w:val="00BE4AA5"/>
    <w:rsid w:val="00BE5D7C"/>
    <w:rsid w:val="00BE5E15"/>
    <w:rsid w:val="00BE613B"/>
    <w:rsid w:val="00BE66C1"/>
    <w:rsid w:val="00BE6D51"/>
    <w:rsid w:val="00BE6DA2"/>
    <w:rsid w:val="00BE6EB2"/>
    <w:rsid w:val="00BE6EED"/>
    <w:rsid w:val="00BE712B"/>
    <w:rsid w:val="00BE71D7"/>
    <w:rsid w:val="00BF0109"/>
    <w:rsid w:val="00BF0DA0"/>
    <w:rsid w:val="00BF0F21"/>
    <w:rsid w:val="00BF13F6"/>
    <w:rsid w:val="00BF14D6"/>
    <w:rsid w:val="00BF178E"/>
    <w:rsid w:val="00BF1979"/>
    <w:rsid w:val="00BF1B88"/>
    <w:rsid w:val="00BF1F71"/>
    <w:rsid w:val="00BF24C4"/>
    <w:rsid w:val="00BF3C83"/>
    <w:rsid w:val="00BF3F97"/>
    <w:rsid w:val="00BF4557"/>
    <w:rsid w:val="00BF4E09"/>
    <w:rsid w:val="00BF4E33"/>
    <w:rsid w:val="00BF565C"/>
    <w:rsid w:val="00BF5E88"/>
    <w:rsid w:val="00BF631B"/>
    <w:rsid w:val="00BF6497"/>
    <w:rsid w:val="00BF64F0"/>
    <w:rsid w:val="00BF6AC7"/>
    <w:rsid w:val="00BF6E65"/>
    <w:rsid w:val="00BF7F72"/>
    <w:rsid w:val="00C00585"/>
    <w:rsid w:val="00C00624"/>
    <w:rsid w:val="00C00990"/>
    <w:rsid w:val="00C00A07"/>
    <w:rsid w:val="00C016F7"/>
    <w:rsid w:val="00C01DC4"/>
    <w:rsid w:val="00C025A2"/>
    <w:rsid w:val="00C02BE8"/>
    <w:rsid w:val="00C0313C"/>
    <w:rsid w:val="00C03186"/>
    <w:rsid w:val="00C0374B"/>
    <w:rsid w:val="00C046AD"/>
    <w:rsid w:val="00C04EBC"/>
    <w:rsid w:val="00C04FAA"/>
    <w:rsid w:val="00C060D7"/>
    <w:rsid w:val="00C060E0"/>
    <w:rsid w:val="00C064E6"/>
    <w:rsid w:val="00C06857"/>
    <w:rsid w:val="00C068BC"/>
    <w:rsid w:val="00C06D10"/>
    <w:rsid w:val="00C07818"/>
    <w:rsid w:val="00C103A5"/>
    <w:rsid w:val="00C118AE"/>
    <w:rsid w:val="00C11A51"/>
    <w:rsid w:val="00C11B43"/>
    <w:rsid w:val="00C1210E"/>
    <w:rsid w:val="00C12218"/>
    <w:rsid w:val="00C12E7A"/>
    <w:rsid w:val="00C13246"/>
    <w:rsid w:val="00C13E8F"/>
    <w:rsid w:val="00C14A58"/>
    <w:rsid w:val="00C14FE4"/>
    <w:rsid w:val="00C1546F"/>
    <w:rsid w:val="00C1673F"/>
    <w:rsid w:val="00C16BF8"/>
    <w:rsid w:val="00C16F66"/>
    <w:rsid w:val="00C17046"/>
    <w:rsid w:val="00C1747F"/>
    <w:rsid w:val="00C17905"/>
    <w:rsid w:val="00C17EB0"/>
    <w:rsid w:val="00C20805"/>
    <w:rsid w:val="00C20A04"/>
    <w:rsid w:val="00C2100B"/>
    <w:rsid w:val="00C21110"/>
    <w:rsid w:val="00C214F5"/>
    <w:rsid w:val="00C21A26"/>
    <w:rsid w:val="00C22A8E"/>
    <w:rsid w:val="00C23186"/>
    <w:rsid w:val="00C23B89"/>
    <w:rsid w:val="00C23B8A"/>
    <w:rsid w:val="00C23C12"/>
    <w:rsid w:val="00C2419C"/>
    <w:rsid w:val="00C244AD"/>
    <w:rsid w:val="00C24EE6"/>
    <w:rsid w:val="00C24F4C"/>
    <w:rsid w:val="00C26262"/>
    <w:rsid w:val="00C262FA"/>
    <w:rsid w:val="00C2631A"/>
    <w:rsid w:val="00C2677E"/>
    <w:rsid w:val="00C26A69"/>
    <w:rsid w:val="00C26F09"/>
    <w:rsid w:val="00C27BB9"/>
    <w:rsid w:val="00C30191"/>
    <w:rsid w:val="00C31463"/>
    <w:rsid w:val="00C3151C"/>
    <w:rsid w:val="00C31F95"/>
    <w:rsid w:val="00C323BA"/>
    <w:rsid w:val="00C330F5"/>
    <w:rsid w:val="00C33129"/>
    <w:rsid w:val="00C338CE"/>
    <w:rsid w:val="00C339F4"/>
    <w:rsid w:val="00C33AC3"/>
    <w:rsid w:val="00C33B62"/>
    <w:rsid w:val="00C34DB0"/>
    <w:rsid w:val="00C352BB"/>
    <w:rsid w:val="00C35715"/>
    <w:rsid w:val="00C35AB0"/>
    <w:rsid w:val="00C35AB5"/>
    <w:rsid w:val="00C35E3E"/>
    <w:rsid w:val="00C3691C"/>
    <w:rsid w:val="00C404AC"/>
    <w:rsid w:val="00C40F2C"/>
    <w:rsid w:val="00C40FA2"/>
    <w:rsid w:val="00C4124A"/>
    <w:rsid w:val="00C414F7"/>
    <w:rsid w:val="00C41A1E"/>
    <w:rsid w:val="00C41DA5"/>
    <w:rsid w:val="00C42254"/>
    <w:rsid w:val="00C427F7"/>
    <w:rsid w:val="00C4284E"/>
    <w:rsid w:val="00C4293F"/>
    <w:rsid w:val="00C42953"/>
    <w:rsid w:val="00C429BD"/>
    <w:rsid w:val="00C431C3"/>
    <w:rsid w:val="00C4353F"/>
    <w:rsid w:val="00C436E4"/>
    <w:rsid w:val="00C4375E"/>
    <w:rsid w:val="00C439D3"/>
    <w:rsid w:val="00C44195"/>
    <w:rsid w:val="00C4444E"/>
    <w:rsid w:val="00C4455B"/>
    <w:rsid w:val="00C44DBB"/>
    <w:rsid w:val="00C4548D"/>
    <w:rsid w:val="00C454FB"/>
    <w:rsid w:val="00C45E20"/>
    <w:rsid w:val="00C461BE"/>
    <w:rsid w:val="00C46786"/>
    <w:rsid w:val="00C46848"/>
    <w:rsid w:val="00C469DD"/>
    <w:rsid w:val="00C46CAD"/>
    <w:rsid w:val="00C46E33"/>
    <w:rsid w:val="00C47298"/>
    <w:rsid w:val="00C472FB"/>
    <w:rsid w:val="00C47CD1"/>
    <w:rsid w:val="00C50147"/>
    <w:rsid w:val="00C50F3A"/>
    <w:rsid w:val="00C51485"/>
    <w:rsid w:val="00C51860"/>
    <w:rsid w:val="00C518A3"/>
    <w:rsid w:val="00C51AC3"/>
    <w:rsid w:val="00C5361C"/>
    <w:rsid w:val="00C5379A"/>
    <w:rsid w:val="00C53DB3"/>
    <w:rsid w:val="00C53E2C"/>
    <w:rsid w:val="00C53F58"/>
    <w:rsid w:val="00C53F79"/>
    <w:rsid w:val="00C54723"/>
    <w:rsid w:val="00C547A5"/>
    <w:rsid w:val="00C5543D"/>
    <w:rsid w:val="00C55E74"/>
    <w:rsid w:val="00C55E85"/>
    <w:rsid w:val="00C5696D"/>
    <w:rsid w:val="00C56B53"/>
    <w:rsid w:val="00C5778D"/>
    <w:rsid w:val="00C5795A"/>
    <w:rsid w:val="00C57F29"/>
    <w:rsid w:val="00C600CD"/>
    <w:rsid w:val="00C601D0"/>
    <w:rsid w:val="00C60EB5"/>
    <w:rsid w:val="00C61C27"/>
    <w:rsid w:val="00C62455"/>
    <w:rsid w:val="00C62CAA"/>
    <w:rsid w:val="00C630FD"/>
    <w:rsid w:val="00C63699"/>
    <w:rsid w:val="00C63B40"/>
    <w:rsid w:val="00C63D27"/>
    <w:rsid w:val="00C64CC1"/>
    <w:rsid w:val="00C6508F"/>
    <w:rsid w:val="00C65A95"/>
    <w:rsid w:val="00C65FFD"/>
    <w:rsid w:val="00C660EE"/>
    <w:rsid w:val="00C66152"/>
    <w:rsid w:val="00C66F44"/>
    <w:rsid w:val="00C6719F"/>
    <w:rsid w:val="00C67267"/>
    <w:rsid w:val="00C6744B"/>
    <w:rsid w:val="00C679FF"/>
    <w:rsid w:val="00C700DC"/>
    <w:rsid w:val="00C7030A"/>
    <w:rsid w:val="00C709C7"/>
    <w:rsid w:val="00C71492"/>
    <w:rsid w:val="00C72001"/>
    <w:rsid w:val="00C727AC"/>
    <w:rsid w:val="00C72807"/>
    <w:rsid w:val="00C729F7"/>
    <w:rsid w:val="00C72AB5"/>
    <w:rsid w:val="00C72C6C"/>
    <w:rsid w:val="00C73992"/>
    <w:rsid w:val="00C73A2F"/>
    <w:rsid w:val="00C750D5"/>
    <w:rsid w:val="00C755BA"/>
    <w:rsid w:val="00C75ABC"/>
    <w:rsid w:val="00C75CC2"/>
    <w:rsid w:val="00C75CF2"/>
    <w:rsid w:val="00C75E20"/>
    <w:rsid w:val="00C760F2"/>
    <w:rsid w:val="00C764C4"/>
    <w:rsid w:val="00C7656F"/>
    <w:rsid w:val="00C76C9B"/>
    <w:rsid w:val="00C76E4D"/>
    <w:rsid w:val="00C77341"/>
    <w:rsid w:val="00C77402"/>
    <w:rsid w:val="00C775BA"/>
    <w:rsid w:val="00C776A1"/>
    <w:rsid w:val="00C777F4"/>
    <w:rsid w:val="00C77935"/>
    <w:rsid w:val="00C80875"/>
    <w:rsid w:val="00C8093C"/>
    <w:rsid w:val="00C809B2"/>
    <w:rsid w:val="00C80AD7"/>
    <w:rsid w:val="00C80E21"/>
    <w:rsid w:val="00C80EDD"/>
    <w:rsid w:val="00C8160A"/>
    <w:rsid w:val="00C81816"/>
    <w:rsid w:val="00C826CC"/>
    <w:rsid w:val="00C8281D"/>
    <w:rsid w:val="00C82C19"/>
    <w:rsid w:val="00C82C42"/>
    <w:rsid w:val="00C82E55"/>
    <w:rsid w:val="00C83244"/>
    <w:rsid w:val="00C83655"/>
    <w:rsid w:val="00C837FB"/>
    <w:rsid w:val="00C83B7C"/>
    <w:rsid w:val="00C83C80"/>
    <w:rsid w:val="00C84091"/>
    <w:rsid w:val="00C8479F"/>
    <w:rsid w:val="00C84821"/>
    <w:rsid w:val="00C84FA3"/>
    <w:rsid w:val="00C85A48"/>
    <w:rsid w:val="00C85C00"/>
    <w:rsid w:val="00C85EA0"/>
    <w:rsid w:val="00C85ED1"/>
    <w:rsid w:val="00C86174"/>
    <w:rsid w:val="00C86256"/>
    <w:rsid w:val="00C864CA"/>
    <w:rsid w:val="00C86858"/>
    <w:rsid w:val="00C86E33"/>
    <w:rsid w:val="00C86FA2"/>
    <w:rsid w:val="00C87053"/>
    <w:rsid w:val="00C8705A"/>
    <w:rsid w:val="00C872C2"/>
    <w:rsid w:val="00C876C8"/>
    <w:rsid w:val="00C87931"/>
    <w:rsid w:val="00C87A9D"/>
    <w:rsid w:val="00C87E06"/>
    <w:rsid w:val="00C90274"/>
    <w:rsid w:val="00C9098C"/>
    <w:rsid w:val="00C90BF6"/>
    <w:rsid w:val="00C90DF9"/>
    <w:rsid w:val="00C92FF6"/>
    <w:rsid w:val="00C93155"/>
    <w:rsid w:val="00C93398"/>
    <w:rsid w:val="00C936EA"/>
    <w:rsid w:val="00C93750"/>
    <w:rsid w:val="00C9389A"/>
    <w:rsid w:val="00C93C1B"/>
    <w:rsid w:val="00C93C8C"/>
    <w:rsid w:val="00C944E6"/>
    <w:rsid w:val="00C94554"/>
    <w:rsid w:val="00C94A3F"/>
    <w:rsid w:val="00C94AB7"/>
    <w:rsid w:val="00C9533A"/>
    <w:rsid w:val="00C9582D"/>
    <w:rsid w:val="00C9591D"/>
    <w:rsid w:val="00C95CC2"/>
    <w:rsid w:val="00C95D2C"/>
    <w:rsid w:val="00C95DE4"/>
    <w:rsid w:val="00C96217"/>
    <w:rsid w:val="00C968B0"/>
    <w:rsid w:val="00C9739B"/>
    <w:rsid w:val="00C975FD"/>
    <w:rsid w:val="00C97CD4"/>
    <w:rsid w:val="00C97D26"/>
    <w:rsid w:val="00CA07A1"/>
    <w:rsid w:val="00CA1085"/>
    <w:rsid w:val="00CA1258"/>
    <w:rsid w:val="00CA1921"/>
    <w:rsid w:val="00CA19B1"/>
    <w:rsid w:val="00CA26BF"/>
    <w:rsid w:val="00CA2776"/>
    <w:rsid w:val="00CA27BE"/>
    <w:rsid w:val="00CA34D1"/>
    <w:rsid w:val="00CA3521"/>
    <w:rsid w:val="00CA3769"/>
    <w:rsid w:val="00CA39A9"/>
    <w:rsid w:val="00CA3B05"/>
    <w:rsid w:val="00CA40EA"/>
    <w:rsid w:val="00CA478C"/>
    <w:rsid w:val="00CA4833"/>
    <w:rsid w:val="00CA4854"/>
    <w:rsid w:val="00CA4AC8"/>
    <w:rsid w:val="00CA4E59"/>
    <w:rsid w:val="00CA5CF7"/>
    <w:rsid w:val="00CA61C7"/>
    <w:rsid w:val="00CA6556"/>
    <w:rsid w:val="00CA6EA5"/>
    <w:rsid w:val="00CA70CB"/>
    <w:rsid w:val="00CA7BAA"/>
    <w:rsid w:val="00CB0267"/>
    <w:rsid w:val="00CB05D3"/>
    <w:rsid w:val="00CB0907"/>
    <w:rsid w:val="00CB0C8D"/>
    <w:rsid w:val="00CB0DE4"/>
    <w:rsid w:val="00CB0FFB"/>
    <w:rsid w:val="00CB1086"/>
    <w:rsid w:val="00CB1296"/>
    <w:rsid w:val="00CB14D0"/>
    <w:rsid w:val="00CB1543"/>
    <w:rsid w:val="00CB189C"/>
    <w:rsid w:val="00CB19D8"/>
    <w:rsid w:val="00CB205B"/>
    <w:rsid w:val="00CB221C"/>
    <w:rsid w:val="00CB2A25"/>
    <w:rsid w:val="00CB2A8F"/>
    <w:rsid w:val="00CB316C"/>
    <w:rsid w:val="00CB34CD"/>
    <w:rsid w:val="00CB35BA"/>
    <w:rsid w:val="00CB375E"/>
    <w:rsid w:val="00CB3CE1"/>
    <w:rsid w:val="00CB3EA0"/>
    <w:rsid w:val="00CB45A8"/>
    <w:rsid w:val="00CB4934"/>
    <w:rsid w:val="00CB4FD6"/>
    <w:rsid w:val="00CB6EAB"/>
    <w:rsid w:val="00CB7321"/>
    <w:rsid w:val="00CB7B5A"/>
    <w:rsid w:val="00CC0363"/>
    <w:rsid w:val="00CC0880"/>
    <w:rsid w:val="00CC0C7F"/>
    <w:rsid w:val="00CC0DFD"/>
    <w:rsid w:val="00CC0FF3"/>
    <w:rsid w:val="00CC1368"/>
    <w:rsid w:val="00CC19D0"/>
    <w:rsid w:val="00CC21B3"/>
    <w:rsid w:val="00CC21CE"/>
    <w:rsid w:val="00CC2311"/>
    <w:rsid w:val="00CC2E29"/>
    <w:rsid w:val="00CC388C"/>
    <w:rsid w:val="00CC3D43"/>
    <w:rsid w:val="00CC4A8C"/>
    <w:rsid w:val="00CC4AD5"/>
    <w:rsid w:val="00CC4B07"/>
    <w:rsid w:val="00CC5042"/>
    <w:rsid w:val="00CC5B19"/>
    <w:rsid w:val="00CC5C84"/>
    <w:rsid w:val="00CC6004"/>
    <w:rsid w:val="00CC600B"/>
    <w:rsid w:val="00CC6B54"/>
    <w:rsid w:val="00CC728E"/>
    <w:rsid w:val="00CC78D5"/>
    <w:rsid w:val="00CC7A53"/>
    <w:rsid w:val="00CC7BCB"/>
    <w:rsid w:val="00CC7F8E"/>
    <w:rsid w:val="00CD16E3"/>
    <w:rsid w:val="00CD1B20"/>
    <w:rsid w:val="00CD1C7B"/>
    <w:rsid w:val="00CD27EF"/>
    <w:rsid w:val="00CD2B14"/>
    <w:rsid w:val="00CD2BB0"/>
    <w:rsid w:val="00CD315F"/>
    <w:rsid w:val="00CD5502"/>
    <w:rsid w:val="00CD55DC"/>
    <w:rsid w:val="00CD573A"/>
    <w:rsid w:val="00CD5CBD"/>
    <w:rsid w:val="00CD5E31"/>
    <w:rsid w:val="00CD6041"/>
    <w:rsid w:val="00CD646B"/>
    <w:rsid w:val="00CD6832"/>
    <w:rsid w:val="00CD6C98"/>
    <w:rsid w:val="00CD6E71"/>
    <w:rsid w:val="00CD75BC"/>
    <w:rsid w:val="00CE0B7A"/>
    <w:rsid w:val="00CE0D6A"/>
    <w:rsid w:val="00CE120F"/>
    <w:rsid w:val="00CE125D"/>
    <w:rsid w:val="00CE136D"/>
    <w:rsid w:val="00CE14DC"/>
    <w:rsid w:val="00CE16D4"/>
    <w:rsid w:val="00CE1EEE"/>
    <w:rsid w:val="00CE2598"/>
    <w:rsid w:val="00CE2887"/>
    <w:rsid w:val="00CE2BDA"/>
    <w:rsid w:val="00CE38E9"/>
    <w:rsid w:val="00CE3E8C"/>
    <w:rsid w:val="00CE523A"/>
    <w:rsid w:val="00CE544B"/>
    <w:rsid w:val="00CE5A51"/>
    <w:rsid w:val="00CE63CD"/>
    <w:rsid w:val="00CE66F0"/>
    <w:rsid w:val="00CE6AAC"/>
    <w:rsid w:val="00CE761C"/>
    <w:rsid w:val="00CF0007"/>
    <w:rsid w:val="00CF00E1"/>
    <w:rsid w:val="00CF0C66"/>
    <w:rsid w:val="00CF11BC"/>
    <w:rsid w:val="00CF15E1"/>
    <w:rsid w:val="00CF1758"/>
    <w:rsid w:val="00CF1890"/>
    <w:rsid w:val="00CF1BAD"/>
    <w:rsid w:val="00CF239F"/>
    <w:rsid w:val="00CF2494"/>
    <w:rsid w:val="00CF2893"/>
    <w:rsid w:val="00CF2B46"/>
    <w:rsid w:val="00CF320F"/>
    <w:rsid w:val="00CF33F1"/>
    <w:rsid w:val="00CF391E"/>
    <w:rsid w:val="00CF3A42"/>
    <w:rsid w:val="00CF40CC"/>
    <w:rsid w:val="00CF480D"/>
    <w:rsid w:val="00CF5330"/>
    <w:rsid w:val="00CF536C"/>
    <w:rsid w:val="00CF583F"/>
    <w:rsid w:val="00CF58B3"/>
    <w:rsid w:val="00CF59BC"/>
    <w:rsid w:val="00CF5C49"/>
    <w:rsid w:val="00CF6015"/>
    <w:rsid w:val="00CF630E"/>
    <w:rsid w:val="00CF6F3C"/>
    <w:rsid w:val="00CF7469"/>
    <w:rsid w:val="00CF7AA0"/>
    <w:rsid w:val="00D00482"/>
    <w:rsid w:val="00D00934"/>
    <w:rsid w:val="00D01FFF"/>
    <w:rsid w:val="00D028BB"/>
    <w:rsid w:val="00D03109"/>
    <w:rsid w:val="00D03148"/>
    <w:rsid w:val="00D03431"/>
    <w:rsid w:val="00D035A2"/>
    <w:rsid w:val="00D03E55"/>
    <w:rsid w:val="00D0401A"/>
    <w:rsid w:val="00D0423A"/>
    <w:rsid w:val="00D0441C"/>
    <w:rsid w:val="00D044F5"/>
    <w:rsid w:val="00D04563"/>
    <w:rsid w:val="00D046DE"/>
    <w:rsid w:val="00D05081"/>
    <w:rsid w:val="00D05233"/>
    <w:rsid w:val="00D053C5"/>
    <w:rsid w:val="00D05E5B"/>
    <w:rsid w:val="00D05FAC"/>
    <w:rsid w:val="00D06100"/>
    <w:rsid w:val="00D06563"/>
    <w:rsid w:val="00D06755"/>
    <w:rsid w:val="00D069D2"/>
    <w:rsid w:val="00D07815"/>
    <w:rsid w:val="00D10393"/>
    <w:rsid w:val="00D10722"/>
    <w:rsid w:val="00D115E8"/>
    <w:rsid w:val="00D11795"/>
    <w:rsid w:val="00D11D32"/>
    <w:rsid w:val="00D1271B"/>
    <w:rsid w:val="00D129C3"/>
    <w:rsid w:val="00D12E0B"/>
    <w:rsid w:val="00D131DA"/>
    <w:rsid w:val="00D13BF9"/>
    <w:rsid w:val="00D140F9"/>
    <w:rsid w:val="00D1465A"/>
    <w:rsid w:val="00D148A3"/>
    <w:rsid w:val="00D14BAF"/>
    <w:rsid w:val="00D160F6"/>
    <w:rsid w:val="00D162EA"/>
    <w:rsid w:val="00D1641B"/>
    <w:rsid w:val="00D1656D"/>
    <w:rsid w:val="00D1685E"/>
    <w:rsid w:val="00D1727B"/>
    <w:rsid w:val="00D172E0"/>
    <w:rsid w:val="00D17619"/>
    <w:rsid w:val="00D17718"/>
    <w:rsid w:val="00D179A7"/>
    <w:rsid w:val="00D17D37"/>
    <w:rsid w:val="00D17EAD"/>
    <w:rsid w:val="00D17FA3"/>
    <w:rsid w:val="00D201BC"/>
    <w:rsid w:val="00D20685"/>
    <w:rsid w:val="00D20DBF"/>
    <w:rsid w:val="00D2164B"/>
    <w:rsid w:val="00D21B08"/>
    <w:rsid w:val="00D22163"/>
    <w:rsid w:val="00D2254A"/>
    <w:rsid w:val="00D22A5D"/>
    <w:rsid w:val="00D22B2F"/>
    <w:rsid w:val="00D22C43"/>
    <w:rsid w:val="00D22C7E"/>
    <w:rsid w:val="00D231CE"/>
    <w:rsid w:val="00D2345C"/>
    <w:rsid w:val="00D23BB0"/>
    <w:rsid w:val="00D2428E"/>
    <w:rsid w:val="00D245CF"/>
    <w:rsid w:val="00D24AAF"/>
    <w:rsid w:val="00D24C1B"/>
    <w:rsid w:val="00D25531"/>
    <w:rsid w:val="00D25E31"/>
    <w:rsid w:val="00D25F65"/>
    <w:rsid w:val="00D260EC"/>
    <w:rsid w:val="00D26359"/>
    <w:rsid w:val="00D27078"/>
    <w:rsid w:val="00D270D3"/>
    <w:rsid w:val="00D270F4"/>
    <w:rsid w:val="00D27229"/>
    <w:rsid w:val="00D30024"/>
    <w:rsid w:val="00D3031D"/>
    <w:rsid w:val="00D307A8"/>
    <w:rsid w:val="00D30907"/>
    <w:rsid w:val="00D309EB"/>
    <w:rsid w:val="00D30DEF"/>
    <w:rsid w:val="00D316C0"/>
    <w:rsid w:val="00D316C3"/>
    <w:rsid w:val="00D31D7D"/>
    <w:rsid w:val="00D32270"/>
    <w:rsid w:val="00D3269E"/>
    <w:rsid w:val="00D326FA"/>
    <w:rsid w:val="00D32D54"/>
    <w:rsid w:val="00D33492"/>
    <w:rsid w:val="00D337A1"/>
    <w:rsid w:val="00D33875"/>
    <w:rsid w:val="00D338FE"/>
    <w:rsid w:val="00D33BC2"/>
    <w:rsid w:val="00D33E56"/>
    <w:rsid w:val="00D33F71"/>
    <w:rsid w:val="00D33FD0"/>
    <w:rsid w:val="00D34031"/>
    <w:rsid w:val="00D3535C"/>
    <w:rsid w:val="00D354E6"/>
    <w:rsid w:val="00D3593A"/>
    <w:rsid w:val="00D35B34"/>
    <w:rsid w:val="00D36690"/>
    <w:rsid w:val="00D36E99"/>
    <w:rsid w:val="00D36FF8"/>
    <w:rsid w:val="00D3715F"/>
    <w:rsid w:val="00D3723E"/>
    <w:rsid w:val="00D377DC"/>
    <w:rsid w:val="00D37BBF"/>
    <w:rsid w:val="00D407DA"/>
    <w:rsid w:val="00D410B3"/>
    <w:rsid w:val="00D4110C"/>
    <w:rsid w:val="00D412E6"/>
    <w:rsid w:val="00D414A4"/>
    <w:rsid w:val="00D41CD2"/>
    <w:rsid w:val="00D423B3"/>
    <w:rsid w:val="00D424FB"/>
    <w:rsid w:val="00D42662"/>
    <w:rsid w:val="00D42EF7"/>
    <w:rsid w:val="00D43142"/>
    <w:rsid w:val="00D434D1"/>
    <w:rsid w:val="00D4442C"/>
    <w:rsid w:val="00D44914"/>
    <w:rsid w:val="00D44DC9"/>
    <w:rsid w:val="00D45A13"/>
    <w:rsid w:val="00D45B61"/>
    <w:rsid w:val="00D46385"/>
    <w:rsid w:val="00D46999"/>
    <w:rsid w:val="00D46B13"/>
    <w:rsid w:val="00D46B59"/>
    <w:rsid w:val="00D47AB2"/>
    <w:rsid w:val="00D47C6E"/>
    <w:rsid w:val="00D50F48"/>
    <w:rsid w:val="00D511AB"/>
    <w:rsid w:val="00D513F8"/>
    <w:rsid w:val="00D5171E"/>
    <w:rsid w:val="00D5183E"/>
    <w:rsid w:val="00D51BF3"/>
    <w:rsid w:val="00D51F26"/>
    <w:rsid w:val="00D52500"/>
    <w:rsid w:val="00D52B6B"/>
    <w:rsid w:val="00D52E14"/>
    <w:rsid w:val="00D52FD8"/>
    <w:rsid w:val="00D533CF"/>
    <w:rsid w:val="00D534D0"/>
    <w:rsid w:val="00D53BF1"/>
    <w:rsid w:val="00D54511"/>
    <w:rsid w:val="00D54655"/>
    <w:rsid w:val="00D549ED"/>
    <w:rsid w:val="00D54BED"/>
    <w:rsid w:val="00D54CA4"/>
    <w:rsid w:val="00D5569F"/>
    <w:rsid w:val="00D556F4"/>
    <w:rsid w:val="00D55BFA"/>
    <w:rsid w:val="00D562C3"/>
    <w:rsid w:val="00D56378"/>
    <w:rsid w:val="00D5679D"/>
    <w:rsid w:val="00D56D07"/>
    <w:rsid w:val="00D57380"/>
    <w:rsid w:val="00D576C9"/>
    <w:rsid w:val="00D57974"/>
    <w:rsid w:val="00D60557"/>
    <w:rsid w:val="00D60BFF"/>
    <w:rsid w:val="00D60E43"/>
    <w:rsid w:val="00D60EBD"/>
    <w:rsid w:val="00D611D6"/>
    <w:rsid w:val="00D61788"/>
    <w:rsid w:val="00D63038"/>
    <w:rsid w:val="00D639F1"/>
    <w:rsid w:val="00D63B2C"/>
    <w:rsid w:val="00D63C1D"/>
    <w:rsid w:val="00D63EA7"/>
    <w:rsid w:val="00D63EE6"/>
    <w:rsid w:val="00D64179"/>
    <w:rsid w:val="00D645AB"/>
    <w:rsid w:val="00D64634"/>
    <w:rsid w:val="00D646F2"/>
    <w:rsid w:val="00D650A7"/>
    <w:rsid w:val="00D6543E"/>
    <w:rsid w:val="00D65591"/>
    <w:rsid w:val="00D662C0"/>
    <w:rsid w:val="00D662CD"/>
    <w:rsid w:val="00D665DE"/>
    <w:rsid w:val="00D6666F"/>
    <w:rsid w:val="00D6672F"/>
    <w:rsid w:val="00D6692E"/>
    <w:rsid w:val="00D66B4E"/>
    <w:rsid w:val="00D66CFF"/>
    <w:rsid w:val="00D66FCE"/>
    <w:rsid w:val="00D6725B"/>
    <w:rsid w:val="00D673BD"/>
    <w:rsid w:val="00D673FA"/>
    <w:rsid w:val="00D67C0A"/>
    <w:rsid w:val="00D67F18"/>
    <w:rsid w:val="00D700C0"/>
    <w:rsid w:val="00D7016E"/>
    <w:rsid w:val="00D71953"/>
    <w:rsid w:val="00D71FCE"/>
    <w:rsid w:val="00D71FFF"/>
    <w:rsid w:val="00D72590"/>
    <w:rsid w:val="00D72729"/>
    <w:rsid w:val="00D727BC"/>
    <w:rsid w:val="00D731AE"/>
    <w:rsid w:val="00D7377A"/>
    <w:rsid w:val="00D73798"/>
    <w:rsid w:val="00D7393D"/>
    <w:rsid w:val="00D73D1E"/>
    <w:rsid w:val="00D73D86"/>
    <w:rsid w:val="00D73E0B"/>
    <w:rsid w:val="00D73EEA"/>
    <w:rsid w:val="00D74091"/>
    <w:rsid w:val="00D74648"/>
    <w:rsid w:val="00D74878"/>
    <w:rsid w:val="00D7496D"/>
    <w:rsid w:val="00D74BE4"/>
    <w:rsid w:val="00D75C17"/>
    <w:rsid w:val="00D76AF1"/>
    <w:rsid w:val="00D76F13"/>
    <w:rsid w:val="00D7713E"/>
    <w:rsid w:val="00D774FA"/>
    <w:rsid w:val="00D77FC8"/>
    <w:rsid w:val="00D8093B"/>
    <w:rsid w:val="00D80A06"/>
    <w:rsid w:val="00D80F46"/>
    <w:rsid w:val="00D81295"/>
    <w:rsid w:val="00D817B5"/>
    <w:rsid w:val="00D81A31"/>
    <w:rsid w:val="00D81D64"/>
    <w:rsid w:val="00D81DA1"/>
    <w:rsid w:val="00D81E56"/>
    <w:rsid w:val="00D81F95"/>
    <w:rsid w:val="00D82295"/>
    <w:rsid w:val="00D825D9"/>
    <w:rsid w:val="00D82732"/>
    <w:rsid w:val="00D82B0F"/>
    <w:rsid w:val="00D8309D"/>
    <w:rsid w:val="00D8310F"/>
    <w:rsid w:val="00D83147"/>
    <w:rsid w:val="00D833CF"/>
    <w:rsid w:val="00D8404A"/>
    <w:rsid w:val="00D84100"/>
    <w:rsid w:val="00D84A9D"/>
    <w:rsid w:val="00D84F6E"/>
    <w:rsid w:val="00D859E4"/>
    <w:rsid w:val="00D86682"/>
    <w:rsid w:val="00D868D7"/>
    <w:rsid w:val="00D8690D"/>
    <w:rsid w:val="00D86A12"/>
    <w:rsid w:val="00D86AEE"/>
    <w:rsid w:val="00D86EDB"/>
    <w:rsid w:val="00D87067"/>
    <w:rsid w:val="00D87232"/>
    <w:rsid w:val="00D87691"/>
    <w:rsid w:val="00D87811"/>
    <w:rsid w:val="00D8784B"/>
    <w:rsid w:val="00D87A0C"/>
    <w:rsid w:val="00D905AA"/>
    <w:rsid w:val="00D90773"/>
    <w:rsid w:val="00D914A1"/>
    <w:rsid w:val="00D917BA"/>
    <w:rsid w:val="00D91FA3"/>
    <w:rsid w:val="00D92AD9"/>
    <w:rsid w:val="00D93258"/>
    <w:rsid w:val="00D93522"/>
    <w:rsid w:val="00D93652"/>
    <w:rsid w:val="00D93796"/>
    <w:rsid w:val="00D93A9D"/>
    <w:rsid w:val="00D93CC7"/>
    <w:rsid w:val="00D940B5"/>
    <w:rsid w:val="00D94C5D"/>
    <w:rsid w:val="00D950FF"/>
    <w:rsid w:val="00D9511F"/>
    <w:rsid w:val="00D95374"/>
    <w:rsid w:val="00D95C02"/>
    <w:rsid w:val="00D9620F"/>
    <w:rsid w:val="00D96AD0"/>
    <w:rsid w:val="00D96B1F"/>
    <w:rsid w:val="00D96D9D"/>
    <w:rsid w:val="00D97FFC"/>
    <w:rsid w:val="00DA008E"/>
    <w:rsid w:val="00DA043D"/>
    <w:rsid w:val="00DA0755"/>
    <w:rsid w:val="00DA0B70"/>
    <w:rsid w:val="00DA0C72"/>
    <w:rsid w:val="00DA0FEE"/>
    <w:rsid w:val="00DA1014"/>
    <w:rsid w:val="00DA11E9"/>
    <w:rsid w:val="00DA1DFB"/>
    <w:rsid w:val="00DA20E0"/>
    <w:rsid w:val="00DA2160"/>
    <w:rsid w:val="00DA246F"/>
    <w:rsid w:val="00DA2A5B"/>
    <w:rsid w:val="00DA2C8B"/>
    <w:rsid w:val="00DA3093"/>
    <w:rsid w:val="00DA3C30"/>
    <w:rsid w:val="00DA3F05"/>
    <w:rsid w:val="00DA42A3"/>
    <w:rsid w:val="00DA4B05"/>
    <w:rsid w:val="00DA5212"/>
    <w:rsid w:val="00DA58C6"/>
    <w:rsid w:val="00DA5A35"/>
    <w:rsid w:val="00DA6416"/>
    <w:rsid w:val="00DA6B31"/>
    <w:rsid w:val="00DA737C"/>
    <w:rsid w:val="00DA7601"/>
    <w:rsid w:val="00DA7613"/>
    <w:rsid w:val="00DA78ED"/>
    <w:rsid w:val="00DA7B4F"/>
    <w:rsid w:val="00DA7BB3"/>
    <w:rsid w:val="00DA7CF5"/>
    <w:rsid w:val="00DB0345"/>
    <w:rsid w:val="00DB092A"/>
    <w:rsid w:val="00DB0A7E"/>
    <w:rsid w:val="00DB1150"/>
    <w:rsid w:val="00DB11F1"/>
    <w:rsid w:val="00DB1980"/>
    <w:rsid w:val="00DB1B38"/>
    <w:rsid w:val="00DB28B3"/>
    <w:rsid w:val="00DB32D2"/>
    <w:rsid w:val="00DB3D91"/>
    <w:rsid w:val="00DB3E05"/>
    <w:rsid w:val="00DB3F79"/>
    <w:rsid w:val="00DB4509"/>
    <w:rsid w:val="00DB4C4F"/>
    <w:rsid w:val="00DB513A"/>
    <w:rsid w:val="00DB57AA"/>
    <w:rsid w:val="00DB5843"/>
    <w:rsid w:val="00DB5F0E"/>
    <w:rsid w:val="00DB60F3"/>
    <w:rsid w:val="00DB6799"/>
    <w:rsid w:val="00DB7BD0"/>
    <w:rsid w:val="00DB7DEA"/>
    <w:rsid w:val="00DB7EF6"/>
    <w:rsid w:val="00DC0023"/>
    <w:rsid w:val="00DC006A"/>
    <w:rsid w:val="00DC00EC"/>
    <w:rsid w:val="00DC075B"/>
    <w:rsid w:val="00DC0E6F"/>
    <w:rsid w:val="00DC12C2"/>
    <w:rsid w:val="00DC16B0"/>
    <w:rsid w:val="00DC16F6"/>
    <w:rsid w:val="00DC245E"/>
    <w:rsid w:val="00DC2AAA"/>
    <w:rsid w:val="00DC2AEE"/>
    <w:rsid w:val="00DC2CC1"/>
    <w:rsid w:val="00DC2E6F"/>
    <w:rsid w:val="00DC30BF"/>
    <w:rsid w:val="00DC31CE"/>
    <w:rsid w:val="00DC336A"/>
    <w:rsid w:val="00DC369C"/>
    <w:rsid w:val="00DC3B81"/>
    <w:rsid w:val="00DC3E92"/>
    <w:rsid w:val="00DC4765"/>
    <w:rsid w:val="00DC47E3"/>
    <w:rsid w:val="00DC4E41"/>
    <w:rsid w:val="00DC57AE"/>
    <w:rsid w:val="00DC5B5D"/>
    <w:rsid w:val="00DC647A"/>
    <w:rsid w:val="00DC64EB"/>
    <w:rsid w:val="00DC66A0"/>
    <w:rsid w:val="00DC695B"/>
    <w:rsid w:val="00DC76AC"/>
    <w:rsid w:val="00DD0189"/>
    <w:rsid w:val="00DD05B8"/>
    <w:rsid w:val="00DD09FE"/>
    <w:rsid w:val="00DD0BA0"/>
    <w:rsid w:val="00DD1C07"/>
    <w:rsid w:val="00DD1CF7"/>
    <w:rsid w:val="00DD2C7C"/>
    <w:rsid w:val="00DD2EFF"/>
    <w:rsid w:val="00DD3934"/>
    <w:rsid w:val="00DD3BA2"/>
    <w:rsid w:val="00DD3CA4"/>
    <w:rsid w:val="00DD3EA0"/>
    <w:rsid w:val="00DD4907"/>
    <w:rsid w:val="00DD4F88"/>
    <w:rsid w:val="00DD557B"/>
    <w:rsid w:val="00DD5748"/>
    <w:rsid w:val="00DD5B7F"/>
    <w:rsid w:val="00DD6364"/>
    <w:rsid w:val="00DD64EB"/>
    <w:rsid w:val="00DD6E80"/>
    <w:rsid w:val="00DD70FE"/>
    <w:rsid w:val="00DD7634"/>
    <w:rsid w:val="00DE2AED"/>
    <w:rsid w:val="00DE2E08"/>
    <w:rsid w:val="00DE3D31"/>
    <w:rsid w:val="00DE3F3C"/>
    <w:rsid w:val="00DE421C"/>
    <w:rsid w:val="00DE46F2"/>
    <w:rsid w:val="00DE48AD"/>
    <w:rsid w:val="00DE4B3D"/>
    <w:rsid w:val="00DE4C13"/>
    <w:rsid w:val="00DE504B"/>
    <w:rsid w:val="00DE6764"/>
    <w:rsid w:val="00DE7075"/>
    <w:rsid w:val="00DE71D2"/>
    <w:rsid w:val="00DE7B5F"/>
    <w:rsid w:val="00DE7EF0"/>
    <w:rsid w:val="00DE7F28"/>
    <w:rsid w:val="00DF136D"/>
    <w:rsid w:val="00DF1D76"/>
    <w:rsid w:val="00DF1F0C"/>
    <w:rsid w:val="00DF22A5"/>
    <w:rsid w:val="00DF22F9"/>
    <w:rsid w:val="00DF2854"/>
    <w:rsid w:val="00DF3EFE"/>
    <w:rsid w:val="00DF4249"/>
    <w:rsid w:val="00DF45FC"/>
    <w:rsid w:val="00DF494A"/>
    <w:rsid w:val="00DF4954"/>
    <w:rsid w:val="00DF4FDF"/>
    <w:rsid w:val="00DF540F"/>
    <w:rsid w:val="00DF5823"/>
    <w:rsid w:val="00DF5952"/>
    <w:rsid w:val="00DF5A91"/>
    <w:rsid w:val="00DF6034"/>
    <w:rsid w:val="00DF64CB"/>
    <w:rsid w:val="00DF689E"/>
    <w:rsid w:val="00DF73AB"/>
    <w:rsid w:val="00DF7E20"/>
    <w:rsid w:val="00E00FC1"/>
    <w:rsid w:val="00E0101F"/>
    <w:rsid w:val="00E011BD"/>
    <w:rsid w:val="00E02344"/>
    <w:rsid w:val="00E0261F"/>
    <w:rsid w:val="00E031CB"/>
    <w:rsid w:val="00E031CD"/>
    <w:rsid w:val="00E0335E"/>
    <w:rsid w:val="00E0356F"/>
    <w:rsid w:val="00E03F24"/>
    <w:rsid w:val="00E04CA2"/>
    <w:rsid w:val="00E04CBB"/>
    <w:rsid w:val="00E051FA"/>
    <w:rsid w:val="00E05E4A"/>
    <w:rsid w:val="00E06575"/>
    <w:rsid w:val="00E06CF8"/>
    <w:rsid w:val="00E06DF7"/>
    <w:rsid w:val="00E07A4E"/>
    <w:rsid w:val="00E07F91"/>
    <w:rsid w:val="00E10779"/>
    <w:rsid w:val="00E10EF6"/>
    <w:rsid w:val="00E11413"/>
    <w:rsid w:val="00E1141F"/>
    <w:rsid w:val="00E11678"/>
    <w:rsid w:val="00E11922"/>
    <w:rsid w:val="00E11FAE"/>
    <w:rsid w:val="00E125F2"/>
    <w:rsid w:val="00E12F26"/>
    <w:rsid w:val="00E13D3E"/>
    <w:rsid w:val="00E13E72"/>
    <w:rsid w:val="00E140F8"/>
    <w:rsid w:val="00E141A6"/>
    <w:rsid w:val="00E14CB7"/>
    <w:rsid w:val="00E14E15"/>
    <w:rsid w:val="00E15BE7"/>
    <w:rsid w:val="00E15E16"/>
    <w:rsid w:val="00E15EC3"/>
    <w:rsid w:val="00E1728D"/>
    <w:rsid w:val="00E173A9"/>
    <w:rsid w:val="00E1742B"/>
    <w:rsid w:val="00E178F7"/>
    <w:rsid w:val="00E17FC0"/>
    <w:rsid w:val="00E200A8"/>
    <w:rsid w:val="00E20215"/>
    <w:rsid w:val="00E203DD"/>
    <w:rsid w:val="00E20CF8"/>
    <w:rsid w:val="00E20E6F"/>
    <w:rsid w:val="00E212E2"/>
    <w:rsid w:val="00E218B6"/>
    <w:rsid w:val="00E21B75"/>
    <w:rsid w:val="00E21CA9"/>
    <w:rsid w:val="00E21DEF"/>
    <w:rsid w:val="00E225F9"/>
    <w:rsid w:val="00E22F3A"/>
    <w:rsid w:val="00E235DC"/>
    <w:rsid w:val="00E2381C"/>
    <w:rsid w:val="00E23B10"/>
    <w:rsid w:val="00E241D4"/>
    <w:rsid w:val="00E2430A"/>
    <w:rsid w:val="00E245FD"/>
    <w:rsid w:val="00E24641"/>
    <w:rsid w:val="00E248AB"/>
    <w:rsid w:val="00E24B7C"/>
    <w:rsid w:val="00E25422"/>
    <w:rsid w:val="00E26538"/>
    <w:rsid w:val="00E26862"/>
    <w:rsid w:val="00E26D45"/>
    <w:rsid w:val="00E273CE"/>
    <w:rsid w:val="00E27878"/>
    <w:rsid w:val="00E27C14"/>
    <w:rsid w:val="00E30947"/>
    <w:rsid w:val="00E30EB9"/>
    <w:rsid w:val="00E3104F"/>
    <w:rsid w:val="00E31186"/>
    <w:rsid w:val="00E31AC9"/>
    <w:rsid w:val="00E31BF3"/>
    <w:rsid w:val="00E324B0"/>
    <w:rsid w:val="00E32B70"/>
    <w:rsid w:val="00E32FA5"/>
    <w:rsid w:val="00E34710"/>
    <w:rsid w:val="00E3474A"/>
    <w:rsid w:val="00E34A5F"/>
    <w:rsid w:val="00E35052"/>
    <w:rsid w:val="00E350F9"/>
    <w:rsid w:val="00E352BB"/>
    <w:rsid w:val="00E35894"/>
    <w:rsid w:val="00E35C83"/>
    <w:rsid w:val="00E35C8E"/>
    <w:rsid w:val="00E360D9"/>
    <w:rsid w:val="00E364A8"/>
    <w:rsid w:val="00E37068"/>
    <w:rsid w:val="00E3756D"/>
    <w:rsid w:val="00E377F9"/>
    <w:rsid w:val="00E40261"/>
    <w:rsid w:val="00E404C5"/>
    <w:rsid w:val="00E404FF"/>
    <w:rsid w:val="00E40A58"/>
    <w:rsid w:val="00E41238"/>
    <w:rsid w:val="00E41683"/>
    <w:rsid w:val="00E41746"/>
    <w:rsid w:val="00E419F3"/>
    <w:rsid w:val="00E41A48"/>
    <w:rsid w:val="00E41B16"/>
    <w:rsid w:val="00E41D7F"/>
    <w:rsid w:val="00E42269"/>
    <w:rsid w:val="00E42284"/>
    <w:rsid w:val="00E4230A"/>
    <w:rsid w:val="00E425BF"/>
    <w:rsid w:val="00E42891"/>
    <w:rsid w:val="00E42F11"/>
    <w:rsid w:val="00E43005"/>
    <w:rsid w:val="00E43192"/>
    <w:rsid w:val="00E435C1"/>
    <w:rsid w:val="00E437CF"/>
    <w:rsid w:val="00E43BE7"/>
    <w:rsid w:val="00E43DE2"/>
    <w:rsid w:val="00E44457"/>
    <w:rsid w:val="00E44496"/>
    <w:rsid w:val="00E445B4"/>
    <w:rsid w:val="00E44919"/>
    <w:rsid w:val="00E44A6C"/>
    <w:rsid w:val="00E45342"/>
    <w:rsid w:val="00E4545E"/>
    <w:rsid w:val="00E454E8"/>
    <w:rsid w:val="00E4560B"/>
    <w:rsid w:val="00E4619C"/>
    <w:rsid w:val="00E4670C"/>
    <w:rsid w:val="00E467C4"/>
    <w:rsid w:val="00E467C5"/>
    <w:rsid w:val="00E4685E"/>
    <w:rsid w:val="00E46E15"/>
    <w:rsid w:val="00E4719C"/>
    <w:rsid w:val="00E476A5"/>
    <w:rsid w:val="00E47746"/>
    <w:rsid w:val="00E478A6"/>
    <w:rsid w:val="00E47B6C"/>
    <w:rsid w:val="00E47C48"/>
    <w:rsid w:val="00E50CB4"/>
    <w:rsid w:val="00E5101B"/>
    <w:rsid w:val="00E51E35"/>
    <w:rsid w:val="00E51EAD"/>
    <w:rsid w:val="00E51F24"/>
    <w:rsid w:val="00E529AD"/>
    <w:rsid w:val="00E52CD3"/>
    <w:rsid w:val="00E52D0C"/>
    <w:rsid w:val="00E54132"/>
    <w:rsid w:val="00E54254"/>
    <w:rsid w:val="00E542ED"/>
    <w:rsid w:val="00E54416"/>
    <w:rsid w:val="00E54FBD"/>
    <w:rsid w:val="00E55A56"/>
    <w:rsid w:val="00E55F64"/>
    <w:rsid w:val="00E560D7"/>
    <w:rsid w:val="00E56229"/>
    <w:rsid w:val="00E5639A"/>
    <w:rsid w:val="00E565A8"/>
    <w:rsid w:val="00E5696C"/>
    <w:rsid w:val="00E5699D"/>
    <w:rsid w:val="00E56D70"/>
    <w:rsid w:val="00E57EA5"/>
    <w:rsid w:val="00E57F93"/>
    <w:rsid w:val="00E60A6A"/>
    <w:rsid w:val="00E60C9E"/>
    <w:rsid w:val="00E6122C"/>
    <w:rsid w:val="00E62149"/>
    <w:rsid w:val="00E62315"/>
    <w:rsid w:val="00E62412"/>
    <w:rsid w:val="00E6279B"/>
    <w:rsid w:val="00E6286E"/>
    <w:rsid w:val="00E62AFC"/>
    <w:rsid w:val="00E62E7A"/>
    <w:rsid w:val="00E6368A"/>
    <w:rsid w:val="00E6392A"/>
    <w:rsid w:val="00E63C70"/>
    <w:rsid w:val="00E6495C"/>
    <w:rsid w:val="00E64979"/>
    <w:rsid w:val="00E64990"/>
    <w:rsid w:val="00E64DE9"/>
    <w:rsid w:val="00E6513A"/>
    <w:rsid w:val="00E66501"/>
    <w:rsid w:val="00E6654A"/>
    <w:rsid w:val="00E6664E"/>
    <w:rsid w:val="00E66821"/>
    <w:rsid w:val="00E67E4F"/>
    <w:rsid w:val="00E67F1E"/>
    <w:rsid w:val="00E70282"/>
    <w:rsid w:val="00E70880"/>
    <w:rsid w:val="00E70CF4"/>
    <w:rsid w:val="00E71045"/>
    <w:rsid w:val="00E7123B"/>
    <w:rsid w:val="00E71374"/>
    <w:rsid w:val="00E716B3"/>
    <w:rsid w:val="00E71772"/>
    <w:rsid w:val="00E719CE"/>
    <w:rsid w:val="00E71B00"/>
    <w:rsid w:val="00E71D80"/>
    <w:rsid w:val="00E72ABF"/>
    <w:rsid w:val="00E72ADC"/>
    <w:rsid w:val="00E72CBF"/>
    <w:rsid w:val="00E732AA"/>
    <w:rsid w:val="00E73C64"/>
    <w:rsid w:val="00E75424"/>
    <w:rsid w:val="00E7588D"/>
    <w:rsid w:val="00E759AC"/>
    <w:rsid w:val="00E761FA"/>
    <w:rsid w:val="00E7625A"/>
    <w:rsid w:val="00E763A9"/>
    <w:rsid w:val="00E7650B"/>
    <w:rsid w:val="00E766A6"/>
    <w:rsid w:val="00E77778"/>
    <w:rsid w:val="00E77EF0"/>
    <w:rsid w:val="00E80132"/>
    <w:rsid w:val="00E80210"/>
    <w:rsid w:val="00E8027A"/>
    <w:rsid w:val="00E811C2"/>
    <w:rsid w:val="00E81551"/>
    <w:rsid w:val="00E815D3"/>
    <w:rsid w:val="00E81CE9"/>
    <w:rsid w:val="00E823DD"/>
    <w:rsid w:val="00E83002"/>
    <w:rsid w:val="00E83692"/>
    <w:rsid w:val="00E83A21"/>
    <w:rsid w:val="00E84046"/>
    <w:rsid w:val="00E84B01"/>
    <w:rsid w:val="00E84B71"/>
    <w:rsid w:val="00E84B8A"/>
    <w:rsid w:val="00E84C93"/>
    <w:rsid w:val="00E85029"/>
    <w:rsid w:val="00E85170"/>
    <w:rsid w:val="00E85243"/>
    <w:rsid w:val="00E8569D"/>
    <w:rsid w:val="00E8595E"/>
    <w:rsid w:val="00E85E27"/>
    <w:rsid w:val="00E86497"/>
    <w:rsid w:val="00E86730"/>
    <w:rsid w:val="00E86909"/>
    <w:rsid w:val="00E86A79"/>
    <w:rsid w:val="00E86D4C"/>
    <w:rsid w:val="00E87CC0"/>
    <w:rsid w:val="00E87D2B"/>
    <w:rsid w:val="00E87E6E"/>
    <w:rsid w:val="00E90454"/>
    <w:rsid w:val="00E9061D"/>
    <w:rsid w:val="00E90C14"/>
    <w:rsid w:val="00E90F90"/>
    <w:rsid w:val="00E91BC6"/>
    <w:rsid w:val="00E91C16"/>
    <w:rsid w:val="00E933E8"/>
    <w:rsid w:val="00E9352A"/>
    <w:rsid w:val="00E948E4"/>
    <w:rsid w:val="00E94C5A"/>
    <w:rsid w:val="00E94CB1"/>
    <w:rsid w:val="00E9514B"/>
    <w:rsid w:val="00E953D7"/>
    <w:rsid w:val="00E95671"/>
    <w:rsid w:val="00E95852"/>
    <w:rsid w:val="00E95B7C"/>
    <w:rsid w:val="00E95DCE"/>
    <w:rsid w:val="00E97614"/>
    <w:rsid w:val="00E977B3"/>
    <w:rsid w:val="00EA00F7"/>
    <w:rsid w:val="00EA0466"/>
    <w:rsid w:val="00EA062E"/>
    <w:rsid w:val="00EA09E4"/>
    <w:rsid w:val="00EA113B"/>
    <w:rsid w:val="00EA210F"/>
    <w:rsid w:val="00EA22F5"/>
    <w:rsid w:val="00EA2B50"/>
    <w:rsid w:val="00EA30CC"/>
    <w:rsid w:val="00EA3373"/>
    <w:rsid w:val="00EA3574"/>
    <w:rsid w:val="00EA38E3"/>
    <w:rsid w:val="00EA3CF9"/>
    <w:rsid w:val="00EA44B0"/>
    <w:rsid w:val="00EA482A"/>
    <w:rsid w:val="00EA4AA3"/>
    <w:rsid w:val="00EA4C88"/>
    <w:rsid w:val="00EA52D0"/>
    <w:rsid w:val="00EA52E4"/>
    <w:rsid w:val="00EA5602"/>
    <w:rsid w:val="00EA5A25"/>
    <w:rsid w:val="00EA67BE"/>
    <w:rsid w:val="00EA6E24"/>
    <w:rsid w:val="00EA7244"/>
    <w:rsid w:val="00EA74B1"/>
    <w:rsid w:val="00EB00D2"/>
    <w:rsid w:val="00EB00D9"/>
    <w:rsid w:val="00EB0362"/>
    <w:rsid w:val="00EB0508"/>
    <w:rsid w:val="00EB08CB"/>
    <w:rsid w:val="00EB11A7"/>
    <w:rsid w:val="00EB13D0"/>
    <w:rsid w:val="00EB1F61"/>
    <w:rsid w:val="00EB27C0"/>
    <w:rsid w:val="00EB28D1"/>
    <w:rsid w:val="00EB2A7F"/>
    <w:rsid w:val="00EB2B74"/>
    <w:rsid w:val="00EB2B7C"/>
    <w:rsid w:val="00EB2C88"/>
    <w:rsid w:val="00EB31E6"/>
    <w:rsid w:val="00EB3FBC"/>
    <w:rsid w:val="00EB47BD"/>
    <w:rsid w:val="00EB49EC"/>
    <w:rsid w:val="00EB4CE8"/>
    <w:rsid w:val="00EB4E84"/>
    <w:rsid w:val="00EB52F2"/>
    <w:rsid w:val="00EB53B6"/>
    <w:rsid w:val="00EB58F8"/>
    <w:rsid w:val="00EB5A97"/>
    <w:rsid w:val="00EB607C"/>
    <w:rsid w:val="00EB6233"/>
    <w:rsid w:val="00EB6244"/>
    <w:rsid w:val="00EB6597"/>
    <w:rsid w:val="00EB6666"/>
    <w:rsid w:val="00EB678C"/>
    <w:rsid w:val="00EB67B0"/>
    <w:rsid w:val="00EB6B85"/>
    <w:rsid w:val="00EB6D55"/>
    <w:rsid w:val="00EB7AAD"/>
    <w:rsid w:val="00EB7ADA"/>
    <w:rsid w:val="00EB7C49"/>
    <w:rsid w:val="00EC0A50"/>
    <w:rsid w:val="00EC1232"/>
    <w:rsid w:val="00EC12F4"/>
    <w:rsid w:val="00EC1378"/>
    <w:rsid w:val="00EC1D13"/>
    <w:rsid w:val="00EC2F14"/>
    <w:rsid w:val="00EC33F0"/>
    <w:rsid w:val="00EC3694"/>
    <w:rsid w:val="00EC388D"/>
    <w:rsid w:val="00EC3EA9"/>
    <w:rsid w:val="00EC4658"/>
    <w:rsid w:val="00EC48E7"/>
    <w:rsid w:val="00EC4C96"/>
    <w:rsid w:val="00EC5201"/>
    <w:rsid w:val="00EC547B"/>
    <w:rsid w:val="00EC5E6D"/>
    <w:rsid w:val="00EC606E"/>
    <w:rsid w:val="00EC626D"/>
    <w:rsid w:val="00EC62BA"/>
    <w:rsid w:val="00EC6878"/>
    <w:rsid w:val="00EC69CA"/>
    <w:rsid w:val="00EC6F21"/>
    <w:rsid w:val="00EC70BC"/>
    <w:rsid w:val="00EC7137"/>
    <w:rsid w:val="00EC7393"/>
    <w:rsid w:val="00EC77C7"/>
    <w:rsid w:val="00EC7C31"/>
    <w:rsid w:val="00EC7D3C"/>
    <w:rsid w:val="00EC7FD4"/>
    <w:rsid w:val="00ED0453"/>
    <w:rsid w:val="00ED0623"/>
    <w:rsid w:val="00ED166F"/>
    <w:rsid w:val="00ED17E0"/>
    <w:rsid w:val="00ED1E30"/>
    <w:rsid w:val="00ED2A1F"/>
    <w:rsid w:val="00ED392C"/>
    <w:rsid w:val="00ED3A08"/>
    <w:rsid w:val="00ED43EA"/>
    <w:rsid w:val="00ED4410"/>
    <w:rsid w:val="00ED44B9"/>
    <w:rsid w:val="00ED4F42"/>
    <w:rsid w:val="00ED515F"/>
    <w:rsid w:val="00ED562F"/>
    <w:rsid w:val="00ED58F2"/>
    <w:rsid w:val="00ED5B64"/>
    <w:rsid w:val="00ED5B96"/>
    <w:rsid w:val="00ED5C84"/>
    <w:rsid w:val="00ED6953"/>
    <w:rsid w:val="00ED695B"/>
    <w:rsid w:val="00ED7206"/>
    <w:rsid w:val="00ED739C"/>
    <w:rsid w:val="00ED744F"/>
    <w:rsid w:val="00ED767F"/>
    <w:rsid w:val="00ED7E6D"/>
    <w:rsid w:val="00EE06D4"/>
    <w:rsid w:val="00EE088E"/>
    <w:rsid w:val="00EE090F"/>
    <w:rsid w:val="00EE1607"/>
    <w:rsid w:val="00EE1720"/>
    <w:rsid w:val="00EE1CA8"/>
    <w:rsid w:val="00EE2832"/>
    <w:rsid w:val="00EE2E3A"/>
    <w:rsid w:val="00EE315A"/>
    <w:rsid w:val="00EE3192"/>
    <w:rsid w:val="00EE35D5"/>
    <w:rsid w:val="00EE3C34"/>
    <w:rsid w:val="00EE3F4B"/>
    <w:rsid w:val="00EE4527"/>
    <w:rsid w:val="00EE4758"/>
    <w:rsid w:val="00EE4819"/>
    <w:rsid w:val="00EE4E33"/>
    <w:rsid w:val="00EE4F59"/>
    <w:rsid w:val="00EE51EE"/>
    <w:rsid w:val="00EE53B9"/>
    <w:rsid w:val="00EE5532"/>
    <w:rsid w:val="00EE5650"/>
    <w:rsid w:val="00EE590A"/>
    <w:rsid w:val="00EE5B2D"/>
    <w:rsid w:val="00EE5B7B"/>
    <w:rsid w:val="00EE69B6"/>
    <w:rsid w:val="00EE6A12"/>
    <w:rsid w:val="00EE6B97"/>
    <w:rsid w:val="00EE79C0"/>
    <w:rsid w:val="00EE7D6D"/>
    <w:rsid w:val="00EF1B7E"/>
    <w:rsid w:val="00EF255E"/>
    <w:rsid w:val="00EF290E"/>
    <w:rsid w:val="00EF2CD4"/>
    <w:rsid w:val="00EF338C"/>
    <w:rsid w:val="00EF3761"/>
    <w:rsid w:val="00EF3D57"/>
    <w:rsid w:val="00EF4129"/>
    <w:rsid w:val="00EF42CE"/>
    <w:rsid w:val="00EF44BF"/>
    <w:rsid w:val="00EF4AF4"/>
    <w:rsid w:val="00EF4C8A"/>
    <w:rsid w:val="00EF4D4B"/>
    <w:rsid w:val="00EF507F"/>
    <w:rsid w:val="00EF5189"/>
    <w:rsid w:val="00EF5517"/>
    <w:rsid w:val="00EF5770"/>
    <w:rsid w:val="00EF57BE"/>
    <w:rsid w:val="00EF5965"/>
    <w:rsid w:val="00EF5FD3"/>
    <w:rsid w:val="00EF69C2"/>
    <w:rsid w:val="00EF7B71"/>
    <w:rsid w:val="00EF7BBF"/>
    <w:rsid w:val="00F016C2"/>
    <w:rsid w:val="00F01705"/>
    <w:rsid w:val="00F017ED"/>
    <w:rsid w:val="00F01EEE"/>
    <w:rsid w:val="00F021E2"/>
    <w:rsid w:val="00F029E3"/>
    <w:rsid w:val="00F02A36"/>
    <w:rsid w:val="00F03242"/>
    <w:rsid w:val="00F036D8"/>
    <w:rsid w:val="00F0374E"/>
    <w:rsid w:val="00F040B4"/>
    <w:rsid w:val="00F04221"/>
    <w:rsid w:val="00F04C37"/>
    <w:rsid w:val="00F04C71"/>
    <w:rsid w:val="00F05C3D"/>
    <w:rsid w:val="00F0612B"/>
    <w:rsid w:val="00F063B3"/>
    <w:rsid w:val="00F06844"/>
    <w:rsid w:val="00F07170"/>
    <w:rsid w:val="00F0736C"/>
    <w:rsid w:val="00F073BB"/>
    <w:rsid w:val="00F07BAB"/>
    <w:rsid w:val="00F07D1B"/>
    <w:rsid w:val="00F1002D"/>
    <w:rsid w:val="00F106B2"/>
    <w:rsid w:val="00F11349"/>
    <w:rsid w:val="00F11365"/>
    <w:rsid w:val="00F11BCE"/>
    <w:rsid w:val="00F11F03"/>
    <w:rsid w:val="00F126E7"/>
    <w:rsid w:val="00F1275E"/>
    <w:rsid w:val="00F13036"/>
    <w:rsid w:val="00F1361D"/>
    <w:rsid w:val="00F1407D"/>
    <w:rsid w:val="00F142F5"/>
    <w:rsid w:val="00F14896"/>
    <w:rsid w:val="00F15F5A"/>
    <w:rsid w:val="00F167A8"/>
    <w:rsid w:val="00F168B7"/>
    <w:rsid w:val="00F16940"/>
    <w:rsid w:val="00F17B01"/>
    <w:rsid w:val="00F17DCD"/>
    <w:rsid w:val="00F17F7D"/>
    <w:rsid w:val="00F2014B"/>
    <w:rsid w:val="00F205EE"/>
    <w:rsid w:val="00F2111D"/>
    <w:rsid w:val="00F21198"/>
    <w:rsid w:val="00F211DE"/>
    <w:rsid w:val="00F21FF5"/>
    <w:rsid w:val="00F22330"/>
    <w:rsid w:val="00F22456"/>
    <w:rsid w:val="00F2288E"/>
    <w:rsid w:val="00F22B3F"/>
    <w:rsid w:val="00F22F03"/>
    <w:rsid w:val="00F24206"/>
    <w:rsid w:val="00F245ED"/>
    <w:rsid w:val="00F24952"/>
    <w:rsid w:val="00F24C97"/>
    <w:rsid w:val="00F25A1D"/>
    <w:rsid w:val="00F25B8C"/>
    <w:rsid w:val="00F25F1E"/>
    <w:rsid w:val="00F2633A"/>
    <w:rsid w:val="00F264B3"/>
    <w:rsid w:val="00F26E7E"/>
    <w:rsid w:val="00F26FF7"/>
    <w:rsid w:val="00F271BD"/>
    <w:rsid w:val="00F2795C"/>
    <w:rsid w:val="00F27A56"/>
    <w:rsid w:val="00F27D1A"/>
    <w:rsid w:val="00F30361"/>
    <w:rsid w:val="00F304A3"/>
    <w:rsid w:val="00F30CD1"/>
    <w:rsid w:val="00F3190F"/>
    <w:rsid w:val="00F31A81"/>
    <w:rsid w:val="00F32437"/>
    <w:rsid w:val="00F32504"/>
    <w:rsid w:val="00F3298D"/>
    <w:rsid w:val="00F32A0A"/>
    <w:rsid w:val="00F32CC6"/>
    <w:rsid w:val="00F32F6B"/>
    <w:rsid w:val="00F3341B"/>
    <w:rsid w:val="00F33928"/>
    <w:rsid w:val="00F34742"/>
    <w:rsid w:val="00F35392"/>
    <w:rsid w:val="00F35442"/>
    <w:rsid w:val="00F35764"/>
    <w:rsid w:val="00F35C85"/>
    <w:rsid w:val="00F362DE"/>
    <w:rsid w:val="00F362E7"/>
    <w:rsid w:val="00F364B4"/>
    <w:rsid w:val="00F36E2D"/>
    <w:rsid w:val="00F37323"/>
    <w:rsid w:val="00F3779E"/>
    <w:rsid w:val="00F37C2F"/>
    <w:rsid w:val="00F37D77"/>
    <w:rsid w:val="00F37DFE"/>
    <w:rsid w:val="00F37E2C"/>
    <w:rsid w:val="00F40C56"/>
    <w:rsid w:val="00F40CB3"/>
    <w:rsid w:val="00F40CC5"/>
    <w:rsid w:val="00F40CDC"/>
    <w:rsid w:val="00F41A7B"/>
    <w:rsid w:val="00F421EC"/>
    <w:rsid w:val="00F428DA"/>
    <w:rsid w:val="00F435E7"/>
    <w:rsid w:val="00F440BF"/>
    <w:rsid w:val="00F444A0"/>
    <w:rsid w:val="00F44804"/>
    <w:rsid w:val="00F44B93"/>
    <w:rsid w:val="00F45329"/>
    <w:rsid w:val="00F4549A"/>
    <w:rsid w:val="00F467BB"/>
    <w:rsid w:val="00F46E7E"/>
    <w:rsid w:val="00F474B6"/>
    <w:rsid w:val="00F507F4"/>
    <w:rsid w:val="00F50937"/>
    <w:rsid w:val="00F51DA2"/>
    <w:rsid w:val="00F521A9"/>
    <w:rsid w:val="00F530CB"/>
    <w:rsid w:val="00F53350"/>
    <w:rsid w:val="00F53963"/>
    <w:rsid w:val="00F53ABA"/>
    <w:rsid w:val="00F53F22"/>
    <w:rsid w:val="00F548CA"/>
    <w:rsid w:val="00F5515B"/>
    <w:rsid w:val="00F551F7"/>
    <w:rsid w:val="00F55220"/>
    <w:rsid w:val="00F55711"/>
    <w:rsid w:val="00F558EB"/>
    <w:rsid w:val="00F56FB0"/>
    <w:rsid w:val="00F57034"/>
    <w:rsid w:val="00F57040"/>
    <w:rsid w:val="00F5791F"/>
    <w:rsid w:val="00F6042E"/>
    <w:rsid w:val="00F605FF"/>
    <w:rsid w:val="00F6078D"/>
    <w:rsid w:val="00F60EA1"/>
    <w:rsid w:val="00F6113C"/>
    <w:rsid w:val="00F61167"/>
    <w:rsid w:val="00F6155F"/>
    <w:rsid w:val="00F61E47"/>
    <w:rsid w:val="00F61FC1"/>
    <w:rsid w:val="00F62B12"/>
    <w:rsid w:val="00F62B3B"/>
    <w:rsid w:val="00F62C11"/>
    <w:rsid w:val="00F636AE"/>
    <w:rsid w:val="00F636DC"/>
    <w:rsid w:val="00F64A2C"/>
    <w:rsid w:val="00F64B7D"/>
    <w:rsid w:val="00F65501"/>
    <w:rsid w:val="00F65596"/>
    <w:rsid w:val="00F657AC"/>
    <w:rsid w:val="00F65D08"/>
    <w:rsid w:val="00F666E8"/>
    <w:rsid w:val="00F66B75"/>
    <w:rsid w:val="00F6704B"/>
    <w:rsid w:val="00F6711D"/>
    <w:rsid w:val="00F67538"/>
    <w:rsid w:val="00F6761A"/>
    <w:rsid w:val="00F67CE9"/>
    <w:rsid w:val="00F67D9C"/>
    <w:rsid w:val="00F709F3"/>
    <w:rsid w:val="00F71665"/>
    <w:rsid w:val="00F716E8"/>
    <w:rsid w:val="00F7222D"/>
    <w:rsid w:val="00F72580"/>
    <w:rsid w:val="00F72775"/>
    <w:rsid w:val="00F73164"/>
    <w:rsid w:val="00F737F8"/>
    <w:rsid w:val="00F73A72"/>
    <w:rsid w:val="00F73F62"/>
    <w:rsid w:val="00F742FE"/>
    <w:rsid w:val="00F7494B"/>
    <w:rsid w:val="00F74AE6"/>
    <w:rsid w:val="00F7511C"/>
    <w:rsid w:val="00F7622A"/>
    <w:rsid w:val="00F762E5"/>
    <w:rsid w:val="00F76C2E"/>
    <w:rsid w:val="00F77047"/>
    <w:rsid w:val="00F80251"/>
    <w:rsid w:val="00F8047A"/>
    <w:rsid w:val="00F80880"/>
    <w:rsid w:val="00F8097F"/>
    <w:rsid w:val="00F80E45"/>
    <w:rsid w:val="00F8160B"/>
    <w:rsid w:val="00F8180B"/>
    <w:rsid w:val="00F818A1"/>
    <w:rsid w:val="00F81E88"/>
    <w:rsid w:val="00F82F72"/>
    <w:rsid w:val="00F831FE"/>
    <w:rsid w:val="00F83609"/>
    <w:rsid w:val="00F8381A"/>
    <w:rsid w:val="00F83EB6"/>
    <w:rsid w:val="00F83ECE"/>
    <w:rsid w:val="00F84737"/>
    <w:rsid w:val="00F84C88"/>
    <w:rsid w:val="00F84F40"/>
    <w:rsid w:val="00F85149"/>
    <w:rsid w:val="00F851B8"/>
    <w:rsid w:val="00F85705"/>
    <w:rsid w:val="00F858EC"/>
    <w:rsid w:val="00F86A29"/>
    <w:rsid w:val="00F87361"/>
    <w:rsid w:val="00F87CCA"/>
    <w:rsid w:val="00F87CF5"/>
    <w:rsid w:val="00F87E5C"/>
    <w:rsid w:val="00F87F16"/>
    <w:rsid w:val="00F907C4"/>
    <w:rsid w:val="00F90C1F"/>
    <w:rsid w:val="00F90CE9"/>
    <w:rsid w:val="00F91174"/>
    <w:rsid w:val="00F917F2"/>
    <w:rsid w:val="00F91C13"/>
    <w:rsid w:val="00F91D33"/>
    <w:rsid w:val="00F92039"/>
    <w:rsid w:val="00F92140"/>
    <w:rsid w:val="00F92422"/>
    <w:rsid w:val="00F9243D"/>
    <w:rsid w:val="00F928DA"/>
    <w:rsid w:val="00F92BA7"/>
    <w:rsid w:val="00F92F95"/>
    <w:rsid w:val="00F933BB"/>
    <w:rsid w:val="00F9346E"/>
    <w:rsid w:val="00F93B7A"/>
    <w:rsid w:val="00F9466B"/>
    <w:rsid w:val="00F9471C"/>
    <w:rsid w:val="00F948FE"/>
    <w:rsid w:val="00F94C23"/>
    <w:rsid w:val="00F94F14"/>
    <w:rsid w:val="00F9532F"/>
    <w:rsid w:val="00F95416"/>
    <w:rsid w:val="00F956A7"/>
    <w:rsid w:val="00F95A9E"/>
    <w:rsid w:val="00F95D75"/>
    <w:rsid w:val="00F968E3"/>
    <w:rsid w:val="00F96953"/>
    <w:rsid w:val="00F9700B"/>
    <w:rsid w:val="00F979CA"/>
    <w:rsid w:val="00F97FC2"/>
    <w:rsid w:val="00FA00C4"/>
    <w:rsid w:val="00FA0966"/>
    <w:rsid w:val="00FA0FA3"/>
    <w:rsid w:val="00FA1565"/>
    <w:rsid w:val="00FA22E6"/>
    <w:rsid w:val="00FA2BD1"/>
    <w:rsid w:val="00FA3405"/>
    <w:rsid w:val="00FA35E7"/>
    <w:rsid w:val="00FA3B4E"/>
    <w:rsid w:val="00FA3C5A"/>
    <w:rsid w:val="00FA3E30"/>
    <w:rsid w:val="00FA3E6D"/>
    <w:rsid w:val="00FA3FE6"/>
    <w:rsid w:val="00FA4395"/>
    <w:rsid w:val="00FA5A8C"/>
    <w:rsid w:val="00FA6181"/>
    <w:rsid w:val="00FA6296"/>
    <w:rsid w:val="00FA6519"/>
    <w:rsid w:val="00FA7AA3"/>
    <w:rsid w:val="00FA7D31"/>
    <w:rsid w:val="00FB02F7"/>
    <w:rsid w:val="00FB036A"/>
    <w:rsid w:val="00FB055F"/>
    <w:rsid w:val="00FB05C2"/>
    <w:rsid w:val="00FB193A"/>
    <w:rsid w:val="00FB19C3"/>
    <w:rsid w:val="00FB23DA"/>
    <w:rsid w:val="00FB2A91"/>
    <w:rsid w:val="00FB3112"/>
    <w:rsid w:val="00FB343E"/>
    <w:rsid w:val="00FB413A"/>
    <w:rsid w:val="00FB4777"/>
    <w:rsid w:val="00FB4A4C"/>
    <w:rsid w:val="00FB4D11"/>
    <w:rsid w:val="00FB56C0"/>
    <w:rsid w:val="00FB5DDD"/>
    <w:rsid w:val="00FB707D"/>
    <w:rsid w:val="00FB738D"/>
    <w:rsid w:val="00FB7464"/>
    <w:rsid w:val="00FB76C8"/>
    <w:rsid w:val="00FB77B3"/>
    <w:rsid w:val="00FB7B66"/>
    <w:rsid w:val="00FC1112"/>
    <w:rsid w:val="00FC1A62"/>
    <w:rsid w:val="00FC1EF7"/>
    <w:rsid w:val="00FC1F67"/>
    <w:rsid w:val="00FC2054"/>
    <w:rsid w:val="00FC2A1C"/>
    <w:rsid w:val="00FC3894"/>
    <w:rsid w:val="00FC3E49"/>
    <w:rsid w:val="00FC444E"/>
    <w:rsid w:val="00FC4951"/>
    <w:rsid w:val="00FC4A4B"/>
    <w:rsid w:val="00FC4DF1"/>
    <w:rsid w:val="00FC58B8"/>
    <w:rsid w:val="00FC59B5"/>
    <w:rsid w:val="00FC5CDD"/>
    <w:rsid w:val="00FC5CF5"/>
    <w:rsid w:val="00FC6369"/>
    <w:rsid w:val="00FC6490"/>
    <w:rsid w:val="00FC6571"/>
    <w:rsid w:val="00FC67F3"/>
    <w:rsid w:val="00FC7371"/>
    <w:rsid w:val="00FC751C"/>
    <w:rsid w:val="00FC76CD"/>
    <w:rsid w:val="00FC7861"/>
    <w:rsid w:val="00FC7931"/>
    <w:rsid w:val="00FC79D8"/>
    <w:rsid w:val="00FC7D5C"/>
    <w:rsid w:val="00FD17E0"/>
    <w:rsid w:val="00FD1846"/>
    <w:rsid w:val="00FD1C07"/>
    <w:rsid w:val="00FD1E8E"/>
    <w:rsid w:val="00FD23A2"/>
    <w:rsid w:val="00FD23DA"/>
    <w:rsid w:val="00FD23F1"/>
    <w:rsid w:val="00FD2498"/>
    <w:rsid w:val="00FD25E6"/>
    <w:rsid w:val="00FD2A47"/>
    <w:rsid w:val="00FD2AD7"/>
    <w:rsid w:val="00FD2B7F"/>
    <w:rsid w:val="00FD3218"/>
    <w:rsid w:val="00FD3A9E"/>
    <w:rsid w:val="00FD3B19"/>
    <w:rsid w:val="00FD48A3"/>
    <w:rsid w:val="00FD4F07"/>
    <w:rsid w:val="00FD60F1"/>
    <w:rsid w:val="00FD6A31"/>
    <w:rsid w:val="00FD6B35"/>
    <w:rsid w:val="00FD6BC6"/>
    <w:rsid w:val="00FD6F0D"/>
    <w:rsid w:val="00FD7225"/>
    <w:rsid w:val="00FD7449"/>
    <w:rsid w:val="00FD76BC"/>
    <w:rsid w:val="00FD7897"/>
    <w:rsid w:val="00FD78D9"/>
    <w:rsid w:val="00FD7BCA"/>
    <w:rsid w:val="00FE0078"/>
    <w:rsid w:val="00FE1398"/>
    <w:rsid w:val="00FE13E1"/>
    <w:rsid w:val="00FE1734"/>
    <w:rsid w:val="00FE1C7B"/>
    <w:rsid w:val="00FE21AD"/>
    <w:rsid w:val="00FE23BF"/>
    <w:rsid w:val="00FE2415"/>
    <w:rsid w:val="00FE2516"/>
    <w:rsid w:val="00FE3053"/>
    <w:rsid w:val="00FE330C"/>
    <w:rsid w:val="00FE3BE9"/>
    <w:rsid w:val="00FE4401"/>
    <w:rsid w:val="00FE4428"/>
    <w:rsid w:val="00FE4438"/>
    <w:rsid w:val="00FE48A3"/>
    <w:rsid w:val="00FE499E"/>
    <w:rsid w:val="00FE509C"/>
    <w:rsid w:val="00FE50D1"/>
    <w:rsid w:val="00FE5161"/>
    <w:rsid w:val="00FE5505"/>
    <w:rsid w:val="00FE5848"/>
    <w:rsid w:val="00FE5944"/>
    <w:rsid w:val="00FE5C92"/>
    <w:rsid w:val="00FE5E6B"/>
    <w:rsid w:val="00FE60C5"/>
    <w:rsid w:val="00FE6AD8"/>
    <w:rsid w:val="00FE6FD7"/>
    <w:rsid w:val="00FE7456"/>
    <w:rsid w:val="00FE75E3"/>
    <w:rsid w:val="00FE7712"/>
    <w:rsid w:val="00FE7B80"/>
    <w:rsid w:val="00FF01C8"/>
    <w:rsid w:val="00FF09D2"/>
    <w:rsid w:val="00FF0A7F"/>
    <w:rsid w:val="00FF0DF2"/>
    <w:rsid w:val="00FF121F"/>
    <w:rsid w:val="00FF164B"/>
    <w:rsid w:val="00FF1F9A"/>
    <w:rsid w:val="00FF238C"/>
    <w:rsid w:val="00FF259A"/>
    <w:rsid w:val="00FF25BC"/>
    <w:rsid w:val="00FF32F0"/>
    <w:rsid w:val="00FF3D52"/>
    <w:rsid w:val="00FF4199"/>
    <w:rsid w:val="00FF46C6"/>
    <w:rsid w:val="00FF4720"/>
    <w:rsid w:val="00FF4A4F"/>
    <w:rsid w:val="00FF4B94"/>
    <w:rsid w:val="00FF59F5"/>
    <w:rsid w:val="00FF5D42"/>
    <w:rsid w:val="00FF5FB7"/>
    <w:rsid w:val="00FF6A12"/>
    <w:rsid w:val="00FF6A55"/>
    <w:rsid w:val="00FF6A68"/>
    <w:rsid w:val="00FF6DA0"/>
    <w:rsid w:val="00FF71C8"/>
    <w:rsid w:val="00FF7368"/>
    <w:rsid w:val="00FF742D"/>
    <w:rsid w:val="00FF7484"/>
    <w:rsid w:val="00FF7A90"/>
    <w:rsid w:val="00FF7E7D"/>
    <w:rsid w:val="0684C879"/>
    <w:rsid w:val="0B420697"/>
    <w:rsid w:val="2BCE704D"/>
    <w:rsid w:val="31E3B6CD"/>
    <w:rsid w:val="33A3A7F0"/>
    <w:rsid w:val="34E50BC1"/>
    <w:rsid w:val="369B43DC"/>
    <w:rsid w:val="36FA5877"/>
    <w:rsid w:val="37B98229"/>
    <w:rsid w:val="39094C39"/>
    <w:rsid w:val="394230F2"/>
    <w:rsid w:val="3C5366E2"/>
    <w:rsid w:val="3EBF71D9"/>
    <w:rsid w:val="432DD774"/>
    <w:rsid w:val="53C59834"/>
    <w:rsid w:val="5B494CEC"/>
    <w:rsid w:val="5EED60E9"/>
    <w:rsid w:val="62E0D6C9"/>
    <w:rsid w:val="679C4E7F"/>
    <w:rsid w:val="6B0874A7"/>
    <w:rsid w:val="6E323491"/>
    <w:rsid w:val="769EFC2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78B63F91"/>
  <w15:chartTrackingRefBased/>
  <w15:docId w15:val="{BD0B05B4-22BB-4FF4-8B93-E61C7A74C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3B6"/>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EB53B6"/>
    <w:pPr>
      <w:spacing w:after="240"/>
      <w:outlineLvl w:val="0"/>
    </w:pPr>
    <w:rPr>
      <w:rFonts w:ascii="Arial Bold" w:hAnsi="Arial Bold"/>
      <w:b/>
      <w:kern w:val="34"/>
      <w:sz w:val="36"/>
    </w:rPr>
  </w:style>
  <w:style w:type="paragraph" w:styleId="Heading2">
    <w:name w:val="heading 2"/>
    <w:basedOn w:val="HeadingBase"/>
    <w:next w:val="Normal"/>
    <w:link w:val="Heading2Char"/>
    <w:qFormat/>
    <w:rsid w:val="00EB53B6"/>
    <w:pPr>
      <w:spacing w:before="240" w:after="240"/>
      <w:outlineLvl w:val="1"/>
    </w:pPr>
    <w:rPr>
      <w:rFonts w:ascii="Arial Bold" w:hAnsi="Arial Bold"/>
      <w:b/>
      <w:sz w:val="26"/>
    </w:rPr>
  </w:style>
  <w:style w:type="paragraph" w:styleId="Heading3">
    <w:name w:val="heading 3"/>
    <w:basedOn w:val="HeadingBase"/>
    <w:next w:val="Normal"/>
    <w:link w:val="Heading3Char"/>
    <w:qFormat/>
    <w:rsid w:val="00EB53B6"/>
    <w:pPr>
      <w:spacing w:before="120" w:after="120"/>
      <w:outlineLvl w:val="2"/>
    </w:pPr>
    <w:rPr>
      <w:rFonts w:ascii="Arial Bold" w:hAnsi="Arial Bold"/>
      <w:b/>
      <w:sz w:val="22"/>
    </w:rPr>
  </w:style>
  <w:style w:type="paragraph" w:styleId="Heading4">
    <w:name w:val="heading 4"/>
    <w:basedOn w:val="HeadingBase"/>
    <w:next w:val="Normal"/>
    <w:link w:val="Heading4Char"/>
    <w:qFormat/>
    <w:rsid w:val="00EB53B6"/>
    <w:pPr>
      <w:spacing w:after="120"/>
      <w:outlineLvl w:val="3"/>
    </w:pPr>
    <w:rPr>
      <w:rFonts w:ascii="Arial Bold" w:hAnsi="Arial Bold"/>
      <w:b/>
      <w:sz w:val="20"/>
    </w:rPr>
  </w:style>
  <w:style w:type="paragraph" w:styleId="Heading5">
    <w:name w:val="heading 5"/>
    <w:basedOn w:val="HeadingBase"/>
    <w:next w:val="Normal"/>
    <w:link w:val="Heading5Char"/>
    <w:qFormat/>
    <w:rsid w:val="00EB53B6"/>
    <w:pPr>
      <w:spacing w:after="120"/>
      <w:outlineLvl w:val="4"/>
    </w:pPr>
    <w:rPr>
      <w:bCs/>
      <w:i/>
      <w:iCs/>
      <w:sz w:val="20"/>
      <w:szCs w:val="26"/>
    </w:rPr>
  </w:style>
  <w:style w:type="paragraph" w:styleId="Heading6">
    <w:name w:val="heading 6"/>
    <w:basedOn w:val="HeadingBase"/>
    <w:next w:val="Normal"/>
    <w:link w:val="Heading6Char"/>
    <w:rsid w:val="00EB53B6"/>
    <w:pPr>
      <w:spacing w:after="120"/>
      <w:outlineLvl w:val="5"/>
    </w:pPr>
    <w:rPr>
      <w:bCs/>
      <w:sz w:val="20"/>
      <w:szCs w:val="22"/>
    </w:rPr>
  </w:style>
  <w:style w:type="paragraph" w:styleId="Heading7">
    <w:name w:val="heading 7"/>
    <w:basedOn w:val="HeadingBase"/>
    <w:next w:val="Normal"/>
    <w:link w:val="Heading7Char"/>
    <w:rsid w:val="00EB53B6"/>
    <w:pPr>
      <w:spacing w:before="120"/>
      <w:outlineLvl w:val="6"/>
    </w:pPr>
    <w:rPr>
      <w:sz w:val="20"/>
      <w:szCs w:val="24"/>
    </w:rPr>
  </w:style>
  <w:style w:type="paragraph" w:styleId="Heading8">
    <w:name w:val="heading 8"/>
    <w:basedOn w:val="HeadingBase"/>
    <w:next w:val="Normal"/>
    <w:link w:val="Heading8Char"/>
    <w:rsid w:val="00EB53B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EB53B6"/>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EB53B6"/>
    <w:pPr>
      <w:tabs>
        <w:tab w:val="center" w:pos="4153"/>
        <w:tab w:val="right" w:pos="8306"/>
      </w:tabs>
    </w:pPr>
  </w:style>
  <w:style w:type="character" w:customStyle="1" w:styleId="HeaderChar">
    <w:name w:val="Header Char"/>
    <w:basedOn w:val="DefaultParagraphFont"/>
    <w:link w:val="Header"/>
    <w:rsid w:val="00EB53B6"/>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EB53B6"/>
    <w:pPr>
      <w:tabs>
        <w:tab w:val="center" w:pos="4153"/>
        <w:tab w:val="right" w:pos="8306"/>
      </w:tabs>
    </w:pPr>
  </w:style>
  <w:style w:type="character" w:customStyle="1" w:styleId="FooterChar">
    <w:name w:val="Footer Char"/>
    <w:basedOn w:val="DefaultParagraphFont"/>
    <w:link w:val="Footer"/>
    <w:rsid w:val="00EB53B6"/>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EB53B6"/>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EB53B6"/>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EB53B6"/>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EB53B6"/>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EB53B6"/>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EB53B6"/>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EB53B6"/>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EB53B6"/>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EB53B6"/>
    <w:pPr>
      <w:jc w:val="center"/>
    </w:pPr>
    <w:rPr>
      <w:rFonts w:ascii="Arial Bold" w:hAnsi="Arial Bold"/>
      <w:b/>
      <w:caps/>
      <w:sz w:val="22"/>
    </w:rPr>
  </w:style>
  <w:style w:type="paragraph" w:customStyle="1" w:styleId="FileProperties">
    <w:name w:val="File Properties"/>
    <w:basedOn w:val="Normal"/>
    <w:rsid w:val="00EB53B6"/>
    <w:pPr>
      <w:spacing w:before="0"/>
    </w:pPr>
    <w:rPr>
      <w:i/>
    </w:rPr>
  </w:style>
  <w:style w:type="paragraph" w:customStyle="1" w:styleId="AlphaParagraph">
    <w:name w:val="Alpha Paragraph"/>
    <w:basedOn w:val="Normal"/>
    <w:rsid w:val="00EB53B6"/>
    <w:pPr>
      <w:numPr>
        <w:numId w:val="1"/>
      </w:numPr>
      <w:tabs>
        <w:tab w:val="clear" w:pos="567"/>
        <w:tab w:val="num" w:pos="360"/>
      </w:tabs>
      <w:ind w:left="0" w:firstLine="0"/>
    </w:pPr>
  </w:style>
  <w:style w:type="paragraph" w:customStyle="1" w:styleId="HeadingBase">
    <w:name w:val="Heading Base"/>
    <w:link w:val="HeadingBaseChar"/>
    <w:rsid w:val="00EB53B6"/>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65710C"/>
    <w:rPr>
      <w:bCs/>
      <w:color w:val="002A54" w:themeColor="text2"/>
      <w:szCs w:val="52"/>
    </w:rPr>
  </w:style>
  <w:style w:type="paragraph" w:customStyle="1" w:styleId="BoxText">
    <w:name w:val="Box Text"/>
    <w:basedOn w:val="Normal"/>
    <w:link w:val="BoxTextChar"/>
    <w:qFormat/>
    <w:rsid w:val="00EB53B6"/>
    <w:pPr>
      <w:spacing w:before="120" w:after="120" w:line="240" w:lineRule="auto"/>
    </w:pPr>
  </w:style>
  <w:style w:type="paragraph" w:customStyle="1" w:styleId="BoxBullet">
    <w:name w:val="Box Bullet"/>
    <w:basedOn w:val="BoxText"/>
    <w:rsid w:val="00EB53B6"/>
    <w:pPr>
      <w:numPr>
        <w:numId w:val="2"/>
      </w:numPr>
    </w:pPr>
  </w:style>
  <w:style w:type="paragraph" w:customStyle="1" w:styleId="BoxHeading">
    <w:name w:val="Box Heading"/>
    <w:basedOn w:val="HeadingBase"/>
    <w:next w:val="BoxText"/>
    <w:rsid w:val="00EB53B6"/>
    <w:pPr>
      <w:spacing w:before="120" w:after="120"/>
    </w:pPr>
    <w:rPr>
      <w:b/>
      <w:sz w:val="20"/>
    </w:rPr>
  </w:style>
  <w:style w:type="character" w:customStyle="1" w:styleId="Heading6Char">
    <w:name w:val="Heading 6 Char"/>
    <w:basedOn w:val="DefaultParagraphFont"/>
    <w:link w:val="Heading6"/>
    <w:rsid w:val="00EB53B6"/>
    <w:rPr>
      <w:rFonts w:ascii="Arial" w:eastAsia="Times New Roman" w:hAnsi="Arial" w:cs="Times New Roman"/>
      <w:bCs/>
      <w:sz w:val="20"/>
      <w:lang w:eastAsia="en-AU"/>
    </w:rPr>
  </w:style>
  <w:style w:type="paragraph" w:customStyle="1" w:styleId="Bullet">
    <w:name w:val="Bullet"/>
    <w:aliases w:val="b,Body,b + line,b1,level 1,Bullet + line,bulleted,BodyNum,Bullet Char1,Bullet Char1 Char Char Char,Bullet Char1 Char Char Char Char,Bullet Char1 Char Char Char Char Char,b1 Char Char Char,CG-Bullet"/>
    <w:basedOn w:val="Normal"/>
    <w:link w:val="BulletChar"/>
    <w:qFormat/>
    <w:rsid w:val="00EB53B6"/>
    <w:pPr>
      <w:numPr>
        <w:numId w:val="3"/>
      </w:numPr>
      <w:spacing w:after="160"/>
      <w:ind w:left="284" w:hanging="284"/>
    </w:pPr>
  </w:style>
  <w:style w:type="paragraph" w:styleId="Caption">
    <w:name w:val="caption"/>
    <w:basedOn w:val="Normal"/>
    <w:next w:val="Normal"/>
    <w:rsid w:val="00EB53B6"/>
    <w:rPr>
      <w:b/>
      <w:bCs/>
    </w:rPr>
  </w:style>
  <w:style w:type="paragraph" w:customStyle="1" w:styleId="ChartandTableFootnote">
    <w:name w:val="Chart and Table Footnote"/>
    <w:basedOn w:val="HeadingBase"/>
    <w:next w:val="Normal"/>
    <w:link w:val="ChartandTableFootnoteChar"/>
    <w:rsid w:val="00EB53B6"/>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EB53B6"/>
    <w:pPr>
      <w:keepNext w:val="0"/>
      <w:numPr>
        <w:numId w:val="20"/>
      </w:numPr>
      <w:spacing w:before="30"/>
    </w:pPr>
    <w:rPr>
      <w:color w:val="000000"/>
      <w:sz w:val="16"/>
    </w:rPr>
  </w:style>
  <w:style w:type="paragraph" w:customStyle="1" w:styleId="ChartandTableFootnoteSmall">
    <w:name w:val="Chart and Table Footnote Small"/>
    <w:basedOn w:val="HeadingBase"/>
    <w:next w:val="Normal"/>
    <w:rsid w:val="00EB53B6"/>
    <w:pPr>
      <w:keepNext w:val="0"/>
      <w:tabs>
        <w:tab w:val="left" w:pos="284"/>
      </w:tabs>
      <w:jc w:val="both"/>
    </w:pPr>
    <w:rPr>
      <w:color w:val="000000"/>
      <w:sz w:val="15"/>
    </w:rPr>
  </w:style>
  <w:style w:type="paragraph" w:customStyle="1" w:styleId="ChartGraphic">
    <w:name w:val="Chart Graphic"/>
    <w:basedOn w:val="HeadingBase"/>
    <w:rsid w:val="00EB53B6"/>
    <w:rPr>
      <w:sz w:val="20"/>
    </w:rPr>
  </w:style>
  <w:style w:type="paragraph" w:customStyle="1" w:styleId="TableLine">
    <w:name w:val="Table Line"/>
    <w:basedOn w:val="Normal"/>
    <w:next w:val="Normal"/>
    <w:autoRedefine/>
    <w:rsid w:val="00EB53B6"/>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EB53B6"/>
    <w:pPr>
      <w:spacing w:after="60"/>
    </w:pPr>
    <w:rPr>
      <w:sz w:val="19"/>
    </w:rPr>
  </w:style>
  <w:style w:type="character" w:styleId="CommentReference">
    <w:name w:val="annotation reference"/>
    <w:basedOn w:val="DefaultParagraphFont"/>
    <w:semiHidden/>
    <w:rsid w:val="00EB53B6"/>
    <w:rPr>
      <w:sz w:val="16"/>
      <w:szCs w:val="16"/>
    </w:rPr>
  </w:style>
  <w:style w:type="paragraph" w:styleId="CommentText">
    <w:name w:val="annotation text"/>
    <w:basedOn w:val="Normal"/>
    <w:link w:val="CommentTextChar"/>
    <w:rsid w:val="00EB53B6"/>
  </w:style>
  <w:style w:type="character" w:customStyle="1" w:styleId="CommentTextChar">
    <w:name w:val="Comment Text Char"/>
    <w:basedOn w:val="DefaultParagraphFont"/>
    <w:link w:val="CommentText"/>
    <w:rsid w:val="00EB53B6"/>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EB53B6"/>
    <w:rPr>
      <w:b/>
      <w:bCs/>
    </w:rPr>
  </w:style>
  <w:style w:type="character" w:customStyle="1" w:styleId="CommentSubjectChar">
    <w:name w:val="Comment Subject Char"/>
    <w:basedOn w:val="CommentTextChar"/>
    <w:link w:val="CommentSubject"/>
    <w:semiHidden/>
    <w:rsid w:val="00EB53B6"/>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EB53B6"/>
    <w:pPr>
      <w:spacing w:after="720"/>
      <w:outlineLvl w:val="9"/>
    </w:pPr>
  </w:style>
  <w:style w:type="character" w:styleId="Strong">
    <w:name w:val="Strong"/>
    <w:basedOn w:val="DefaultParagraphFont"/>
    <w:uiPriority w:val="22"/>
    <w:qFormat/>
    <w:rsid w:val="00EB53B6"/>
    <w:rPr>
      <w:b/>
      <w:bCs/>
      <w:color w:val="auto"/>
    </w:rPr>
  </w:style>
  <w:style w:type="paragraph" w:customStyle="1" w:styleId="Dash">
    <w:name w:val="Dash"/>
    <w:basedOn w:val="Normal"/>
    <w:link w:val="DashChar"/>
    <w:qFormat/>
    <w:rsid w:val="00EB53B6"/>
    <w:pPr>
      <w:numPr>
        <w:ilvl w:val="1"/>
        <w:numId w:val="3"/>
      </w:numPr>
      <w:tabs>
        <w:tab w:val="left" w:pos="567"/>
      </w:tabs>
    </w:pPr>
  </w:style>
  <w:style w:type="paragraph" w:styleId="DocumentMap">
    <w:name w:val="Document Map"/>
    <w:basedOn w:val="Normal"/>
    <w:link w:val="DocumentMapChar"/>
    <w:semiHidden/>
    <w:rsid w:val="00EB53B6"/>
    <w:pPr>
      <w:shd w:val="clear" w:color="auto" w:fill="000080"/>
    </w:pPr>
    <w:rPr>
      <w:rFonts w:ascii="Tahoma" w:hAnsi="Tahoma" w:cs="Tahoma"/>
    </w:rPr>
  </w:style>
  <w:style w:type="character" w:customStyle="1" w:styleId="DocumentMapChar">
    <w:name w:val="Document Map Char"/>
    <w:basedOn w:val="DefaultParagraphFont"/>
    <w:link w:val="DocumentMap"/>
    <w:semiHidden/>
    <w:rsid w:val="00EB53B6"/>
    <w:rPr>
      <w:rFonts w:ascii="Tahoma" w:eastAsia="Times New Roman" w:hAnsi="Tahoma" w:cs="Tahoma"/>
      <w:sz w:val="19"/>
      <w:szCs w:val="20"/>
      <w:shd w:val="clear" w:color="auto" w:fill="000080"/>
      <w:lang w:eastAsia="en-AU"/>
    </w:rPr>
  </w:style>
  <w:style w:type="paragraph" w:customStyle="1" w:styleId="DoubleDot">
    <w:name w:val="Double Dot"/>
    <w:basedOn w:val="Normal"/>
    <w:rsid w:val="00EB53B6"/>
    <w:pPr>
      <w:numPr>
        <w:ilvl w:val="2"/>
        <w:numId w:val="3"/>
      </w:numPr>
      <w:tabs>
        <w:tab w:val="clear" w:pos="850"/>
        <w:tab w:val="num" w:pos="360"/>
        <w:tab w:val="left" w:pos="851"/>
      </w:tabs>
    </w:pPr>
  </w:style>
  <w:style w:type="paragraph" w:customStyle="1" w:styleId="FigureHeading">
    <w:name w:val="Figure Heading"/>
    <w:basedOn w:val="HeadingBase"/>
    <w:next w:val="ChartGraphic"/>
    <w:rsid w:val="00EB53B6"/>
    <w:pPr>
      <w:spacing w:before="120" w:after="20"/>
    </w:pPr>
    <w:rPr>
      <w:b/>
      <w:sz w:val="20"/>
    </w:rPr>
  </w:style>
  <w:style w:type="paragraph" w:customStyle="1" w:styleId="FooterBase">
    <w:name w:val="Footer Base"/>
    <w:rsid w:val="00EB53B6"/>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EB53B6"/>
    <w:pPr>
      <w:pBdr>
        <w:top w:val="single" w:sz="4" w:space="10" w:color="002A54" w:themeColor="text2"/>
      </w:pBdr>
      <w:jc w:val="left"/>
    </w:pPr>
    <w:rPr>
      <w:sz w:val="18"/>
    </w:rPr>
  </w:style>
  <w:style w:type="paragraph" w:customStyle="1" w:styleId="FooterOdd">
    <w:name w:val="Footer Odd"/>
    <w:basedOn w:val="Footer"/>
    <w:qFormat/>
    <w:rsid w:val="00EB53B6"/>
    <w:pPr>
      <w:pBdr>
        <w:top w:val="single" w:sz="4" w:space="10" w:color="002A54" w:themeColor="text2"/>
      </w:pBdr>
      <w:jc w:val="right"/>
    </w:pPr>
    <w:rPr>
      <w:sz w:val="18"/>
    </w:rPr>
  </w:style>
  <w:style w:type="character" w:styleId="FootnoteReference">
    <w:name w:val="footnote reference"/>
    <w:basedOn w:val="DefaultParagraphFont"/>
    <w:rsid w:val="00EB53B6"/>
    <w:rPr>
      <w:vertAlign w:val="superscript"/>
    </w:rPr>
  </w:style>
  <w:style w:type="paragraph" w:styleId="FootnoteText">
    <w:name w:val="footnote text"/>
    <w:basedOn w:val="Normal"/>
    <w:link w:val="FootnoteTextChar"/>
    <w:rsid w:val="00EB53B6"/>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EB53B6"/>
    <w:rPr>
      <w:rFonts w:ascii="Book Antiqua" w:eastAsia="Times New Roman" w:hAnsi="Book Antiqua" w:cs="Times New Roman"/>
      <w:sz w:val="18"/>
      <w:szCs w:val="20"/>
      <w:lang w:eastAsia="en-AU"/>
    </w:rPr>
  </w:style>
  <w:style w:type="paragraph" w:customStyle="1" w:styleId="HeaderBase">
    <w:name w:val="Header Base"/>
    <w:rsid w:val="00EB53B6"/>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EB53B6"/>
  </w:style>
  <w:style w:type="paragraph" w:customStyle="1" w:styleId="HeaderOdd">
    <w:name w:val="Header Odd"/>
    <w:basedOn w:val="HeaderBase"/>
    <w:rsid w:val="00EB53B6"/>
    <w:pPr>
      <w:jc w:val="right"/>
    </w:pPr>
  </w:style>
  <w:style w:type="character" w:customStyle="1" w:styleId="Heading1Char">
    <w:name w:val="Heading 1 Char"/>
    <w:basedOn w:val="DefaultParagraphFont"/>
    <w:link w:val="Heading1"/>
    <w:rsid w:val="00EB53B6"/>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EB53B6"/>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EB53B6"/>
    <w:rPr>
      <w:rFonts w:ascii="Arial Bold" w:eastAsia="Times New Roman" w:hAnsi="Arial Bold" w:cs="Times New Roman"/>
      <w:b/>
      <w:szCs w:val="20"/>
      <w:lang w:eastAsia="en-AU"/>
    </w:rPr>
  </w:style>
  <w:style w:type="paragraph" w:customStyle="1" w:styleId="Heading3noTOC">
    <w:name w:val="Heading 3 no TOC"/>
    <w:basedOn w:val="Heading3"/>
    <w:rsid w:val="00EB53B6"/>
    <w:pPr>
      <w:outlineLvl w:val="9"/>
    </w:pPr>
  </w:style>
  <w:style w:type="character" w:customStyle="1" w:styleId="Heading4Char">
    <w:name w:val="Heading 4 Char"/>
    <w:basedOn w:val="DefaultParagraphFont"/>
    <w:link w:val="Heading4"/>
    <w:rsid w:val="00EB53B6"/>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EB53B6"/>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EB53B6"/>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EB53B6"/>
    <w:rPr>
      <w:rFonts w:ascii="Times New Roman" w:eastAsia="Times New Roman" w:hAnsi="Times New Roman" w:cs="Times New Roman"/>
      <w:i/>
      <w:iCs/>
      <w:sz w:val="16"/>
      <w:szCs w:val="24"/>
      <w:lang w:eastAsia="en-AU"/>
    </w:rPr>
  </w:style>
  <w:style w:type="character" w:styleId="Hyperlink">
    <w:name w:val="Hyperlink"/>
    <w:basedOn w:val="DefaultParagraphFont"/>
    <w:uiPriority w:val="99"/>
    <w:unhideWhenUsed/>
    <w:rsid w:val="00EB53B6"/>
    <w:rPr>
      <w:color w:val="auto"/>
      <w:u w:val="single"/>
    </w:rPr>
  </w:style>
  <w:style w:type="paragraph" w:styleId="Index4">
    <w:name w:val="index 4"/>
    <w:basedOn w:val="Normal"/>
    <w:next w:val="Normal"/>
    <w:autoRedefine/>
    <w:semiHidden/>
    <w:rsid w:val="00EB53B6"/>
    <w:pPr>
      <w:ind w:left="800" w:hanging="200"/>
    </w:pPr>
  </w:style>
  <w:style w:type="paragraph" w:styleId="Index5">
    <w:name w:val="index 5"/>
    <w:basedOn w:val="Normal"/>
    <w:next w:val="Normal"/>
    <w:autoRedefine/>
    <w:semiHidden/>
    <w:rsid w:val="00EB53B6"/>
    <w:pPr>
      <w:ind w:left="1000" w:hanging="200"/>
    </w:pPr>
  </w:style>
  <w:style w:type="paragraph" w:styleId="Index6">
    <w:name w:val="index 6"/>
    <w:basedOn w:val="Normal"/>
    <w:next w:val="Normal"/>
    <w:autoRedefine/>
    <w:semiHidden/>
    <w:rsid w:val="00EB53B6"/>
    <w:pPr>
      <w:ind w:left="1200" w:hanging="200"/>
    </w:pPr>
  </w:style>
  <w:style w:type="paragraph" w:styleId="Index7">
    <w:name w:val="index 7"/>
    <w:basedOn w:val="Normal"/>
    <w:next w:val="Normal"/>
    <w:autoRedefine/>
    <w:semiHidden/>
    <w:rsid w:val="00EB53B6"/>
    <w:pPr>
      <w:ind w:left="1400" w:hanging="200"/>
    </w:pPr>
  </w:style>
  <w:style w:type="paragraph" w:styleId="Index8">
    <w:name w:val="index 8"/>
    <w:basedOn w:val="Normal"/>
    <w:next w:val="Normal"/>
    <w:autoRedefine/>
    <w:semiHidden/>
    <w:rsid w:val="00EB53B6"/>
    <w:pPr>
      <w:ind w:left="1600" w:hanging="200"/>
    </w:pPr>
  </w:style>
  <w:style w:type="paragraph" w:styleId="Index9">
    <w:name w:val="index 9"/>
    <w:basedOn w:val="Normal"/>
    <w:next w:val="Normal"/>
    <w:autoRedefine/>
    <w:semiHidden/>
    <w:rsid w:val="00EB53B6"/>
    <w:pPr>
      <w:ind w:left="1800" w:hanging="200"/>
    </w:pPr>
  </w:style>
  <w:style w:type="paragraph" w:styleId="MacroText">
    <w:name w:val="macro"/>
    <w:link w:val="MacroTextChar"/>
    <w:unhideWhenUsed/>
    <w:rsid w:val="00EB53B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EB53B6"/>
    <w:rPr>
      <w:rFonts w:ascii="Courier New" w:eastAsia="Times New Roman" w:hAnsi="Courier New" w:cs="Courier New"/>
      <w:sz w:val="20"/>
      <w:szCs w:val="20"/>
      <w:lang w:eastAsia="en-AU"/>
    </w:rPr>
  </w:style>
  <w:style w:type="paragraph" w:styleId="NormalIndent">
    <w:name w:val="Normal Indent"/>
    <w:basedOn w:val="Normal"/>
    <w:rsid w:val="00EB53B6"/>
    <w:pPr>
      <w:ind w:left="567"/>
    </w:pPr>
  </w:style>
  <w:style w:type="paragraph" w:customStyle="1" w:styleId="NoteTableHeading">
    <w:name w:val="Note Table Heading"/>
    <w:basedOn w:val="HeadingBase"/>
    <w:next w:val="Normal"/>
    <w:rsid w:val="00EB53B6"/>
    <w:pPr>
      <w:spacing w:before="240"/>
    </w:pPr>
    <w:rPr>
      <w:b/>
      <w:sz w:val="20"/>
    </w:rPr>
  </w:style>
  <w:style w:type="paragraph" w:customStyle="1" w:styleId="OverviewParagraph">
    <w:name w:val="Overview Paragraph"/>
    <w:basedOn w:val="Normal"/>
    <w:rsid w:val="00EB53B6"/>
    <w:pPr>
      <w:spacing w:before="120" w:after="120" w:line="240" w:lineRule="auto"/>
    </w:pPr>
  </w:style>
  <w:style w:type="character" w:styleId="PageNumber">
    <w:name w:val="page number"/>
    <w:basedOn w:val="DefaultParagraphFont"/>
    <w:rsid w:val="00EB53B6"/>
    <w:rPr>
      <w:rFonts w:ascii="Arial" w:hAnsi="Arial" w:cs="Arial"/>
    </w:rPr>
  </w:style>
  <w:style w:type="paragraph" w:customStyle="1" w:styleId="SingleParagraph">
    <w:name w:val="Single Paragraph"/>
    <w:basedOn w:val="Normal"/>
    <w:rsid w:val="00EB53B6"/>
    <w:pPr>
      <w:spacing w:before="0" w:after="0"/>
    </w:pPr>
  </w:style>
  <w:style w:type="paragraph" w:customStyle="1" w:styleId="Source">
    <w:name w:val="Source"/>
    <w:basedOn w:val="Normal"/>
    <w:rsid w:val="00EB53B6"/>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EB53B6"/>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EB53B6"/>
    <w:pPr>
      <w:jc w:val="center"/>
    </w:pPr>
  </w:style>
  <w:style w:type="paragraph" w:customStyle="1" w:styleId="TableColumnHeadingLeft">
    <w:name w:val="Table Column Heading Left"/>
    <w:basedOn w:val="TableColumnHeadingBase"/>
    <w:next w:val="Normal"/>
    <w:rsid w:val="00EB53B6"/>
  </w:style>
  <w:style w:type="paragraph" w:customStyle="1" w:styleId="TableColumnHeadingRight">
    <w:name w:val="Table Column Heading Right"/>
    <w:basedOn w:val="TableColumnHeadingBase"/>
    <w:next w:val="Normal"/>
    <w:rsid w:val="00EB53B6"/>
    <w:pPr>
      <w:jc w:val="right"/>
    </w:pPr>
  </w:style>
  <w:style w:type="paragraph" w:customStyle="1" w:styleId="TableGraphic">
    <w:name w:val="Table Graphic"/>
    <w:basedOn w:val="Normal"/>
    <w:next w:val="Normal"/>
    <w:rsid w:val="00EB53B6"/>
    <w:pPr>
      <w:spacing w:after="0" w:line="240" w:lineRule="auto"/>
      <w:ind w:right="-113"/>
    </w:pPr>
  </w:style>
  <w:style w:type="table" w:styleId="TableGrid">
    <w:name w:val="Table Grid"/>
    <w:basedOn w:val="TableNormal"/>
    <w:rsid w:val="00EB53B6"/>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EB53B6"/>
    <w:pPr>
      <w:spacing w:before="120" w:after="20"/>
    </w:pPr>
    <w:rPr>
      <w:b/>
      <w:sz w:val="20"/>
    </w:rPr>
  </w:style>
  <w:style w:type="paragraph" w:customStyle="1" w:styleId="TableHeadingcontinued">
    <w:name w:val="Table Heading continued"/>
    <w:basedOn w:val="HeadingBase"/>
    <w:next w:val="TableGraphic"/>
    <w:rsid w:val="00EB53B6"/>
    <w:pPr>
      <w:spacing w:before="120" w:after="20"/>
    </w:pPr>
    <w:rPr>
      <w:rFonts w:ascii="Arial Bold" w:hAnsi="Arial Bold"/>
      <w:b/>
      <w:sz w:val="20"/>
    </w:rPr>
  </w:style>
  <w:style w:type="paragraph" w:styleId="TableofFigures">
    <w:name w:val="table of figures"/>
    <w:basedOn w:val="Normal"/>
    <w:next w:val="Normal"/>
    <w:rsid w:val="00EB53B6"/>
  </w:style>
  <w:style w:type="paragraph" w:customStyle="1" w:styleId="TableTextBase">
    <w:name w:val="Table Text Base"/>
    <w:basedOn w:val="Normal"/>
    <w:rsid w:val="00EB53B6"/>
    <w:pPr>
      <w:spacing w:before="20" w:after="20" w:line="240" w:lineRule="auto"/>
    </w:pPr>
    <w:rPr>
      <w:rFonts w:ascii="Arial" w:hAnsi="Arial"/>
      <w:sz w:val="16"/>
    </w:rPr>
  </w:style>
  <w:style w:type="paragraph" w:customStyle="1" w:styleId="TableTextCentred">
    <w:name w:val="Table Text Centred"/>
    <w:basedOn w:val="TableTextBase"/>
    <w:rsid w:val="00EB53B6"/>
    <w:pPr>
      <w:jc w:val="center"/>
    </w:pPr>
  </w:style>
  <w:style w:type="paragraph" w:customStyle="1" w:styleId="TableTextIndented">
    <w:name w:val="Table Text Indented"/>
    <w:basedOn w:val="TableTextBase"/>
    <w:rsid w:val="00EB53B6"/>
    <w:pPr>
      <w:ind w:left="284"/>
    </w:pPr>
  </w:style>
  <w:style w:type="paragraph" w:customStyle="1" w:styleId="TableTextLeft">
    <w:name w:val="Table Text Left"/>
    <w:basedOn w:val="TableTextBase"/>
    <w:rsid w:val="00EB53B6"/>
  </w:style>
  <w:style w:type="paragraph" w:customStyle="1" w:styleId="TableTextRight">
    <w:name w:val="Table Text Right"/>
    <w:basedOn w:val="TableTextBase"/>
    <w:rsid w:val="00EB53B6"/>
    <w:pPr>
      <w:jc w:val="right"/>
    </w:pPr>
  </w:style>
  <w:style w:type="paragraph" w:styleId="TOAHeading">
    <w:name w:val="toa heading"/>
    <w:basedOn w:val="Normal"/>
    <w:next w:val="Normal"/>
    <w:rsid w:val="00EB53B6"/>
    <w:pPr>
      <w:spacing w:before="120"/>
    </w:pPr>
    <w:rPr>
      <w:rFonts w:ascii="Arial" w:hAnsi="Arial" w:cs="Arial"/>
      <w:b/>
      <w:bCs/>
      <w:sz w:val="24"/>
      <w:szCs w:val="24"/>
    </w:rPr>
  </w:style>
  <w:style w:type="paragraph" w:styleId="TOC1">
    <w:name w:val="toc 1"/>
    <w:basedOn w:val="HeaderBase"/>
    <w:next w:val="Normal"/>
    <w:uiPriority w:val="39"/>
    <w:rsid w:val="00EB53B6"/>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39"/>
    <w:rsid w:val="00EB53B6"/>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EB53B6"/>
    <w:pPr>
      <w:tabs>
        <w:tab w:val="right" w:leader="dot" w:pos="7700"/>
      </w:tabs>
      <w:spacing w:before="40"/>
      <w:ind w:right="851"/>
    </w:pPr>
    <w:rPr>
      <w:sz w:val="20"/>
    </w:rPr>
  </w:style>
  <w:style w:type="paragraph" w:styleId="TOC4">
    <w:name w:val="toc 4"/>
    <w:basedOn w:val="HeadingBase"/>
    <w:next w:val="Normal"/>
    <w:uiPriority w:val="2"/>
    <w:unhideWhenUsed/>
    <w:rsid w:val="00EB53B6"/>
    <w:pPr>
      <w:tabs>
        <w:tab w:val="right" w:leader="dot" w:pos="7700"/>
      </w:tabs>
      <w:spacing w:before="40"/>
      <w:ind w:right="851"/>
    </w:pPr>
    <w:rPr>
      <w:sz w:val="20"/>
    </w:rPr>
  </w:style>
  <w:style w:type="paragraph" w:styleId="TOC5">
    <w:name w:val="toc 5"/>
    <w:basedOn w:val="Normal"/>
    <w:next w:val="Normal"/>
    <w:autoRedefine/>
    <w:uiPriority w:val="2"/>
    <w:semiHidden/>
    <w:rsid w:val="00EB53B6"/>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EB53B6"/>
    <w:pPr>
      <w:tabs>
        <w:tab w:val="left" w:pos="851"/>
      </w:tabs>
      <w:ind w:left="851" w:hanging="851"/>
    </w:pPr>
    <w:rPr>
      <w:color w:val="000000"/>
    </w:rPr>
  </w:style>
  <w:style w:type="paragraph" w:styleId="TOC7">
    <w:name w:val="toc 7"/>
    <w:basedOn w:val="Normal"/>
    <w:next w:val="Normal"/>
    <w:autoRedefine/>
    <w:uiPriority w:val="2"/>
    <w:semiHidden/>
    <w:rsid w:val="00EB53B6"/>
    <w:pPr>
      <w:ind w:left="1200"/>
    </w:pPr>
  </w:style>
  <w:style w:type="paragraph" w:styleId="TOC8">
    <w:name w:val="toc 8"/>
    <w:basedOn w:val="Normal"/>
    <w:next w:val="Normal"/>
    <w:autoRedefine/>
    <w:uiPriority w:val="2"/>
    <w:semiHidden/>
    <w:rsid w:val="00EB53B6"/>
    <w:pPr>
      <w:ind w:left="1400"/>
    </w:pPr>
  </w:style>
  <w:style w:type="paragraph" w:styleId="TOC9">
    <w:name w:val="toc 9"/>
    <w:basedOn w:val="Normal"/>
    <w:next w:val="Normal"/>
    <w:autoRedefine/>
    <w:uiPriority w:val="2"/>
    <w:semiHidden/>
    <w:rsid w:val="00EB53B6"/>
    <w:pPr>
      <w:ind w:left="1600"/>
    </w:pPr>
  </w:style>
  <w:style w:type="paragraph" w:customStyle="1" w:styleId="TPHeading1">
    <w:name w:val="TP Heading 1"/>
    <w:basedOn w:val="HeadingBase"/>
    <w:semiHidden/>
    <w:rsid w:val="00EB53B6"/>
    <w:pPr>
      <w:spacing w:before="60" w:after="60"/>
      <w:ind w:left="1134"/>
    </w:pPr>
    <w:rPr>
      <w:rFonts w:ascii="Arial Bold" w:hAnsi="Arial Bold"/>
      <w:b/>
      <w:caps/>
      <w:spacing w:val="-10"/>
      <w:sz w:val="28"/>
    </w:rPr>
  </w:style>
  <w:style w:type="paragraph" w:customStyle="1" w:styleId="TPHeading2">
    <w:name w:val="TP Heading 2"/>
    <w:basedOn w:val="HeadingBase"/>
    <w:semiHidden/>
    <w:rsid w:val="00EB53B6"/>
    <w:pPr>
      <w:ind w:left="1134"/>
    </w:pPr>
    <w:rPr>
      <w:caps/>
      <w:spacing w:val="-10"/>
      <w:sz w:val="28"/>
    </w:rPr>
  </w:style>
  <w:style w:type="paragraph" w:customStyle="1" w:styleId="TPHeading3">
    <w:name w:val="TP Heading 3"/>
    <w:basedOn w:val="HeadingBase"/>
    <w:semiHidden/>
    <w:rsid w:val="00EB53B6"/>
    <w:pPr>
      <w:ind w:left="1134"/>
    </w:pPr>
    <w:rPr>
      <w:caps/>
      <w:spacing w:val="-10"/>
    </w:rPr>
  </w:style>
  <w:style w:type="paragraph" w:customStyle="1" w:styleId="TPHeading3bold">
    <w:name w:val="TP Heading 3 bold"/>
    <w:basedOn w:val="TPHeading3"/>
    <w:semiHidden/>
    <w:rsid w:val="00EB53B6"/>
    <w:rPr>
      <w:rFonts w:cs="Arial"/>
      <w:b/>
      <w:sz w:val="22"/>
      <w:szCs w:val="22"/>
    </w:rPr>
  </w:style>
  <w:style w:type="paragraph" w:customStyle="1" w:styleId="TPHEADING3boldspace">
    <w:name w:val="TP HEADING 3 bold space"/>
    <w:basedOn w:val="TPHeading3bold"/>
    <w:semiHidden/>
    <w:rsid w:val="00EB53B6"/>
    <w:pPr>
      <w:spacing w:after="120"/>
    </w:pPr>
  </w:style>
  <w:style w:type="paragraph" w:customStyle="1" w:styleId="TPHEADING3space">
    <w:name w:val="TP HEADING 3 space"/>
    <w:basedOn w:val="TPHeading3"/>
    <w:semiHidden/>
    <w:rsid w:val="00EB53B6"/>
    <w:pPr>
      <w:spacing w:before="120" w:after="120"/>
    </w:pPr>
    <w:rPr>
      <w:rFonts w:cs="Arial"/>
      <w:sz w:val="22"/>
      <w:szCs w:val="22"/>
    </w:rPr>
  </w:style>
  <w:style w:type="paragraph" w:customStyle="1" w:styleId="TPHeading4">
    <w:name w:val="TP Heading 4"/>
    <w:basedOn w:val="TPHeading3"/>
    <w:semiHidden/>
    <w:rsid w:val="00EB53B6"/>
    <w:rPr>
      <w:sz w:val="20"/>
    </w:rPr>
  </w:style>
  <w:style w:type="paragraph" w:customStyle="1" w:styleId="TPHEADING4space">
    <w:name w:val="TP HEADING 4 space"/>
    <w:basedOn w:val="TPHEADING3space"/>
    <w:semiHidden/>
    <w:rsid w:val="00EB53B6"/>
  </w:style>
  <w:style w:type="paragraph" w:customStyle="1" w:styleId="ChartLine">
    <w:name w:val="Chart Line"/>
    <w:basedOn w:val="Normal"/>
    <w:autoRedefine/>
    <w:qFormat/>
    <w:rsid w:val="00EB53B6"/>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EB53B6"/>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EB53B6"/>
    <w:rPr>
      <w:sz w:val="16"/>
    </w:rPr>
  </w:style>
  <w:style w:type="paragraph" w:customStyle="1" w:styleId="Box-continuedon">
    <w:name w:val="Box - continued on"/>
    <w:basedOn w:val="Normal"/>
    <w:qFormat/>
    <w:rsid w:val="00EB53B6"/>
    <w:pPr>
      <w:jc w:val="right"/>
    </w:pPr>
    <w:rPr>
      <w:rFonts w:asciiTheme="majorHAnsi" w:hAnsiTheme="majorHAnsi" w:cstheme="majorHAnsi"/>
      <w:i/>
      <w:iCs/>
      <w:sz w:val="18"/>
      <w:szCs w:val="24"/>
    </w:rPr>
  </w:style>
  <w:style w:type="paragraph" w:customStyle="1" w:styleId="BoxHeading2">
    <w:name w:val="Box Heading 2"/>
    <w:basedOn w:val="BoxHeading"/>
    <w:autoRedefine/>
    <w:rsid w:val="00EB53B6"/>
    <w:pPr>
      <w:spacing w:after="0"/>
    </w:pPr>
    <w:rPr>
      <w:b w:val="0"/>
      <w:bCs/>
      <w:szCs w:val="14"/>
    </w:rPr>
  </w:style>
  <w:style w:type="character" w:customStyle="1" w:styleId="Heading9Char">
    <w:name w:val="Heading 9 Char"/>
    <w:basedOn w:val="DefaultParagraphFont"/>
    <w:link w:val="Heading9"/>
    <w:uiPriority w:val="9"/>
    <w:rsid w:val="00EB53B6"/>
    <w:rPr>
      <w:rFonts w:ascii="Cambria" w:eastAsia="Times New Roman" w:hAnsi="Cambria" w:cs="Times New Roman"/>
      <w:lang w:eastAsia="en-AU"/>
    </w:rPr>
  </w:style>
  <w:style w:type="paragraph" w:customStyle="1" w:styleId="GhostLine">
    <w:name w:val="Ghost Line"/>
    <w:basedOn w:val="NoSpacing"/>
    <w:qFormat/>
    <w:rsid w:val="00EB53B6"/>
    <w:pPr>
      <w:jc w:val="both"/>
    </w:pPr>
    <w:rPr>
      <w:rFonts w:ascii="Book Antiqua" w:hAnsi="Book Antiqua"/>
      <w:sz w:val="2"/>
    </w:rPr>
  </w:style>
  <w:style w:type="paragraph" w:styleId="NoSpacing">
    <w:name w:val="No Spacing"/>
    <w:uiPriority w:val="1"/>
    <w:qFormat/>
    <w:rsid w:val="00EB53B6"/>
    <w:pPr>
      <w:spacing w:after="0" w:line="240" w:lineRule="auto"/>
    </w:pPr>
    <w:rPr>
      <w:rFonts w:eastAsia="Times New Roman" w:cs="Times New Roman"/>
      <w:sz w:val="19"/>
      <w:szCs w:val="20"/>
      <w:lang w:eastAsia="en-AU"/>
    </w:rPr>
  </w:style>
  <w:style w:type="paragraph" w:customStyle="1" w:styleId="ChartHeading">
    <w:name w:val="Chart Heading"/>
    <w:basedOn w:val="HeadingBase"/>
    <w:next w:val="ChartGraphic"/>
    <w:qFormat/>
    <w:rsid w:val="00356E70"/>
    <w:pPr>
      <w:spacing w:before="120" w:after="20"/>
    </w:pPr>
    <w:rPr>
      <w:b/>
      <w:sz w:val="20"/>
    </w:rPr>
  </w:style>
  <w:style w:type="character" w:customStyle="1" w:styleId="BulletChar">
    <w:name w:val="Bullet Char"/>
    <w:aliases w:val="b Char,Body Char,Bullet + line Char,b + line Char,b + line Char Char,b Char Char,b1 Char,level 1 Char,Bullets Char,Number Char"/>
    <w:link w:val="Bullet"/>
    <w:qFormat/>
    <w:locked/>
    <w:rsid w:val="00356E70"/>
    <w:rPr>
      <w:rFonts w:ascii="Book Antiqua" w:eastAsia="Times New Roman" w:hAnsi="Book Antiqua" w:cs="Times New Roman"/>
      <w:sz w:val="19"/>
      <w:szCs w:val="20"/>
      <w:lang w:eastAsia="en-AU"/>
    </w:rPr>
  </w:style>
  <w:style w:type="paragraph" w:customStyle="1" w:styleId="OutlineNumbered1">
    <w:name w:val="Outline Numbered 1"/>
    <w:basedOn w:val="Normal"/>
    <w:link w:val="OutlineNumbered1Char"/>
    <w:rsid w:val="00356E70"/>
    <w:pPr>
      <w:numPr>
        <w:numId w:val="21"/>
      </w:numPr>
    </w:pPr>
    <w:rPr>
      <w:rFonts w:ascii="Arial" w:hAnsi="Arial"/>
      <w:color w:val="000000"/>
    </w:rPr>
  </w:style>
  <w:style w:type="character" w:customStyle="1" w:styleId="ChartandTableFootnoteChar">
    <w:name w:val="Chart and Table Footnote Char"/>
    <w:basedOn w:val="DefaultParagraphFont"/>
    <w:link w:val="ChartandTableFootnote"/>
    <w:rsid w:val="00356E70"/>
    <w:rPr>
      <w:rFonts w:ascii="Arial" w:eastAsia="Times New Roman" w:hAnsi="Arial" w:cs="Times New Roman"/>
      <w:color w:val="000000"/>
      <w:sz w:val="16"/>
      <w:szCs w:val="20"/>
      <w:lang w:eastAsia="en-AU"/>
    </w:rPr>
  </w:style>
  <w:style w:type="paragraph" w:customStyle="1" w:styleId="OutlineNumbered2">
    <w:name w:val="Outline Numbered 2"/>
    <w:basedOn w:val="Normal"/>
    <w:link w:val="OutlineNumbered2Char"/>
    <w:rsid w:val="00356E70"/>
    <w:pPr>
      <w:numPr>
        <w:ilvl w:val="1"/>
        <w:numId w:val="21"/>
      </w:numPr>
    </w:pPr>
    <w:rPr>
      <w:rFonts w:ascii="Arial" w:hAnsi="Arial"/>
      <w:color w:val="000000"/>
    </w:rPr>
  </w:style>
  <w:style w:type="paragraph" w:customStyle="1" w:styleId="OutlineNumbered3">
    <w:name w:val="Outline Numbered 3"/>
    <w:basedOn w:val="Normal"/>
    <w:link w:val="OutlineNumbered3Char"/>
    <w:rsid w:val="00356E70"/>
    <w:pPr>
      <w:numPr>
        <w:ilvl w:val="2"/>
        <w:numId w:val="21"/>
      </w:numPr>
    </w:pPr>
    <w:rPr>
      <w:rFonts w:ascii="Arial" w:hAnsi="Arial"/>
      <w:color w:val="000000"/>
    </w:rPr>
  </w:style>
  <w:style w:type="paragraph" w:customStyle="1" w:styleId="StatementWhite">
    <w:name w:val="Statement White"/>
    <w:basedOn w:val="Normal"/>
    <w:autoRedefine/>
    <w:qFormat/>
    <w:rsid w:val="00356E70"/>
    <w:pPr>
      <w:textboxTightWrap w:val="firstAndLastLine"/>
    </w:pPr>
    <w:rPr>
      <w:rFonts w:asciiTheme="minorHAnsi" w:hAnsiTheme="minorHAnsi" w:cstheme="minorHAnsi"/>
      <w:color w:val="FFFFFF" w:themeColor="background1"/>
      <w:kern w:val="18"/>
      <w:sz w:val="18"/>
      <w:szCs w:val="18"/>
    </w:rPr>
  </w:style>
  <w:style w:type="paragraph" w:customStyle="1" w:styleId="FooterOddWHITE">
    <w:name w:val="Footer Odd WHITE"/>
    <w:basedOn w:val="FooterOdd"/>
    <w:qFormat/>
    <w:rsid w:val="00356E70"/>
    <w:pPr>
      <w:pBdr>
        <w:top w:val="single" w:sz="4" w:space="10" w:color="FFFFFF" w:themeColor="background1"/>
      </w:pBdr>
    </w:pPr>
    <w:rPr>
      <w:color w:val="FFFFFF" w:themeColor="background1"/>
    </w:rPr>
  </w:style>
  <w:style w:type="paragraph" w:customStyle="1" w:styleId="BoxSubHeading">
    <w:name w:val="Box Sub Heading"/>
    <w:basedOn w:val="Heading6"/>
    <w:rsid w:val="00356E70"/>
    <w:pPr>
      <w:spacing w:before="120" w:after="40"/>
    </w:pPr>
  </w:style>
  <w:style w:type="character" w:styleId="EndnoteReference">
    <w:name w:val="endnote reference"/>
    <w:basedOn w:val="DefaultParagraphFont"/>
    <w:unhideWhenUsed/>
    <w:rsid w:val="00356E70"/>
    <w:rPr>
      <w:vertAlign w:val="superscript"/>
    </w:rPr>
  </w:style>
  <w:style w:type="paragraph" w:styleId="EndnoteText">
    <w:name w:val="endnote text"/>
    <w:basedOn w:val="Normal"/>
    <w:link w:val="EndnoteTextChar"/>
    <w:unhideWhenUsed/>
    <w:rsid w:val="00356E70"/>
    <w:rPr>
      <w:rFonts w:asciiTheme="minorHAnsi" w:hAnsiTheme="minorHAnsi"/>
    </w:rPr>
  </w:style>
  <w:style w:type="character" w:customStyle="1" w:styleId="EndnoteTextChar">
    <w:name w:val="Endnote Text Char"/>
    <w:basedOn w:val="DefaultParagraphFont"/>
    <w:link w:val="EndnoteText"/>
    <w:rsid w:val="00356E70"/>
    <w:rPr>
      <w:rFonts w:eastAsia="Times New Roman" w:cs="Times New Roman"/>
      <w:sz w:val="19"/>
      <w:szCs w:val="20"/>
      <w:lang w:eastAsia="en-AU"/>
    </w:rPr>
  </w:style>
  <w:style w:type="paragraph" w:styleId="Index1">
    <w:name w:val="index 1"/>
    <w:basedOn w:val="Normal"/>
    <w:next w:val="Normal"/>
    <w:rsid w:val="00356E70"/>
    <w:pPr>
      <w:ind w:left="200" w:hanging="200"/>
    </w:pPr>
    <w:rPr>
      <w:rFonts w:asciiTheme="minorHAnsi" w:hAnsiTheme="minorHAnsi"/>
    </w:rPr>
  </w:style>
  <w:style w:type="paragraph" w:styleId="Index2">
    <w:name w:val="index 2"/>
    <w:basedOn w:val="Normal"/>
    <w:next w:val="Normal"/>
    <w:rsid w:val="00356E70"/>
    <w:pPr>
      <w:ind w:left="400" w:hanging="200"/>
    </w:pPr>
    <w:rPr>
      <w:rFonts w:asciiTheme="minorHAnsi" w:hAnsiTheme="minorHAnsi"/>
    </w:rPr>
  </w:style>
  <w:style w:type="paragraph" w:styleId="Index3">
    <w:name w:val="index 3"/>
    <w:basedOn w:val="Normal"/>
    <w:next w:val="Normal"/>
    <w:rsid w:val="00356E70"/>
    <w:pPr>
      <w:ind w:left="600" w:hanging="200"/>
    </w:pPr>
    <w:rPr>
      <w:rFonts w:asciiTheme="minorHAnsi" w:hAnsiTheme="minorHAnsi"/>
    </w:rPr>
  </w:style>
  <w:style w:type="paragraph" w:styleId="IndexHeading">
    <w:name w:val="index heading"/>
    <w:basedOn w:val="Normal"/>
    <w:next w:val="Index1"/>
    <w:rsid w:val="00356E70"/>
    <w:rPr>
      <w:rFonts w:ascii="Arial Bold" w:hAnsi="Arial Bold" w:cs="Arial"/>
      <w:b/>
      <w:bCs/>
      <w:color w:val="002B54"/>
    </w:rPr>
  </w:style>
  <w:style w:type="paragraph" w:styleId="TableofAuthorities">
    <w:name w:val="table of authorities"/>
    <w:basedOn w:val="Normal"/>
    <w:next w:val="Normal"/>
    <w:rsid w:val="00356E70"/>
    <w:pPr>
      <w:ind w:left="200" w:hanging="200"/>
    </w:pPr>
    <w:rPr>
      <w:rFonts w:asciiTheme="minorHAnsi" w:hAnsiTheme="minorHAnsi"/>
    </w:rPr>
  </w:style>
  <w:style w:type="paragraph" w:customStyle="1" w:styleId="StatementWhite-Bullet">
    <w:name w:val="Statement White - Bullet"/>
    <w:basedOn w:val="Bullet"/>
    <w:qFormat/>
    <w:rsid w:val="00356E70"/>
    <w:pPr>
      <w:numPr>
        <w:numId w:val="0"/>
      </w:numPr>
      <w:tabs>
        <w:tab w:val="num" w:pos="283"/>
      </w:tabs>
      <w:ind w:left="284" w:hanging="284"/>
    </w:pPr>
    <w:rPr>
      <w:rFonts w:asciiTheme="minorHAnsi" w:hAnsiTheme="minorHAnsi"/>
      <w:color w:val="FFFFFF" w:themeColor="background1"/>
    </w:rPr>
  </w:style>
  <w:style w:type="paragraph" w:styleId="BalloonText">
    <w:name w:val="Balloon Text"/>
    <w:basedOn w:val="Normal"/>
    <w:link w:val="BalloonTextChar"/>
    <w:rsid w:val="00356E70"/>
    <w:rPr>
      <w:rFonts w:ascii="Tahoma" w:hAnsi="Tahoma" w:cs="Tahoma"/>
      <w:sz w:val="16"/>
      <w:szCs w:val="16"/>
    </w:rPr>
  </w:style>
  <w:style w:type="character" w:customStyle="1" w:styleId="BalloonTextChar">
    <w:name w:val="Balloon Text Char"/>
    <w:basedOn w:val="DefaultParagraphFont"/>
    <w:link w:val="BalloonText"/>
    <w:rsid w:val="00356E70"/>
    <w:rPr>
      <w:rFonts w:ascii="Tahoma" w:eastAsia="Times New Roman" w:hAnsi="Tahoma" w:cs="Tahoma"/>
      <w:sz w:val="16"/>
      <w:szCs w:val="16"/>
      <w:lang w:eastAsia="en-AU"/>
    </w:rPr>
  </w:style>
  <w:style w:type="paragraph" w:customStyle="1" w:styleId="BlockedQuotation">
    <w:name w:val="Blocked Quotation"/>
    <w:basedOn w:val="Normal"/>
    <w:rsid w:val="00356E70"/>
    <w:pPr>
      <w:ind w:left="567"/>
    </w:pPr>
    <w:rPr>
      <w:rFonts w:asciiTheme="minorHAnsi" w:hAnsiTheme="minorHAnsi"/>
    </w:rPr>
  </w:style>
  <w:style w:type="paragraph" w:customStyle="1" w:styleId="SourceBox">
    <w:name w:val="Source Box"/>
    <w:basedOn w:val="Source"/>
    <w:rsid w:val="00356E70"/>
    <w:pPr>
      <w:spacing w:before="0" w:after="120"/>
    </w:pPr>
  </w:style>
  <w:style w:type="paragraph" w:customStyle="1" w:styleId="AppendixHeading">
    <w:name w:val="Appendix Heading"/>
    <w:basedOn w:val="HeadingBase"/>
    <w:rsid w:val="00356E70"/>
    <w:pPr>
      <w:spacing w:after="240"/>
      <w:jc w:val="center"/>
      <w:outlineLvl w:val="3"/>
    </w:pPr>
    <w:rPr>
      <w:b/>
      <w:smallCaps/>
      <w:sz w:val="30"/>
    </w:rPr>
  </w:style>
  <w:style w:type="paragraph" w:customStyle="1" w:styleId="ContentsnoToC">
    <w:name w:val="Contents no ToC"/>
    <w:basedOn w:val="ContentsHeading"/>
    <w:rsid w:val="00356E70"/>
    <w:pPr>
      <w:jc w:val="center"/>
    </w:pPr>
    <w:rPr>
      <w:kern w:val="0"/>
    </w:rPr>
  </w:style>
  <w:style w:type="paragraph" w:customStyle="1" w:styleId="Boxcontinuedover">
    <w:name w:val="Box continued over"/>
    <w:basedOn w:val="BoxText"/>
    <w:qFormat/>
    <w:rsid w:val="00356E70"/>
    <w:pPr>
      <w:spacing w:before="240" w:after="0"/>
      <w:jc w:val="right"/>
    </w:pPr>
    <w:rPr>
      <w:rFonts w:ascii="Arial" w:hAnsi="Arial"/>
      <w:b/>
      <w:bCs/>
      <w:sz w:val="18"/>
      <w:szCs w:val="16"/>
    </w:rPr>
  </w:style>
  <w:style w:type="paragraph" w:customStyle="1" w:styleId="ChartandTableFootnoteAlphaSmall">
    <w:name w:val="Chart and Table Footnote Alpha Small"/>
    <w:basedOn w:val="HeadingBase"/>
    <w:next w:val="Normal"/>
    <w:link w:val="ChartandTableFootnoteAlphaSmallChar"/>
    <w:rsid w:val="00356E70"/>
    <w:pPr>
      <w:keepNext w:val="0"/>
      <w:tabs>
        <w:tab w:val="num" w:pos="284"/>
      </w:tabs>
      <w:ind w:left="284" w:hanging="284"/>
      <w:jc w:val="both"/>
    </w:pPr>
    <w:rPr>
      <w:rFonts w:cs="Arial"/>
      <w:color w:val="000000"/>
      <w:sz w:val="15"/>
      <w:szCs w:val="15"/>
    </w:rPr>
  </w:style>
  <w:style w:type="character" w:customStyle="1" w:styleId="ChartandTableFootnoteAlphaSmallChar">
    <w:name w:val="Chart and Table Footnote Alpha Small Char"/>
    <w:link w:val="ChartandTableFootnoteAlphaSmall"/>
    <w:rsid w:val="00356E70"/>
    <w:rPr>
      <w:rFonts w:ascii="Arial" w:eastAsia="Times New Roman" w:hAnsi="Arial" w:cs="Arial"/>
      <w:color w:val="000000"/>
      <w:sz w:val="15"/>
      <w:szCs w:val="15"/>
      <w:lang w:eastAsia="en-AU"/>
    </w:rPr>
  </w:style>
  <w:style w:type="paragraph" w:styleId="NormalWeb">
    <w:name w:val="Normal (Web)"/>
    <w:basedOn w:val="Normal"/>
    <w:uiPriority w:val="99"/>
    <w:unhideWhenUsed/>
    <w:rsid w:val="00356E70"/>
    <w:rPr>
      <w:rFonts w:ascii="Times New Roman" w:hAnsi="Times New Roman"/>
      <w:sz w:val="24"/>
      <w:szCs w:val="24"/>
    </w:rPr>
  </w:style>
  <w:style w:type="paragraph" w:styleId="Revision">
    <w:name w:val="Revision"/>
    <w:hidden/>
    <w:uiPriority w:val="99"/>
    <w:semiHidden/>
    <w:rsid w:val="00356E70"/>
    <w:pPr>
      <w:spacing w:after="0" w:line="240" w:lineRule="auto"/>
    </w:pPr>
    <w:rPr>
      <w:rFonts w:ascii="Book Antiqua" w:eastAsia="Times New Roman" w:hAnsi="Book Antiqua" w:cs="Times New Roman"/>
      <w:sz w:val="20"/>
      <w:szCs w:val="20"/>
      <w:lang w:eastAsia="en-AU"/>
    </w:rPr>
  </w:style>
  <w:style w:type="paragraph" w:styleId="ListParagraph">
    <w:name w:val="List Paragraph"/>
    <w:basedOn w:val="Normal"/>
    <w:uiPriority w:val="34"/>
    <w:qFormat/>
    <w:rsid w:val="00356E70"/>
    <w:pPr>
      <w:spacing w:after="0" w:line="240" w:lineRule="auto"/>
      <w:ind w:left="720"/>
    </w:pPr>
    <w:rPr>
      <w:rFonts w:ascii="Calibri" w:eastAsiaTheme="minorHAnsi" w:hAnsi="Calibri" w:cs="Calibri"/>
      <w:sz w:val="22"/>
      <w:szCs w:val="22"/>
      <w:lang w:eastAsia="en-US"/>
    </w:rPr>
  </w:style>
  <w:style w:type="character" w:customStyle="1" w:styleId="DashChar">
    <w:name w:val="Dash Char"/>
    <w:basedOn w:val="DefaultParagraphFont"/>
    <w:link w:val="Dash"/>
    <w:rsid w:val="00356E70"/>
    <w:rPr>
      <w:rFonts w:ascii="Book Antiqua" w:eastAsia="Times New Roman" w:hAnsi="Book Antiqua" w:cs="Times New Roman"/>
      <w:sz w:val="19"/>
      <w:szCs w:val="20"/>
      <w:lang w:eastAsia="en-AU"/>
    </w:rPr>
  </w:style>
  <w:style w:type="character" w:customStyle="1" w:styleId="HeadingBaseChar">
    <w:name w:val="Heading Base Char"/>
    <w:basedOn w:val="DefaultParagraphFont"/>
    <w:link w:val="HeadingBase"/>
    <w:rsid w:val="00356E70"/>
    <w:rPr>
      <w:rFonts w:ascii="Arial" w:eastAsia="Times New Roman" w:hAnsi="Arial" w:cs="Times New Roman"/>
      <w:sz w:val="24"/>
      <w:szCs w:val="20"/>
      <w:lang w:eastAsia="en-AU"/>
    </w:rPr>
  </w:style>
  <w:style w:type="character" w:customStyle="1" w:styleId="OutlineNumbered1Char">
    <w:name w:val="Outline Numbered 1 Char"/>
    <w:basedOn w:val="ChartandTableFootnoteChar"/>
    <w:link w:val="OutlineNumbered1"/>
    <w:rsid w:val="00356E70"/>
    <w:rPr>
      <w:rFonts w:ascii="Arial" w:eastAsia="Times New Roman" w:hAnsi="Arial" w:cs="Times New Roman"/>
      <w:color w:val="000000"/>
      <w:sz w:val="19"/>
      <w:szCs w:val="20"/>
      <w:lang w:eastAsia="en-AU"/>
    </w:rPr>
  </w:style>
  <w:style w:type="character" w:customStyle="1" w:styleId="OutlineNumbered2Char">
    <w:name w:val="Outline Numbered 2 Char"/>
    <w:basedOn w:val="ChartandTableFootnoteChar"/>
    <w:link w:val="OutlineNumbered2"/>
    <w:rsid w:val="00356E70"/>
    <w:rPr>
      <w:rFonts w:ascii="Arial" w:eastAsia="Times New Roman" w:hAnsi="Arial" w:cs="Times New Roman"/>
      <w:color w:val="000000"/>
      <w:sz w:val="19"/>
      <w:szCs w:val="20"/>
      <w:lang w:eastAsia="en-AU"/>
    </w:rPr>
  </w:style>
  <w:style w:type="character" w:customStyle="1" w:styleId="OutlineNumbered3Char">
    <w:name w:val="Outline Numbered 3 Char"/>
    <w:basedOn w:val="ChartandTableFootnoteChar"/>
    <w:link w:val="OutlineNumbered3"/>
    <w:rsid w:val="00356E70"/>
    <w:rPr>
      <w:rFonts w:ascii="Arial" w:eastAsia="Times New Roman" w:hAnsi="Arial" w:cs="Times New Roman"/>
      <w:color w:val="000000"/>
      <w:sz w:val="19"/>
      <w:szCs w:val="20"/>
      <w:lang w:eastAsia="en-AU"/>
    </w:rPr>
  </w:style>
  <w:style w:type="character" w:styleId="FollowedHyperlink">
    <w:name w:val="FollowedHyperlink"/>
    <w:basedOn w:val="DefaultParagraphFont"/>
    <w:uiPriority w:val="99"/>
    <w:semiHidden/>
    <w:unhideWhenUsed/>
    <w:rsid w:val="00356E70"/>
    <w:rPr>
      <w:color w:val="E61E26" w:themeColor="followedHyperlink"/>
      <w:u w:val="single"/>
    </w:rPr>
  </w:style>
  <w:style w:type="paragraph" w:styleId="Bibliography">
    <w:name w:val="Bibliography"/>
    <w:basedOn w:val="Normal"/>
    <w:next w:val="Normal"/>
    <w:uiPriority w:val="37"/>
    <w:semiHidden/>
    <w:unhideWhenUsed/>
    <w:rsid w:val="00356E70"/>
  </w:style>
  <w:style w:type="paragraph" w:styleId="BlockText">
    <w:name w:val="Block Text"/>
    <w:basedOn w:val="Normal"/>
    <w:uiPriority w:val="99"/>
    <w:semiHidden/>
    <w:unhideWhenUsed/>
    <w:rsid w:val="00356E70"/>
    <w:pPr>
      <w:pBdr>
        <w:top w:val="single" w:sz="2" w:space="10" w:color="0364C3" w:themeColor="accent1"/>
        <w:left w:val="single" w:sz="2" w:space="10" w:color="0364C3" w:themeColor="accent1"/>
        <w:bottom w:val="single" w:sz="2" w:space="10" w:color="0364C3" w:themeColor="accent1"/>
        <w:right w:val="single" w:sz="2" w:space="10" w:color="0364C3" w:themeColor="accent1"/>
      </w:pBdr>
      <w:ind w:left="1152" w:right="1152"/>
    </w:pPr>
    <w:rPr>
      <w:rFonts w:asciiTheme="minorHAnsi" w:eastAsiaTheme="minorEastAsia" w:hAnsiTheme="minorHAnsi" w:cstheme="minorBidi"/>
      <w:i/>
      <w:iCs/>
      <w:color w:val="0364C3" w:themeColor="accent1"/>
    </w:rPr>
  </w:style>
  <w:style w:type="paragraph" w:styleId="BodyText">
    <w:name w:val="Body Text"/>
    <w:basedOn w:val="Normal"/>
    <w:link w:val="BodyTextChar"/>
    <w:uiPriority w:val="99"/>
    <w:semiHidden/>
    <w:unhideWhenUsed/>
    <w:rsid w:val="00356E70"/>
    <w:pPr>
      <w:spacing w:after="120"/>
    </w:pPr>
  </w:style>
  <w:style w:type="character" w:customStyle="1" w:styleId="BodyTextChar">
    <w:name w:val="Body Text Char"/>
    <w:basedOn w:val="DefaultParagraphFont"/>
    <w:link w:val="BodyText"/>
    <w:uiPriority w:val="99"/>
    <w:semiHidden/>
    <w:rsid w:val="00356E70"/>
    <w:rPr>
      <w:rFonts w:ascii="Book Antiqua" w:eastAsia="Times New Roman" w:hAnsi="Book Antiqua" w:cs="Times New Roman"/>
      <w:sz w:val="19"/>
      <w:szCs w:val="20"/>
      <w:lang w:eastAsia="en-AU"/>
    </w:rPr>
  </w:style>
  <w:style w:type="paragraph" w:styleId="BodyText2">
    <w:name w:val="Body Text 2"/>
    <w:basedOn w:val="Normal"/>
    <w:link w:val="BodyText2Char"/>
    <w:uiPriority w:val="99"/>
    <w:semiHidden/>
    <w:unhideWhenUsed/>
    <w:rsid w:val="00356E70"/>
    <w:pPr>
      <w:spacing w:after="120" w:line="480" w:lineRule="auto"/>
    </w:pPr>
  </w:style>
  <w:style w:type="character" w:customStyle="1" w:styleId="BodyText2Char">
    <w:name w:val="Body Text 2 Char"/>
    <w:basedOn w:val="DefaultParagraphFont"/>
    <w:link w:val="BodyText2"/>
    <w:uiPriority w:val="99"/>
    <w:semiHidden/>
    <w:rsid w:val="00356E70"/>
    <w:rPr>
      <w:rFonts w:ascii="Book Antiqua" w:eastAsia="Times New Roman" w:hAnsi="Book Antiqua" w:cs="Times New Roman"/>
      <w:sz w:val="19"/>
      <w:szCs w:val="20"/>
      <w:lang w:eastAsia="en-AU"/>
    </w:rPr>
  </w:style>
  <w:style w:type="paragraph" w:styleId="BodyText3">
    <w:name w:val="Body Text 3"/>
    <w:basedOn w:val="Normal"/>
    <w:link w:val="BodyText3Char"/>
    <w:uiPriority w:val="99"/>
    <w:semiHidden/>
    <w:unhideWhenUsed/>
    <w:rsid w:val="00356E70"/>
    <w:pPr>
      <w:spacing w:after="120"/>
    </w:pPr>
    <w:rPr>
      <w:sz w:val="16"/>
      <w:szCs w:val="16"/>
    </w:rPr>
  </w:style>
  <w:style w:type="character" w:customStyle="1" w:styleId="BodyText3Char">
    <w:name w:val="Body Text 3 Char"/>
    <w:basedOn w:val="DefaultParagraphFont"/>
    <w:link w:val="BodyText3"/>
    <w:uiPriority w:val="99"/>
    <w:semiHidden/>
    <w:rsid w:val="00356E70"/>
    <w:rPr>
      <w:rFonts w:ascii="Book Antiqua" w:eastAsia="Times New Roman" w:hAnsi="Book Antiqua" w:cs="Times New Roman"/>
      <w:sz w:val="16"/>
      <w:szCs w:val="16"/>
      <w:lang w:eastAsia="en-AU"/>
    </w:rPr>
  </w:style>
  <w:style w:type="paragraph" w:styleId="BodyTextFirstIndent">
    <w:name w:val="Body Text First Indent"/>
    <w:basedOn w:val="BodyText"/>
    <w:link w:val="BodyTextFirstIndentChar"/>
    <w:uiPriority w:val="99"/>
    <w:semiHidden/>
    <w:unhideWhenUsed/>
    <w:rsid w:val="00356E70"/>
    <w:pPr>
      <w:spacing w:after="240"/>
      <w:ind w:firstLine="360"/>
    </w:pPr>
  </w:style>
  <w:style w:type="character" w:customStyle="1" w:styleId="BodyTextFirstIndentChar">
    <w:name w:val="Body Text First Indent Char"/>
    <w:basedOn w:val="BodyTextChar"/>
    <w:link w:val="BodyTextFirstIndent"/>
    <w:uiPriority w:val="99"/>
    <w:semiHidden/>
    <w:rsid w:val="00356E70"/>
    <w:rPr>
      <w:rFonts w:ascii="Book Antiqua" w:eastAsia="Times New Roman" w:hAnsi="Book Antiqua" w:cs="Times New Roman"/>
      <w:sz w:val="19"/>
      <w:szCs w:val="20"/>
      <w:lang w:eastAsia="en-AU"/>
    </w:rPr>
  </w:style>
  <w:style w:type="paragraph" w:styleId="BodyTextIndent">
    <w:name w:val="Body Text Indent"/>
    <w:basedOn w:val="Normal"/>
    <w:link w:val="BodyTextIndentChar"/>
    <w:uiPriority w:val="99"/>
    <w:semiHidden/>
    <w:unhideWhenUsed/>
    <w:rsid w:val="00356E70"/>
    <w:pPr>
      <w:spacing w:after="120"/>
      <w:ind w:left="283"/>
    </w:pPr>
  </w:style>
  <w:style w:type="character" w:customStyle="1" w:styleId="BodyTextIndentChar">
    <w:name w:val="Body Text Indent Char"/>
    <w:basedOn w:val="DefaultParagraphFont"/>
    <w:link w:val="BodyTextIndent"/>
    <w:uiPriority w:val="99"/>
    <w:semiHidden/>
    <w:rsid w:val="00356E70"/>
    <w:rPr>
      <w:rFonts w:ascii="Book Antiqua" w:eastAsia="Times New Roman" w:hAnsi="Book Antiqua" w:cs="Times New Roman"/>
      <w:sz w:val="19"/>
      <w:szCs w:val="20"/>
      <w:lang w:eastAsia="en-AU"/>
    </w:rPr>
  </w:style>
  <w:style w:type="paragraph" w:styleId="BodyTextFirstIndent2">
    <w:name w:val="Body Text First Indent 2"/>
    <w:basedOn w:val="BodyTextIndent"/>
    <w:link w:val="BodyTextFirstIndent2Char"/>
    <w:uiPriority w:val="99"/>
    <w:semiHidden/>
    <w:unhideWhenUsed/>
    <w:rsid w:val="00356E70"/>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356E70"/>
    <w:rPr>
      <w:rFonts w:ascii="Book Antiqua" w:eastAsia="Times New Roman" w:hAnsi="Book Antiqua" w:cs="Times New Roman"/>
      <w:sz w:val="19"/>
      <w:szCs w:val="20"/>
      <w:lang w:eastAsia="en-AU"/>
    </w:rPr>
  </w:style>
  <w:style w:type="paragraph" w:styleId="BodyTextIndent2">
    <w:name w:val="Body Text Indent 2"/>
    <w:basedOn w:val="Normal"/>
    <w:link w:val="BodyTextIndent2Char"/>
    <w:uiPriority w:val="99"/>
    <w:semiHidden/>
    <w:unhideWhenUsed/>
    <w:rsid w:val="00356E70"/>
    <w:pPr>
      <w:spacing w:after="120" w:line="480" w:lineRule="auto"/>
      <w:ind w:left="283"/>
    </w:pPr>
  </w:style>
  <w:style w:type="character" w:customStyle="1" w:styleId="BodyTextIndent2Char">
    <w:name w:val="Body Text Indent 2 Char"/>
    <w:basedOn w:val="DefaultParagraphFont"/>
    <w:link w:val="BodyTextIndent2"/>
    <w:uiPriority w:val="99"/>
    <w:semiHidden/>
    <w:rsid w:val="00356E70"/>
    <w:rPr>
      <w:rFonts w:ascii="Book Antiqua" w:eastAsia="Times New Roman" w:hAnsi="Book Antiqua" w:cs="Times New Roman"/>
      <w:sz w:val="19"/>
      <w:szCs w:val="20"/>
      <w:lang w:eastAsia="en-AU"/>
    </w:rPr>
  </w:style>
  <w:style w:type="paragraph" w:styleId="BodyTextIndent3">
    <w:name w:val="Body Text Indent 3"/>
    <w:basedOn w:val="Normal"/>
    <w:link w:val="BodyTextIndent3Char"/>
    <w:uiPriority w:val="99"/>
    <w:semiHidden/>
    <w:unhideWhenUsed/>
    <w:rsid w:val="00356E7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56E70"/>
    <w:rPr>
      <w:rFonts w:ascii="Book Antiqua" w:eastAsia="Times New Roman" w:hAnsi="Book Antiqua" w:cs="Times New Roman"/>
      <w:sz w:val="16"/>
      <w:szCs w:val="16"/>
      <w:lang w:eastAsia="en-AU"/>
    </w:rPr>
  </w:style>
  <w:style w:type="paragraph" w:styleId="Closing">
    <w:name w:val="Closing"/>
    <w:basedOn w:val="Normal"/>
    <w:link w:val="ClosingChar"/>
    <w:uiPriority w:val="99"/>
    <w:semiHidden/>
    <w:unhideWhenUsed/>
    <w:rsid w:val="00356E70"/>
    <w:pPr>
      <w:spacing w:before="0" w:after="0" w:line="240" w:lineRule="auto"/>
      <w:ind w:left="4252"/>
    </w:pPr>
  </w:style>
  <w:style w:type="character" w:customStyle="1" w:styleId="ClosingChar">
    <w:name w:val="Closing Char"/>
    <w:basedOn w:val="DefaultParagraphFont"/>
    <w:link w:val="Closing"/>
    <w:uiPriority w:val="99"/>
    <w:semiHidden/>
    <w:rsid w:val="00356E70"/>
    <w:rPr>
      <w:rFonts w:ascii="Book Antiqua" w:eastAsia="Times New Roman" w:hAnsi="Book Antiqua" w:cs="Times New Roman"/>
      <w:sz w:val="19"/>
      <w:szCs w:val="20"/>
      <w:lang w:eastAsia="en-AU"/>
    </w:rPr>
  </w:style>
  <w:style w:type="paragraph" w:styleId="Date">
    <w:name w:val="Date"/>
    <w:basedOn w:val="Normal"/>
    <w:next w:val="Normal"/>
    <w:link w:val="DateChar"/>
    <w:uiPriority w:val="99"/>
    <w:semiHidden/>
    <w:unhideWhenUsed/>
    <w:rsid w:val="00356E70"/>
  </w:style>
  <w:style w:type="character" w:customStyle="1" w:styleId="DateChar">
    <w:name w:val="Date Char"/>
    <w:basedOn w:val="DefaultParagraphFont"/>
    <w:link w:val="Date"/>
    <w:uiPriority w:val="99"/>
    <w:semiHidden/>
    <w:rsid w:val="00356E70"/>
    <w:rPr>
      <w:rFonts w:ascii="Book Antiqua" w:eastAsia="Times New Roman" w:hAnsi="Book Antiqua" w:cs="Times New Roman"/>
      <w:sz w:val="19"/>
      <w:szCs w:val="20"/>
      <w:lang w:eastAsia="en-AU"/>
    </w:rPr>
  </w:style>
  <w:style w:type="paragraph" w:styleId="E-mailSignature">
    <w:name w:val="E-mail Signature"/>
    <w:basedOn w:val="Normal"/>
    <w:link w:val="E-mailSignatureChar"/>
    <w:uiPriority w:val="99"/>
    <w:semiHidden/>
    <w:unhideWhenUsed/>
    <w:rsid w:val="00356E70"/>
    <w:pPr>
      <w:spacing w:before="0" w:after="0" w:line="240" w:lineRule="auto"/>
    </w:pPr>
  </w:style>
  <w:style w:type="character" w:customStyle="1" w:styleId="E-mailSignatureChar">
    <w:name w:val="E-mail Signature Char"/>
    <w:basedOn w:val="DefaultParagraphFont"/>
    <w:link w:val="E-mailSignature"/>
    <w:uiPriority w:val="99"/>
    <w:semiHidden/>
    <w:rsid w:val="00356E70"/>
    <w:rPr>
      <w:rFonts w:ascii="Book Antiqua" w:eastAsia="Times New Roman" w:hAnsi="Book Antiqua" w:cs="Times New Roman"/>
      <w:sz w:val="19"/>
      <w:szCs w:val="20"/>
      <w:lang w:eastAsia="en-AU"/>
    </w:rPr>
  </w:style>
  <w:style w:type="paragraph" w:styleId="EnvelopeAddress">
    <w:name w:val="envelope address"/>
    <w:basedOn w:val="Normal"/>
    <w:uiPriority w:val="99"/>
    <w:semiHidden/>
    <w:unhideWhenUsed/>
    <w:rsid w:val="00356E70"/>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6E70"/>
    <w:pPr>
      <w:spacing w:before="0" w:after="0"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356E70"/>
    <w:pPr>
      <w:spacing w:before="0" w:after="0" w:line="240" w:lineRule="auto"/>
    </w:pPr>
    <w:rPr>
      <w:i/>
      <w:iCs/>
    </w:rPr>
  </w:style>
  <w:style w:type="character" w:customStyle="1" w:styleId="HTMLAddressChar">
    <w:name w:val="HTML Address Char"/>
    <w:basedOn w:val="DefaultParagraphFont"/>
    <w:link w:val="HTMLAddress"/>
    <w:uiPriority w:val="99"/>
    <w:semiHidden/>
    <w:rsid w:val="00356E70"/>
    <w:rPr>
      <w:rFonts w:ascii="Book Antiqua" w:eastAsia="Times New Roman" w:hAnsi="Book Antiqua" w:cs="Times New Roman"/>
      <w:i/>
      <w:iCs/>
      <w:sz w:val="19"/>
      <w:szCs w:val="20"/>
      <w:lang w:eastAsia="en-AU"/>
    </w:rPr>
  </w:style>
  <w:style w:type="paragraph" w:styleId="HTMLPreformatted">
    <w:name w:val="HTML Preformatted"/>
    <w:basedOn w:val="Normal"/>
    <w:link w:val="HTMLPreformattedChar"/>
    <w:uiPriority w:val="99"/>
    <w:semiHidden/>
    <w:unhideWhenUsed/>
    <w:rsid w:val="00356E70"/>
    <w:pPr>
      <w:spacing w:before="0"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356E70"/>
    <w:rPr>
      <w:rFonts w:ascii="Consolas" w:eastAsia="Times New Roman" w:hAnsi="Consolas" w:cs="Times New Roman"/>
      <w:sz w:val="20"/>
      <w:szCs w:val="20"/>
      <w:lang w:eastAsia="en-AU"/>
    </w:rPr>
  </w:style>
  <w:style w:type="paragraph" w:styleId="IntenseQuote">
    <w:name w:val="Intense Quote"/>
    <w:basedOn w:val="Normal"/>
    <w:next w:val="Normal"/>
    <w:link w:val="IntenseQuoteChar"/>
    <w:uiPriority w:val="30"/>
    <w:rsid w:val="00356E70"/>
    <w:pPr>
      <w:pBdr>
        <w:top w:val="single" w:sz="4" w:space="10" w:color="0364C3" w:themeColor="accent1"/>
        <w:bottom w:val="single" w:sz="4" w:space="10" w:color="0364C3" w:themeColor="accent1"/>
      </w:pBdr>
      <w:spacing w:before="360" w:after="360"/>
      <w:ind w:left="864" w:right="864"/>
      <w:jc w:val="center"/>
    </w:pPr>
    <w:rPr>
      <w:i/>
      <w:iCs/>
      <w:color w:val="0364C3" w:themeColor="accent1"/>
    </w:rPr>
  </w:style>
  <w:style w:type="character" w:customStyle="1" w:styleId="IntenseQuoteChar">
    <w:name w:val="Intense Quote Char"/>
    <w:basedOn w:val="DefaultParagraphFont"/>
    <w:link w:val="IntenseQuote"/>
    <w:uiPriority w:val="30"/>
    <w:rsid w:val="00356E70"/>
    <w:rPr>
      <w:rFonts w:ascii="Book Antiqua" w:eastAsia="Times New Roman" w:hAnsi="Book Antiqua" w:cs="Times New Roman"/>
      <w:i/>
      <w:iCs/>
      <w:color w:val="0364C3" w:themeColor="accent1"/>
      <w:sz w:val="19"/>
      <w:szCs w:val="20"/>
      <w:lang w:eastAsia="en-AU"/>
    </w:rPr>
  </w:style>
  <w:style w:type="paragraph" w:styleId="List">
    <w:name w:val="List"/>
    <w:basedOn w:val="Normal"/>
    <w:uiPriority w:val="99"/>
    <w:semiHidden/>
    <w:unhideWhenUsed/>
    <w:rsid w:val="00356E70"/>
    <w:pPr>
      <w:ind w:left="283" w:hanging="283"/>
      <w:contextualSpacing/>
    </w:pPr>
  </w:style>
  <w:style w:type="paragraph" w:styleId="List2">
    <w:name w:val="List 2"/>
    <w:basedOn w:val="Normal"/>
    <w:uiPriority w:val="99"/>
    <w:semiHidden/>
    <w:unhideWhenUsed/>
    <w:rsid w:val="00356E70"/>
    <w:pPr>
      <w:ind w:left="566" w:hanging="283"/>
      <w:contextualSpacing/>
    </w:pPr>
  </w:style>
  <w:style w:type="paragraph" w:styleId="List3">
    <w:name w:val="List 3"/>
    <w:basedOn w:val="Normal"/>
    <w:uiPriority w:val="99"/>
    <w:semiHidden/>
    <w:unhideWhenUsed/>
    <w:rsid w:val="00356E70"/>
    <w:pPr>
      <w:ind w:left="849" w:hanging="283"/>
      <w:contextualSpacing/>
    </w:pPr>
  </w:style>
  <w:style w:type="paragraph" w:styleId="List4">
    <w:name w:val="List 4"/>
    <w:basedOn w:val="Normal"/>
    <w:uiPriority w:val="99"/>
    <w:semiHidden/>
    <w:unhideWhenUsed/>
    <w:rsid w:val="00356E70"/>
    <w:pPr>
      <w:ind w:left="1132" w:hanging="283"/>
      <w:contextualSpacing/>
    </w:pPr>
  </w:style>
  <w:style w:type="paragraph" w:styleId="List5">
    <w:name w:val="List 5"/>
    <w:basedOn w:val="Normal"/>
    <w:uiPriority w:val="99"/>
    <w:semiHidden/>
    <w:unhideWhenUsed/>
    <w:rsid w:val="00356E70"/>
    <w:pPr>
      <w:ind w:left="1415" w:hanging="283"/>
      <w:contextualSpacing/>
    </w:pPr>
  </w:style>
  <w:style w:type="paragraph" w:styleId="ListBullet">
    <w:name w:val="List Bullet"/>
    <w:basedOn w:val="Normal"/>
    <w:uiPriority w:val="99"/>
    <w:semiHidden/>
    <w:unhideWhenUsed/>
    <w:rsid w:val="00356E70"/>
    <w:pPr>
      <w:tabs>
        <w:tab w:val="num" w:pos="360"/>
      </w:tabs>
      <w:ind w:left="360" w:hanging="360"/>
      <w:contextualSpacing/>
    </w:pPr>
  </w:style>
  <w:style w:type="paragraph" w:styleId="ListBullet2">
    <w:name w:val="List Bullet 2"/>
    <w:basedOn w:val="Normal"/>
    <w:uiPriority w:val="99"/>
    <w:semiHidden/>
    <w:unhideWhenUsed/>
    <w:rsid w:val="00356E70"/>
    <w:pPr>
      <w:tabs>
        <w:tab w:val="num" w:pos="643"/>
      </w:tabs>
      <w:ind w:left="643" w:hanging="360"/>
      <w:contextualSpacing/>
    </w:pPr>
  </w:style>
  <w:style w:type="paragraph" w:styleId="ListBullet3">
    <w:name w:val="List Bullet 3"/>
    <w:basedOn w:val="Normal"/>
    <w:uiPriority w:val="99"/>
    <w:semiHidden/>
    <w:unhideWhenUsed/>
    <w:rsid w:val="00356E70"/>
    <w:pPr>
      <w:tabs>
        <w:tab w:val="num" w:pos="926"/>
      </w:tabs>
      <w:ind w:left="926" w:hanging="360"/>
      <w:contextualSpacing/>
    </w:pPr>
  </w:style>
  <w:style w:type="paragraph" w:styleId="ListBullet4">
    <w:name w:val="List Bullet 4"/>
    <w:basedOn w:val="Normal"/>
    <w:uiPriority w:val="99"/>
    <w:semiHidden/>
    <w:unhideWhenUsed/>
    <w:rsid w:val="00356E70"/>
    <w:pPr>
      <w:tabs>
        <w:tab w:val="num" w:pos="1209"/>
      </w:tabs>
      <w:ind w:left="1209" w:hanging="360"/>
      <w:contextualSpacing/>
    </w:pPr>
  </w:style>
  <w:style w:type="paragraph" w:styleId="ListBullet5">
    <w:name w:val="List Bullet 5"/>
    <w:basedOn w:val="Normal"/>
    <w:uiPriority w:val="99"/>
    <w:semiHidden/>
    <w:unhideWhenUsed/>
    <w:rsid w:val="00356E70"/>
    <w:pPr>
      <w:tabs>
        <w:tab w:val="num" w:pos="1492"/>
      </w:tabs>
      <w:ind w:left="1492" w:hanging="360"/>
      <w:contextualSpacing/>
    </w:pPr>
  </w:style>
  <w:style w:type="paragraph" w:styleId="ListContinue">
    <w:name w:val="List Continue"/>
    <w:basedOn w:val="Normal"/>
    <w:uiPriority w:val="99"/>
    <w:semiHidden/>
    <w:unhideWhenUsed/>
    <w:rsid w:val="00356E70"/>
    <w:pPr>
      <w:spacing w:after="120"/>
      <w:ind w:left="283"/>
      <w:contextualSpacing/>
    </w:pPr>
  </w:style>
  <w:style w:type="paragraph" w:styleId="ListContinue2">
    <w:name w:val="List Continue 2"/>
    <w:basedOn w:val="Normal"/>
    <w:uiPriority w:val="99"/>
    <w:semiHidden/>
    <w:unhideWhenUsed/>
    <w:rsid w:val="00356E70"/>
    <w:pPr>
      <w:spacing w:after="120"/>
      <w:ind w:left="566"/>
      <w:contextualSpacing/>
    </w:pPr>
  </w:style>
  <w:style w:type="paragraph" w:styleId="ListContinue3">
    <w:name w:val="List Continue 3"/>
    <w:basedOn w:val="Normal"/>
    <w:uiPriority w:val="99"/>
    <w:semiHidden/>
    <w:unhideWhenUsed/>
    <w:rsid w:val="00356E70"/>
    <w:pPr>
      <w:spacing w:after="120"/>
      <w:ind w:left="849"/>
      <w:contextualSpacing/>
    </w:pPr>
  </w:style>
  <w:style w:type="paragraph" w:styleId="ListContinue4">
    <w:name w:val="List Continue 4"/>
    <w:basedOn w:val="Normal"/>
    <w:uiPriority w:val="99"/>
    <w:semiHidden/>
    <w:unhideWhenUsed/>
    <w:rsid w:val="00356E70"/>
    <w:pPr>
      <w:spacing w:after="120"/>
      <w:ind w:left="1132"/>
      <w:contextualSpacing/>
    </w:pPr>
  </w:style>
  <w:style w:type="paragraph" w:styleId="ListContinue5">
    <w:name w:val="List Continue 5"/>
    <w:basedOn w:val="Normal"/>
    <w:uiPriority w:val="99"/>
    <w:semiHidden/>
    <w:unhideWhenUsed/>
    <w:rsid w:val="00356E70"/>
    <w:pPr>
      <w:spacing w:after="120"/>
      <w:ind w:left="1415"/>
      <w:contextualSpacing/>
    </w:pPr>
  </w:style>
  <w:style w:type="paragraph" w:styleId="ListNumber">
    <w:name w:val="List Number"/>
    <w:basedOn w:val="Normal"/>
    <w:uiPriority w:val="99"/>
    <w:semiHidden/>
    <w:unhideWhenUsed/>
    <w:rsid w:val="00356E70"/>
    <w:pPr>
      <w:tabs>
        <w:tab w:val="num" w:pos="360"/>
      </w:tabs>
      <w:ind w:left="360" w:hanging="360"/>
      <w:contextualSpacing/>
    </w:pPr>
  </w:style>
  <w:style w:type="paragraph" w:styleId="ListNumber2">
    <w:name w:val="List Number 2"/>
    <w:basedOn w:val="Normal"/>
    <w:uiPriority w:val="99"/>
    <w:semiHidden/>
    <w:unhideWhenUsed/>
    <w:rsid w:val="00356E70"/>
    <w:pPr>
      <w:tabs>
        <w:tab w:val="num" w:pos="643"/>
      </w:tabs>
      <w:ind w:left="643" w:hanging="360"/>
      <w:contextualSpacing/>
    </w:pPr>
  </w:style>
  <w:style w:type="paragraph" w:styleId="ListNumber3">
    <w:name w:val="List Number 3"/>
    <w:basedOn w:val="Normal"/>
    <w:uiPriority w:val="99"/>
    <w:semiHidden/>
    <w:unhideWhenUsed/>
    <w:rsid w:val="00356E70"/>
    <w:pPr>
      <w:tabs>
        <w:tab w:val="num" w:pos="926"/>
      </w:tabs>
      <w:ind w:left="926" w:hanging="360"/>
      <w:contextualSpacing/>
    </w:pPr>
  </w:style>
  <w:style w:type="paragraph" w:styleId="ListNumber4">
    <w:name w:val="List Number 4"/>
    <w:basedOn w:val="Normal"/>
    <w:uiPriority w:val="99"/>
    <w:semiHidden/>
    <w:unhideWhenUsed/>
    <w:rsid w:val="00356E70"/>
    <w:pPr>
      <w:tabs>
        <w:tab w:val="num" w:pos="1209"/>
      </w:tabs>
      <w:ind w:left="1209" w:hanging="360"/>
      <w:contextualSpacing/>
    </w:pPr>
  </w:style>
  <w:style w:type="paragraph" w:styleId="ListNumber5">
    <w:name w:val="List Number 5"/>
    <w:basedOn w:val="Normal"/>
    <w:uiPriority w:val="99"/>
    <w:semiHidden/>
    <w:unhideWhenUsed/>
    <w:rsid w:val="00356E70"/>
    <w:pPr>
      <w:tabs>
        <w:tab w:val="num" w:pos="1492"/>
      </w:tabs>
      <w:ind w:left="1492" w:hanging="360"/>
      <w:contextualSpacing/>
    </w:pPr>
  </w:style>
  <w:style w:type="paragraph" w:styleId="MessageHeader">
    <w:name w:val="Message Header"/>
    <w:basedOn w:val="Normal"/>
    <w:link w:val="MessageHeaderChar"/>
    <w:uiPriority w:val="99"/>
    <w:semiHidden/>
    <w:unhideWhenUsed/>
    <w:rsid w:val="00356E70"/>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6E70"/>
    <w:rPr>
      <w:rFonts w:asciiTheme="majorHAnsi" w:eastAsiaTheme="majorEastAsia" w:hAnsiTheme="majorHAnsi" w:cstheme="majorBidi"/>
      <w:sz w:val="24"/>
      <w:szCs w:val="24"/>
      <w:shd w:val="pct20" w:color="auto" w:fill="auto"/>
      <w:lang w:eastAsia="en-AU"/>
    </w:rPr>
  </w:style>
  <w:style w:type="paragraph" w:styleId="NoteHeading">
    <w:name w:val="Note Heading"/>
    <w:basedOn w:val="Normal"/>
    <w:next w:val="Normal"/>
    <w:link w:val="NoteHeadingChar"/>
    <w:uiPriority w:val="99"/>
    <w:semiHidden/>
    <w:unhideWhenUsed/>
    <w:rsid w:val="00356E70"/>
    <w:pPr>
      <w:spacing w:before="0" w:after="0" w:line="240" w:lineRule="auto"/>
    </w:pPr>
  </w:style>
  <w:style w:type="character" w:customStyle="1" w:styleId="NoteHeadingChar">
    <w:name w:val="Note Heading Char"/>
    <w:basedOn w:val="DefaultParagraphFont"/>
    <w:link w:val="NoteHeading"/>
    <w:uiPriority w:val="99"/>
    <w:semiHidden/>
    <w:rsid w:val="00356E70"/>
    <w:rPr>
      <w:rFonts w:ascii="Book Antiqua" w:eastAsia="Times New Roman" w:hAnsi="Book Antiqua" w:cs="Times New Roman"/>
      <w:sz w:val="19"/>
      <w:szCs w:val="20"/>
      <w:lang w:eastAsia="en-AU"/>
    </w:rPr>
  </w:style>
  <w:style w:type="paragraph" w:styleId="PlainText">
    <w:name w:val="Plain Text"/>
    <w:basedOn w:val="Normal"/>
    <w:link w:val="PlainTextChar"/>
    <w:uiPriority w:val="99"/>
    <w:semiHidden/>
    <w:unhideWhenUsed/>
    <w:rsid w:val="00356E70"/>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56E70"/>
    <w:rPr>
      <w:rFonts w:ascii="Consolas" w:eastAsia="Times New Roman" w:hAnsi="Consolas" w:cs="Times New Roman"/>
      <w:sz w:val="21"/>
      <w:szCs w:val="21"/>
      <w:lang w:eastAsia="en-AU"/>
    </w:rPr>
  </w:style>
  <w:style w:type="paragraph" w:styleId="Quote">
    <w:name w:val="Quote"/>
    <w:basedOn w:val="Normal"/>
    <w:next w:val="Normal"/>
    <w:link w:val="QuoteChar"/>
    <w:uiPriority w:val="29"/>
    <w:rsid w:val="00356E7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6E70"/>
    <w:rPr>
      <w:rFonts w:ascii="Book Antiqua" w:eastAsia="Times New Roman" w:hAnsi="Book Antiqua" w:cs="Times New Roman"/>
      <w:i/>
      <w:iCs/>
      <w:color w:val="404040" w:themeColor="text1" w:themeTint="BF"/>
      <w:sz w:val="19"/>
      <w:szCs w:val="20"/>
      <w:lang w:eastAsia="en-AU"/>
    </w:rPr>
  </w:style>
  <w:style w:type="paragraph" w:styleId="Salutation">
    <w:name w:val="Salutation"/>
    <w:basedOn w:val="Normal"/>
    <w:next w:val="Normal"/>
    <w:link w:val="SalutationChar"/>
    <w:uiPriority w:val="99"/>
    <w:semiHidden/>
    <w:unhideWhenUsed/>
    <w:rsid w:val="00356E70"/>
  </w:style>
  <w:style w:type="character" w:customStyle="1" w:styleId="SalutationChar">
    <w:name w:val="Salutation Char"/>
    <w:basedOn w:val="DefaultParagraphFont"/>
    <w:link w:val="Salutation"/>
    <w:uiPriority w:val="99"/>
    <w:semiHidden/>
    <w:rsid w:val="00356E70"/>
    <w:rPr>
      <w:rFonts w:ascii="Book Antiqua" w:eastAsia="Times New Roman" w:hAnsi="Book Antiqua" w:cs="Times New Roman"/>
      <w:sz w:val="19"/>
      <w:szCs w:val="20"/>
      <w:lang w:eastAsia="en-AU"/>
    </w:rPr>
  </w:style>
  <w:style w:type="paragraph" w:styleId="Signature">
    <w:name w:val="Signature"/>
    <w:basedOn w:val="Normal"/>
    <w:link w:val="SignatureChar"/>
    <w:uiPriority w:val="99"/>
    <w:semiHidden/>
    <w:unhideWhenUsed/>
    <w:rsid w:val="00356E70"/>
    <w:pPr>
      <w:spacing w:before="0" w:after="0" w:line="240" w:lineRule="auto"/>
      <w:ind w:left="4252"/>
    </w:pPr>
  </w:style>
  <w:style w:type="character" w:customStyle="1" w:styleId="SignatureChar">
    <w:name w:val="Signature Char"/>
    <w:basedOn w:val="DefaultParagraphFont"/>
    <w:link w:val="Signature"/>
    <w:uiPriority w:val="99"/>
    <w:semiHidden/>
    <w:rsid w:val="00356E70"/>
    <w:rPr>
      <w:rFonts w:ascii="Book Antiqua" w:eastAsia="Times New Roman" w:hAnsi="Book Antiqua" w:cs="Times New Roman"/>
      <w:sz w:val="19"/>
      <w:szCs w:val="20"/>
      <w:lang w:eastAsia="en-AU"/>
    </w:rPr>
  </w:style>
  <w:style w:type="paragraph" w:styleId="Subtitle">
    <w:name w:val="Subtitle"/>
    <w:basedOn w:val="Normal"/>
    <w:next w:val="Normal"/>
    <w:link w:val="SubtitleChar"/>
    <w:uiPriority w:val="11"/>
    <w:rsid w:val="00356E7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56E70"/>
    <w:rPr>
      <w:rFonts w:eastAsiaTheme="minorEastAsia"/>
      <w:color w:val="5A5A5A" w:themeColor="text1" w:themeTint="A5"/>
      <w:spacing w:val="15"/>
      <w:lang w:eastAsia="en-AU"/>
    </w:rPr>
  </w:style>
  <w:style w:type="paragraph" w:styleId="Title">
    <w:name w:val="Title"/>
    <w:basedOn w:val="Normal"/>
    <w:next w:val="Normal"/>
    <w:link w:val="TitleChar"/>
    <w:uiPriority w:val="10"/>
    <w:rsid w:val="00356E70"/>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E70"/>
    <w:rPr>
      <w:rFonts w:asciiTheme="majorHAnsi" w:eastAsiaTheme="majorEastAsia" w:hAnsiTheme="majorHAnsi" w:cstheme="majorBidi"/>
      <w:spacing w:val="-10"/>
      <w:kern w:val="28"/>
      <w:sz w:val="56"/>
      <w:szCs w:val="56"/>
      <w:lang w:eastAsia="en-AU"/>
    </w:rPr>
  </w:style>
  <w:style w:type="paragraph" w:styleId="TOCHeading">
    <w:name w:val="TOC Heading"/>
    <w:basedOn w:val="Heading1"/>
    <w:next w:val="Normal"/>
    <w:uiPriority w:val="39"/>
    <w:semiHidden/>
    <w:unhideWhenUsed/>
    <w:qFormat/>
    <w:rsid w:val="00356E70"/>
    <w:pPr>
      <w:keepLines/>
      <w:spacing w:before="240" w:after="0" w:line="240" w:lineRule="exact"/>
      <w:outlineLvl w:val="9"/>
    </w:pPr>
    <w:rPr>
      <w:rFonts w:asciiTheme="majorHAnsi" w:eastAsiaTheme="majorEastAsia" w:hAnsiTheme="majorHAnsi" w:cstheme="majorBidi"/>
      <w:b w:val="0"/>
      <w:color w:val="024A91" w:themeColor="accent1" w:themeShade="BF"/>
      <w:kern w:val="0"/>
      <w:sz w:val="32"/>
      <w:szCs w:val="32"/>
    </w:rPr>
  </w:style>
  <w:style w:type="character" w:styleId="Mention">
    <w:name w:val="Mention"/>
    <w:basedOn w:val="DefaultParagraphFont"/>
    <w:uiPriority w:val="99"/>
    <w:unhideWhenUsed/>
    <w:rsid w:val="00BB7795"/>
    <w:rPr>
      <w:color w:val="2B579A"/>
      <w:shd w:val="clear" w:color="auto" w:fill="E1DFDD"/>
    </w:rPr>
  </w:style>
  <w:style w:type="character" w:styleId="Emphasis">
    <w:name w:val="Emphasis"/>
    <w:basedOn w:val="DefaultParagraphFont"/>
    <w:uiPriority w:val="20"/>
    <w:rsid w:val="00140B44"/>
    <w:rPr>
      <w:i/>
      <w:iCs/>
    </w:rPr>
  </w:style>
  <w:style w:type="character" w:customStyle="1" w:styleId="FramedHeader">
    <w:name w:val="Framed Header"/>
    <w:basedOn w:val="DefaultParagraphFont"/>
    <w:rsid w:val="00EB53B6"/>
    <w:rPr>
      <w:rFonts w:ascii="Book Antiqua" w:hAnsi="Book Antiqua"/>
      <w:i/>
      <w:dstrike w:val="0"/>
      <w:color w:val="auto"/>
      <w:sz w:val="20"/>
      <w:vertAlign w:val="baseline"/>
    </w:rPr>
  </w:style>
  <w:style w:type="character" w:customStyle="1" w:styleId="HiddenSequenceCode">
    <w:name w:val="Hidden Sequence Code"/>
    <w:basedOn w:val="DefaultParagraphFont"/>
    <w:rsid w:val="00EB53B6"/>
    <w:rPr>
      <w:rFonts w:ascii="Times New Roman" w:hAnsi="Times New Roman"/>
      <w:vanish/>
      <w:sz w:val="16"/>
    </w:rPr>
  </w:style>
  <w:style w:type="character" w:customStyle="1" w:styleId="BoxTextChar">
    <w:name w:val="Box Text Char"/>
    <w:basedOn w:val="DefaultParagraphFont"/>
    <w:link w:val="BoxText"/>
    <w:rsid w:val="00EB53B6"/>
    <w:rPr>
      <w:rFonts w:ascii="Book Antiqua" w:eastAsia="Times New Roman" w:hAnsi="Book Antiqua" w:cs="Times New Roman"/>
      <w:sz w:val="19"/>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337">
      <w:bodyDiv w:val="1"/>
      <w:marLeft w:val="0"/>
      <w:marRight w:val="0"/>
      <w:marTop w:val="0"/>
      <w:marBottom w:val="0"/>
      <w:divBdr>
        <w:top w:val="none" w:sz="0" w:space="0" w:color="auto"/>
        <w:left w:val="none" w:sz="0" w:space="0" w:color="auto"/>
        <w:bottom w:val="none" w:sz="0" w:space="0" w:color="auto"/>
        <w:right w:val="none" w:sz="0" w:space="0" w:color="auto"/>
      </w:divBdr>
    </w:div>
    <w:div w:id="67769603">
      <w:bodyDiv w:val="1"/>
      <w:marLeft w:val="0"/>
      <w:marRight w:val="0"/>
      <w:marTop w:val="0"/>
      <w:marBottom w:val="0"/>
      <w:divBdr>
        <w:top w:val="none" w:sz="0" w:space="0" w:color="auto"/>
        <w:left w:val="none" w:sz="0" w:space="0" w:color="auto"/>
        <w:bottom w:val="none" w:sz="0" w:space="0" w:color="auto"/>
        <w:right w:val="none" w:sz="0" w:space="0" w:color="auto"/>
      </w:divBdr>
    </w:div>
    <w:div w:id="115488912">
      <w:bodyDiv w:val="1"/>
      <w:marLeft w:val="0"/>
      <w:marRight w:val="0"/>
      <w:marTop w:val="0"/>
      <w:marBottom w:val="0"/>
      <w:divBdr>
        <w:top w:val="none" w:sz="0" w:space="0" w:color="auto"/>
        <w:left w:val="none" w:sz="0" w:space="0" w:color="auto"/>
        <w:bottom w:val="none" w:sz="0" w:space="0" w:color="auto"/>
        <w:right w:val="none" w:sz="0" w:space="0" w:color="auto"/>
      </w:divBdr>
    </w:div>
    <w:div w:id="129440301">
      <w:bodyDiv w:val="1"/>
      <w:marLeft w:val="0"/>
      <w:marRight w:val="0"/>
      <w:marTop w:val="0"/>
      <w:marBottom w:val="0"/>
      <w:divBdr>
        <w:top w:val="none" w:sz="0" w:space="0" w:color="auto"/>
        <w:left w:val="none" w:sz="0" w:space="0" w:color="auto"/>
        <w:bottom w:val="none" w:sz="0" w:space="0" w:color="auto"/>
        <w:right w:val="none" w:sz="0" w:space="0" w:color="auto"/>
      </w:divBdr>
    </w:div>
    <w:div w:id="184103253">
      <w:bodyDiv w:val="1"/>
      <w:marLeft w:val="0"/>
      <w:marRight w:val="0"/>
      <w:marTop w:val="0"/>
      <w:marBottom w:val="0"/>
      <w:divBdr>
        <w:top w:val="none" w:sz="0" w:space="0" w:color="auto"/>
        <w:left w:val="none" w:sz="0" w:space="0" w:color="auto"/>
        <w:bottom w:val="none" w:sz="0" w:space="0" w:color="auto"/>
        <w:right w:val="none" w:sz="0" w:space="0" w:color="auto"/>
      </w:divBdr>
    </w:div>
    <w:div w:id="186261648">
      <w:bodyDiv w:val="1"/>
      <w:marLeft w:val="0"/>
      <w:marRight w:val="0"/>
      <w:marTop w:val="0"/>
      <w:marBottom w:val="0"/>
      <w:divBdr>
        <w:top w:val="none" w:sz="0" w:space="0" w:color="auto"/>
        <w:left w:val="none" w:sz="0" w:space="0" w:color="auto"/>
        <w:bottom w:val="none" w:sz="0" w:space="0" w:color="auto"/>
        <w:right w:val="none" w:sz="0" w:space="0" w:color="auto"/>
      </w:divBdr>
    </w:div>
    <w:div w:id="235213757">
      <w:bodyDiv w:val="1"/>
      <w:marLeft w:val="0"/>
      <w:marRight w:val="0"/>
      <w:marTop w:val="0"/>
      <w:marBottom w:val="0"/>
      <w:divBdr>
        <w:top w:val="none" w:sz="0" w:space="0" w:color="auto"/>
        <w:left w:val="none" w:sz="0" w:space="0" w:color="auto"/>
        <w:bottom w:val="none" w:sz="0" w:space="0" w:color="auto"/>
        <w:right w:val="none" w:sz="0" w:space="0" w:color="auto"/>
      </w:divBdr>
    </w:div>
    <w:div w:id="245959851">
      <w:bodyDiv w:val="1"/>
      <w:marLeft w:val="0"/>
      <w:marRight w:val="0"/>
      <w:marTop w:val="0"/>
      <w:marBottom w:val="0"/>
      <w:divBdr>
        <w:top w:val="none" w:sz="0" w:space="0" w:color="auto"/>
        <w:left w:val="none" w:sz="0" w:space="0" w:color="auto"/>
        <w:bottom w:val="none" w:sz="0" w:space="0" w:color="auto"/>
        <w:right w:val="none" w:sz="0" w:space="0" w:color="auto"/>
      </w:divBdr>
    </w:div>
    <w:div w:id="264506825">
      <w:bodyDiv w:val="1"/>
      <w:marLeft w:val="0"/>
      <w:marRight w:val="0"/>
      <w:marTop w:val="0"/>
      <w:marBottom w:val="0"/>
      <w:divBdr>
        <w:top w:val="none" w:sz="0" w:space="0" w:color="auto"/>
        <w:left w:val="none" w:sz="0" w:space="0" w:color="auto"/>
        <w:bottom w:val="none" w:sz="0" w:space="0" w:color="auto"/>
        <w:right w:val="none" w:sz="0" w:space="0" w:color="auto"/>
      </w:divBdr>
    </w:div>
    <w:div w:id="266087150">
      <w:bodyDiv w:val="1"/>
      <w:marLeft w:val="0"/>
      <w:marRight w:val="0"/>
      <w:marTop w:val="0"/>
      <w:marBottom w:val="0"/>
      <w:divBdr>
        <w:top w:val="none" w:sz="0" w:space="0" w:color="auto"/>
        <w:left w:val="none" w:sz="0" w:space="0" w:color="auto"/>
        <w:bottom w:val="none" w:sz="0" w:space="0" w:color="auto"/>
        <w:right w:val="none" w:sz="0" w:space="0" w:color="auto"/>
      </w:divBdr>
    </w:div>
    <w:div w:id="278343149">
      <w:bodyDiv w:val="1"/>
      <w:marLeft w:val="0"/>
      <w:marRight w:val="0"/>
      <w:marTop w:val="0"/>
      <w:marBottom w:val="0"/>
      <w:divBdr>
        <w:top w:val="none" w:sz="0" w:space="0" w:color="auto"/>
        <w:left w:val="none" w:sz="0" w:space="0" w:color="auto"/>
        <w:bottom w:val="none" w:sz="0" w:space="0" w:color="auto"/>
        <w:right w:val="none" w:sz="0" w:space="0" w:color="auto"/>
      </w:divBdr>
    </w:div>
    <w:div w:id="287705731">
      <w:bodyDiv w:val="1"/>
      <w:marLeft w:val="0"/>
      <w:marRight w:val="0"/>
      <w:marTop w:val="0"/>
      <w:marBottom w:val="0"/>
      <w:divBdr>
        <w:top w:val="none" w:sz="0" w:space="0" w:color="auto"/>
        <w:left w:val="none" w:sz="0" w:space="0" w:color="auto"/>
        <w:bottom w:val="none" w:sz="0" w:space="0" w:color="auto"/>
        <w:right w:val="none" w:sz="0" w:space="0" w:color="auto"/>
      </w:divBdr>
    </w:div>
    <w:div w:id="306470080">
      <w:bodyDiv w:val="1"/>
      <w:marLeft w:val="0"/>
      <w:marRight w:val="0"/>
      <w:marTop w:val="0"/>
      <w:marBottom w:val="0"/>
      <w:divBdr>
        <w:top w:val="none" w:sz="0" w:space="0" w:color="auto"/>
        <w:left w:val="none" w:sz="0" w:space="0" w:color="auto"/>
        <w:bottom w:val="none" w:sz="0" w:space="0" w:color="auto"/>
        <w:right w:val="none" w:sz="0" w:space="0" w:color="auto"/>
      </w:divBdr>
    </w:div>
    <w:div w:id="309988986">
      <w:bodyDiv w:val="1"/>
      <w:marLeft w:val="0"/>
      <w:marRight w:val="0"/>
      <w:marTop w:val="0"/>
      <w:marBottom w:val="0"/>
      <w:divBdr>
        <w:top w:val="none" w:sz="0" w:space="0" w:color="auto"/>
        <w:left w:val="none" w:sz="0" w:space="0" w:color="auto"/>
        <w:bottom w:val="none" w:sz="0" w:space="0" w:color="auto"/>
        <w:right w:val="none" w:sz="0" w:space="0" w:color="auto"/>
      </w:divBdr>
    </w:div>
    <w:div w:id="408041592">
      <w:bodyDiv w:val="1"/>
      <w:marLeft w:val="0"/>
      <w:marRight w:val="0"/>
      <w:marTop w:val="0"/>
      <w:marBottom w:val="0"/>
      <w:divBdr>
        <w:top w:val="none" w:sz="0" w:space="0" w:color="auto"/>
        <w:left w:val="none" w:sz="0" w:space="0" w:color="auto"/>
        <w:bottom w:val="none" w:sz="0" w:space="0" w:color="auto"/>
        <w:right w:val="none" w:sz="0" w:space="0" w:color="auto"/>
      </w:divBdr>
    </w:div>
    <w:div w:id="446242516">
      <w:bodyDiv w:val="1"/>
      <w:marLeft w:val="0"/>
      <w:marRight w:val="0"/>
      <w:marTop w:val="0"/>
      <w:marBottom w:val="0"/>
      <w:divBdr>
        <w:top w:val="none" w:sz="0" w:space="0" w:color="auto"/>
        <w:left w:val="none" w:sz="0" w:space="0" w:color="auto"/>
        <w:bottom w:val="none" w:sz="0" w:space="0" w:color="auto"/>
        <w:right w:val="none" w:sz="0" w:space="0" w:color="auto"/>
      </w:divBdr>
    </w:div>
    <w:div w:id="454567730">
      <w:bodyDiv w:val="1"/>
      <w:marLeft w:val="0"/>
      <w:marRight w:val="0"/>
      <w:marTop w:val="0"/>
      <w:marBottom w:val="0"/>
      <w:divBdr>
        <w:top w:val="none" w:sz="0" w:space="0" w:color="auto"/>
        <w:left w:val="none" w:sz="0" w:space="0" w:color="auto"/>
        <w:bottom w:val="none" w:sz="0" w:space="0" w:color="auto"/>
        <w:right w:val="none" w:sz="0" w:space="0" w:color="auto"/>
      </w:divBdr>
    </w:div>
    <w:div w:id="513955528">
      <w:bodyDiv w:val="1"/>
      <w:marLeft w:val="0"/>
      <w:marRight w:val="0"/>
      <w:marTop w:val="0"/>
      <w:marBottom w:val="0"/>
      <w:divBdr>
        <w:top w:val="none" w:sz="0" w:space="0" w:color="auto"/>
        <w:left w:val="none" w:sz="0" w:space="0" w:color="auto"/>
        <w:bottom w:val="none" w:sz="0" w:space="0" w:color="auto"/>
        <w:right w:val="none" w:sz="0" w:space="0" w:color="auto"/>
      </w:divBdr>
    </w:div>
    <w:div w:id="593825733">
      <w:bodyDiv w:val="1"/>
      <w:marLeft w:val="0"/>
      <w:marRight w:val="0"/>
      <w:marTop w:val="0"/>
      <w:marBottom w:val="0"/>
      <w:divBdr>
        <w:top w:val="none" w:sz="0" w:space="0" w:color="auto"/>
        <w:left w:val="none" w:sz="0" w:space="0" w:color="auto"/>
        <w:bottom w:val="none" w:sz="0" w:space="0" w:color="auto"/>
        <w:right w:val="none" w:sz="0" w:space="0" w:color="auto"/>
      </w:divBdr>
    </w:div>
    <w:div w:id="622616352">
      <w:bodyDiv w:val="1"/>
      <w:marLeft w:val="0"/>
      <w:marRight w:val="0"/>
      <w:marTop w:val="0"/>
      <w:marBottom w:val="0"/>
      <w:divBdr>
        <w:top w:val="none" w:sz="0" w:space="0" w:color="auto"/>
        <w:left w:val="none" w:sz="0" w:space="0" w:color="auto"/>
        <w:bottom w:val="none" w:sz="0" w:space="0" w:color="auto"/>
        <w:right w:val="none" w:sz="0" w:space="0" w:color="auto"/>
      </w:divBdr>
    </w:div>
    <w:div w:id="636759641">
      <w:bodyDiv w:val="1"/>
      <w:marLeft w:val="0"/>
      <w:marRight w:val="0"/>
      <w:marTop w:val="0"/>
      <w:marBottom w:val="0"/>
      <w:divBdr>
        <w:top w:val="none" w:sz="0" w:space="0" w:color="auto"/>
        <w:left w:val="none" w:sz="0" w:space="0" w:color="auto"/>
        <w:bottom w:val="none" w:sz="0" w:space="0" w:color="auto"/>
        <w:right w:val="none" w:sz="0" w:space="0" w:color="auto"/>
      </w:divBdr>
    </w:div>
    <w:div w:id="651372903">
      <w:bodyDiv w:val="1"/>
      <w:marLeft w:val="0"/>
      <w:marRight w:val="0"/>
      <w:marTop w:val="0"/>
      <w:marBottom w:val="0"/>
      <w:divBdr>
        <w:top w:val="none" w:sz="0" w:space="0" w:color="auto"/>
        <w:left w:val="none" w:sz="0" w:space="0" w:color="auto"/>
        <w:bottom w:val="none" w:sz="0" w:space="0" w:color="auto"/>
        <w:right w:val="none" w:sz="0" w:space="0" w:color="auto"/>
      </w:divBdr>
    </w:div>
    <w:div w:id="696077181">
      <w:bodyDiv w:val="1"/>
      <w:marLeft w:val="0"/>
      <w:marRight w:val="0"/>
      <w:marTop w:val="0"/>
      <w:marBottom w:val="0"/>
      <w:divBdr>
        <w:top w:val="none" w:sz="0" w:space="0" w:color="auto"/>
        <w:left w:val="none" w:sz="0" w:space="0" w:color="auto"/>
        <w:bottom w:val="none" w:sz="0" w:space="0" w:color="auto"/>
        <w:right w:val="none" w:sz="0" w:space="0" w:color="auto"/>
      </w:divBdr>
    </w:div>
    <w:div w:id="733092126">
      <w:bodyDiv w:val="1"/>
      <w:marLeft w:val="0"/>
      <w:marRight w:val="0"/>
      <w:marTop w:val="0"/>
      <w:marBottom w:val="0"/>
      <w:divBdr>
        <w:top w:val="none" w:sz="0" w:space="0" w:color="auto"/>
        <w:left w:val="none" w:sz="0" w:space="0" w:color="auto"/>
        <w:bottom w:val="none" w:sz="0" w:space="0" w:color="auto"/>
        <w:right w:val="none" w:sz="0" w:space="0" w:color="auto"/>
      </w:divBdr>
    </w:div>
    <w:div w:id="737633193">
      <w:bodyDiv w:val="1"/>
      <w:marLeft w:val="0"/>
      <w:marRight w:val="0"/>
      <w:marTop w:val="0"/>
      <w:marBottom w:val="0"/>
      <w:divBdr>
        <w:top w:val="none" w:sz="0" w:space="0" w:color="auto"/>
        <w:left w:val="none" w:sz="0" w:space="0" w:color="auto"/>
        <w:bottom w:val="none" w:sz="0" w:space="0" w:color="auto"/>
        <w:right w:val="none" w:sz="0" w:space="0" w:color="auto"/>
      </w:divBdr>
    </w:div>
    <w:div w:id="772549880">
      <w:bodyDiv w:val="1"/>
      <w:marLeft w:val="0"/>
      <w:marRight w:val="0"/>
      <w:marTop w:val="0"/>
      <w:marBottom w:val="0"/>
      <w:divBdr>
        <w:top w:val="none" w:sz="0" w:space="0" w:color="auto"/>
        <w:left w:val="none" w:sz="0" w:space="0" w:color="auto"/>
        <w:bottom w:val="none" w:sz="0" w:space="0" w:color="auto"/>
        <w:right w:val="none" w:sz="0" w:space="0" w:color="auto"/>
      </w:divBdr>
    </w:div>
    <w:div w:id="808790667">
      <w:bodyDiv w:val="1"/>
      <w:marLeft w:val="0"/>
      <w:marRight w:val="0"/>
      <w:marTop w:val="0"/>
      <w:marBottom w:val="0"/>
      <w:divBdr>
        <w:top w:val="none" w:sz="0" w:space="0" w:color="auto"/>
        <w:left w:val="none" w:sz="0" w:space="0" w:color="auto"/>
        <w:bottom w:val="none" w:sz="0" w:space="0" w:color="auto"/>
        <w:right w:val="none" w:sz="0" w:space="0" w:color="auto"/>
      </w:divBdr>
    </w:div>
    <w:div w:id="814375944">
      <w:bodyDiv w:val="1"/>
      <w:marLeft w:val="0"/>
      <w:marRight w:val="0"/>
      <w:marTop w:val="0"/>
      <w:marBottom w:val="0"/>
      <w:divBdr>
        <w:top w:val="none" w:sz="0" w:space="0" w:color="auto"/>
        <w:left w:val="none" w:sz="0" w:space="0" w:color="auto"/>
        <w:bottom w:val="none" w:sz="0" w:space="0" w:color="auto"/>
        <w:right w:val="none" w:sz="0" w:space="0" w:color="auto"/>
      </w:divBdr>
    </w:div>
    <w:div w:id="840051512">
      <w:bodyDiv w:val="1"/>
      <w:marLeft w:val="0"/>
      <w:marRight w:val="0"/>
      <w:marTop w:val="0"/>
      <w:marBottom w:val="0"/>
      <w:divBdr>
        <w:top w:val="none" w:sz="0" w:space="0" w:color="auto"/>
        <w:left w:val="none" w:sz="0" w:space="0" w:color="auto"/>
        <w:bottom w:val="none" w:sz="0" w:space="0" w:color="auto"/>
        <w:right w:val="none" w:sz="0" w:space="0" w:color="auto"/>
      </w:divBdr>
    </w:div>
    <w:div w:id="872304476">
      <w:bodyDiv w:val="1"/>
      <w:marLeft w:val="0"/>
      <w:marRight w:val="0"/>
      <w:marTop w:val="0"/>
      <w:marBottom w:val="0"/>
      <w:divBdr>
        <w:top w:val="none" w:sz="0" w:space="0" w:color="auto"/>
        <w:left w:val="none" w:sz="0" w:space="0" w:color="auto"/>
        <w:bottom w:val="none" w:sz="0" w:space="0" w:color="auto"/>
        <w:right w:val="none" w:sz="0" w:space="0" w:color="auto"/>
      </w:divBdr>
    </w:div>
    <w:div w:id="891386602">
      <w:bodyDiv w:val="1"/>
      <w:marLeft w:val="0"/>
      <w:marRight w:val="0"/>
      <w:marTop w:val="0"/>
      <w:marBottom w:val="0"/>
      <w:divBdr>
        <w:top w:val="none" w:sz="0" w:space="0" w:color="auto"/>
        <w:left w:val="none" w:sz="0" w:space="0" w:color="auto"/>
        <w:bottom w:val="none" w:sz="0" w:space="0" w:color="auto"/>
        <w:right w:val="none" w:sz="0" w:space="0" w:color="auto"/>
      </w:divBdr>
    </w:div>
    <w:div w:id="901603910">
      <w:bodyDiv w:val="1"/>
      <w:marLeft w:val="0"/>
      <w:marRight w:val="0"/>
      <w:marTop w:val="0"/>
      <w:marBottom w:val="0"/>
      <w:divBdr>
        <w:top w:val="none" w:sz="0" w:space="0" w:color="auto"/>
        <w:left w:val="none" w:sz="0" w:space="0" w:color="auto"/>
        <w:bottom w:val="none" w:sz="0" w:space="0" w:color="auto"/>
        <w:right w:val="none" w:sz="0" w:space="0" w:color="auto"/>
      </w:divBdr>
    </w:div>
    <w:div w:id="939920192">
      <w:bodyDiv w:val="1"/>
      <w:marLeft w:val="0"/>
      <w:marRight w:val="0"/>
      <w:marTop w:val="0"/>
      <w:marBottom w:val="0"/>
      <w:divBdr>
        <w:top w:val="none" w:sz="0" w:space="0" w:color="auto"/>
        <w:left w:val="none" w:sz="0" w:space="0" w:color="auto"/>
        <w:bottom w:val="none" w:sz="0" w:space="0" w:color="auto"/>
        <w:right w:val="none" w:sz="0" w:space="0" w:color="auto"/>
      </w:divBdr>
    </w:div>
    <w:div w:id="957562437">
      <w:bodyDiv w:val="1"/>
      <w:marLeft w:val="0"/>
      <w:marRight w:val="0"/>
      <w:marTop w:val="0"/>
      <w:marBottom w:val="0"/>
      <w:divBdr>
        <w:top w:val="none" w:sz="0" w:space="0" w:color="auto"/>
        <w:left w:val="none" w:sz="0" w:space="0" w:color="auto"/>
        <w:bottom w:val="none" w:sz="0" w:space="0" w:color="auto"/>
        <w:right w:val="none" w:sz="0" w:space="0" w:color="auto"/>
      </w:divBdr>
    </w:div>
    <w:div w:id="996347610">
      <w:bodyDiv w:val="1"/>
      <w:marLeft w:val="0"/>
      <w:marRight w:val="0"/>
      <w:marTop w:val="0"/>
      <w:marBottom w:val="0"/>
      <w:divBdr>
        <w:top w:val="none" w:sz="0" w:space="0" w:color="auto"/>
        <w:left w:val="none" w:sz="0" w:space="0" w:color="auto"/>
        <w:bottom w:val="none" w:sz="0" w:space="0" w:color="auto"/>
        <w:right w:val="none" w:sz="0" w:space="0" w:color="auto"/>
      </w:divBdr>
    </w:div>
    <w:div w:id="1056200200">
      <w:bodyDiv w:val="1"/>
      <w:marLeft w:val="0"/>
      <w:marRight w:val="0"/>
      <w:marTop w:val="0"/>
      <w:marBottom w:val="0"/>
      <w:divBdr>
        <w:top w:val="none" w:sz="0" w:space="0" w:color="auto"/>
        <w:left w:val="none" w:sz="0" w:space="0" w:color="auto"/>
        <w:bottom w:val="none" w:sz="0" w:space="0" w:color="auto"/>
        <w:right w:val="none" w:sz="0" w:space="0" w:color="auto"/>
      </w:divBdr>
    </w:div>
    <w:div w:id="1118185129">
      <w:bodyDiv w:val="1"/>
      <w:marLeft w:val="0"/>
      <w:marRight w:val="0"/>
      <w:marTop w:val="0"/>
      <w:marBottom w:val="0"/>
      <w:divBdr>
        <w:top w:val="none" w:sz="0" w:space="0" w:color="auto"/>
        <w:left w:val="none" w:sz="0" w:space="0" w:color="auto"/>
        <w:bottom w:val="none" w:sz="0" w:space="0" w:color="auto"/>
        <w:right w:val="none" w:sz="0" w:space="0" w:color="auto"/>
      </w:divBdr>
    </w:div>
    <w:div w:id="1218512729">
      <w:bodyDiv w:val="1"/>
      <w:marLeft w:val="0"/>
      <w:marRight w:val="0"/>
      <w:marTop w:val="0"/>
      <w:marBottom w:val="0"/>
      <w:divBdr>
        <w:top w:val="none" w:sz="0" w:space="0" w:color="auto"/>
        <w:left w:val="none" w:sz="0" w:space="0" w:color="auto"/>
        <w:bottom w:val="none" w:sz="0" w:space="0" w:color="auto"/>
        <w:right w:val="none" w:sz="0" w:space="0" w:color="auto"/>
      </w:divBdr>
    </w:div>
    <w:div w:id="1273516039">
      <w:bodyDiv w:val="1"/>
      <w:marLeft w:val="0"/>
      <w:marRight w:val="0"/>
      <w:marTop w:val="0"/>
      <w:marBottom w:val="0"/>
      <w:divBdr>
        <w:top w:val="none" w:sz="0" w:space="0" w:color="auto"/>
        <w:left w:val="none" w:sz="0" w:space="0" w:color="auto"/>
        <w:bottom w:val="none" w:sz="0" w:space="0" w:color="auto"/>
        <w:right w:val="none" w:sz="0" w:space="0" w:color="auto"/>
      </w:divBdr>
    </w:div>
    <w:div w:id="1301570932">
      <w:bodyDiv w:val="1"/>
      <w:marLeft w:val="0"/>
      <w:marRight w:val="0"/>
      <w:marTop w:val="0"/>
      <w:marBottom w:val="0"/>
      <w:divBdr>
        <w:top w:val="none" w:sz="0" w:space="0" w:color="auto"/>
        <w:left w:val="none" w:sz="0" w:space="0" w:color="auto"/>
        <w:bottom w:val="none" w:sz="0" w:space="0" w:color="auto"/>
        <w:right w:val="none" w:sz="0" w:space="0" w:color="auto"/>
      </w:divBdr>
    </w:div>
    <w:div w:id="1330252179">
      <w:bodyDiv w:val="1"/>
      <w:marLeft w:val="0"/>
      <w:marRight w:val="0"/>
      <w:marTop w:val="0"/>
      <w:marBottom w:val="0"/>
      <w:divBdr>
        <w:top w:val="none" w:sz="0" w:space="0" w:color="auto"/>
        <w:left w:val="none" w:sz="0" w:space="0" w:color="auto"/>
        <w:bottom w:val="none" w:sz="0" w:space="0" w:color="auto"/>
        <w:right w:val="none" w:sz="0" w:space="0" w:color="auto"/>
      </w:divBdr>
    </w:div>
    <w:div w:id="1335262320">
      <w:bodyDiv w:val="1"/>
      <w:marLeft w:val="0"/>
      <w:marRight w:val="0"/>
      <w:marTop w:val="0"/>
      <w:marBottom w:val="0"/>
      <w:divBdr>
        <w:top w:val="none" w:sz="0" w:space="0" w:color="auto"/>
        <w:left w:val="none" w:sz="0" w:space="0" w:color="auto"/>
        <w:bottom w:val="none" w:sz="0" w:space="0" w:color="auto"/>
        <w:right w:val="none" w:sz="0" w:space="0" w:color="auto"/>
      </w:divBdr>
    </w:div>
    <w:div w:id="1451433934">
      <w:bodyDiv w:val="1"/>
      <w:marLeft w:val="0"/>
      <w:marRight w:val="0"/>
      <w:marTop w:val="0"/>
      <w:marBottom w:val="0"/>
      <w:divBdr>
        <w:top w:val="none" w:sz="0" w:space="0" w:color="auto"/>
        <w:left w:val="none" w:sz="0" w:space="0" w:color="auto"/>
        <w:bottom w:val="none" w:sz="0" w:space="0" w:color="auto"/>
        <w:right w:val="none" w:sz="0" w:space="0" w:color="auto"/>
      </w:divBdr>
    </w:div>
    <w:div w:id="1452047414">
      <w:bodyDiv w:val="1"/>
      <w:marLeft w:val="0"/>
      <w:marRight w:val="0"/>
      <w:marTop w:val="0"/>
      <w:marBottom w:val="0"/>
      <w:divBdr>
        <w:top w:val="none" w:sz="0" w:space="0" w:color="auto"/>
        <w:left w:val="none" w:sz="0" w:space="0" w:color="auto"/>
        <w:bottom w:val="none" w:sz="0" w:space="0" w:color="auto"/>
        <w:right w:val="none" w:sz="0" w:space="0" w:color="auto"/>
      </w:divBdr>
    </w:div>
    <w:div w:id="1481657158">
      <w:bodyDiv w:val="1"/>
      <w:marLeft w:val="0"/>
      <w:marRight w:val="0"/>
      <w:marTop w:val="0"/>
      <w:marBottom w:val="0"/>
      <w:divBdr>
        <w:top w:val="none" w:sz="0" w:space="0" w:color="auto"/>
        <w:left w:val="none" w:sz="0" w:space="0" w:color="auto"/>
        <w:bottom w:val="none" w:sz="0" w:space="0" w:color="auto"/>
        <w:right w:val="none" w:sz="0" w:space="0" w:color="auto"/>
      </w:divBdr>
    </w:div>
    <w:div w:id="1483697906">
      <w:bodyDiv w:val="1"/>
      <w:marLeft w:val="0"/>
      <w:marRight w:val="0"/>
      <w:marTop w:val="0"/>
      <w:marBottom w:val="0"/>
      <w:divBdr>
        <w:top w:val="none" w:sz="0" w:space="0" w:color="auto"/>
        <w:left w:val="none" w:sz="0" w:space="0" w:color="auto"/>
        <w:bottom w:val="none" w:sz="0" w:space="0" w:color="auto"/>
        <w:right w:val="none" w:sz="0" w:space="0" w:color="auto"/>
      </w:divBdr>
    </w:div>
    <w:div w:id="1528715358">
      <w:bodyDiv w:val="1"/>
      <w:marLeft w:val="0"/>
      <w:marRight w:val="0"/>
      <w:marTop w:val="0"/>
      <w:marBottom w:val="0"/>
      <w:divBdr>
        <w:top w:val="none" w:sz="0" w:space="0" w:color="auto"/>
        <w:left w:val="none" w:sz="0" w:space="0" w:color="auto"/>
        <w:bottom w:val="none" w:sz="0" w:space="0" w:color="auto"/>
        <w:right w:val="none" w:sz="0" w:space="0" w:color="auto"/>
      </w:divBdr>
    </w:div>
    <w:div w:id="1529565339">
      <w:bodyDiv w:val="1"/>
      <w:marLeft w:val="0"/>
      <w:marRight w:val="0"/>
      <w:marTop w:val="0"/>
      <w:marBottom w:val="0"/>
      <w:divBdr>
        <w:top w:val="none" w:sz="0" w:space="0" w:color="auto"/>
        <w:left w:val="none" w:sz="0" w:space="0" w:color="auto"/>
        <w:bottom w:val="none" w:sz="0" w:space="0" w:color="auto"/>
        <w:right w:val="none" w:sz="0" w:space="0" w:color="auto"/>
      </w:divBdr>
    </w:div>
    <w:div w:id="1598565119">
      <w:bodyDiv w:val="1"/>
      <w:marLeft w:val="0"/>
      <w:marRight w:val="0"/>
      <w:marTop w:val="0"/>
      <w:marBottom w:val="0"/>
      <w:divBdr>
        <w:top w:val="none" w:sz="0" w:space="0" w:color="auto"/>
        <w:left w:val="none" w:sz="0" w:space="0" w:color="auto"/>
        <w:bottom w:val="none" w:sz="0" w:space="0" w:color="auto"/>
        <w:right w:val="none" w:sz="0" w:space="0" w:color="auto"/>
      </w:divBdr>
    </w:div>
    <w:div w:id="1677809297">
      <w:bodyDiv w:val="1"/>
      <w:marLeft w:val="0"/>
      <w:marRight w:val="0"/>
      <w:marTop w:val="0"/>
      <w:marBottom w:val="0"/>
      <w:divBdr>
        <w:top w:val="none" w:sz="0" w:space="0" w:color="auto"/>
        <w:left w:val="none" w:sz="0" w:space="0" w:color="auto"/>
        <w:bottom w:val="none" w:sz="0" w:space="0" w:color="auto"/>
        <w:right w:val="none" w:sz="0" w:space="0" w:color="auto"/>
      </w:divBdr>
    </w:div>
    <w:div w:id="1690840039">
      <w:bodyDiv w:val="1"/>
      <w:marLeft w:val="0"/>
      <w:marRight w:val="0"/>
      <w:marTop w:val="0"/>
      <w:marBottom w:val="0"/>
      <w:divBdr>
        <w:top w:val="none" w:sz="0" w:space="0" w:color="auto"/>
        <w:left w:val="none" w:sz="0" w:space="0" w:color="auto"/>
        <w:bottom w:val="none" w:sz="0" w:space="0" w:color="auto"/>
        <w:right w:val="none" w:sz="0" w:space="0" w:color="auto"/>
      </w:divBdr>
    </w:div>
    <w:div w:id="1705053677">
      <w:bodyDiv w:val="1"/>
      <w:marLeft w:val="0"/>
      <w:marRight w:val="0"/>
      <w:marTop w:val="0"/>
      <w:marBottom w:val="0"/>
      <w:divBdr>
        <w:top w:val="none" w:sz="0" w:space="0" w:color="auto"/>
        <w:left w:val="none" w:sz="0" w:space="0" w:color="auto"/>
        <w:bottom w:val="none" w:sz="0" w:space="0" w:color="auto"/>
        <w:right w:val="none" w:sz="0" w:space="0" w:color="auto"/>
      </w:divBdr>
    </w:div>
    <w:div w:id="1712420651">
      <w:bodyDiv w:val="1"/>
      <w:marLeft w:val="0"/>
      <w:marRight w:val="0"/>
      <w:marTop w:val="0"/>
      <w:marBottom w:val="0"/>
      <w:divBdr>
        <w:top w:val="none" w:sz="0" w:space="0" w:color="auto"/>
        <w:left w:val="none" w:sz="0" w:space="0" w:color="auto"/>
        <w:bottom w:val="none" w:sz="0" w:space="0" w:color="auto"/>
        <w:right w:val="none" w:sz="0" w:space="0" w:color="auto"/>
      </w:divBdr>
    </w:div>
    <w:div w:id="1746338559">
      <w:bodyDiv w:val="1"/>
      <w:marLeft w:val="0"/>
      <w:marRight w:val="0"/>
      <w:marTop w:val="0"/>
      <w:marBottom w:val="0"/>
      <w:divBdr>
        <w:top w:val="none" w:sz="0" w:space="0" w:color="auto"/>
        <w:left w:val="none" w:sz="0" w:space="0" w:color="auto"/>
        <w:bottom w:val="none" w:sz="0" w:space="0" w:color="auto"/>
        <w:right w:val="none" w:sz="0" w:space="0" w:color="auto"/>
      </w:divBdr>
    </w:div>
    <w:div w:id="1804031730">
      <w:bodyDiv w:val="1"/>
      <w:marLeft w:val="0"/>
      <w:marRight w:val="0"/>
      <w:marTop w:val="0"/>
      <w:marBottom w:val="0"/>
      <w:divBdr>
        <w:top w:val="none" w:sz="0" w:space="0" w:color="auto"/>
        <w:left w:val="none" w:sz="0" w:space="0" w:color="auto"/>
        <w:bottom w:val="none" w:sz="0" w:space="0" w:color="auto"/>
        <w:right w:val="none" w:sz="0" w:space="0" w:color="auto"/>
      </w:divBdr>
    </w:div>
    <w:div w:id="1921676540">
      <w:bodyDiv w:val="1"/>
      <w:marLeft w:val="0"/>
      <w:marRight w:val="0"/>
      <w:marTop w:val="0"/>
      <w:marBottom w:val="0"/>
      <w:divBdr>
        <w:top w:val="none" w:sz="0" w:space="0" w:color="auto"/>
        <w:left w:val="none" w:sz="0" w:space="0" w:color="auto"/>
        <w:bottom w:val="none" w:sz="0" w:space="0" w:color="auto"/>
        <w:right w:val="none" w:sz="0" w:space="0" w:color="auto"/>
      </w:divBdr>
    </w:div>
    <w:div w:id="2035840569">
      <w:bodyDiv w:val="1"/>
      <w:marLeft w:val="0"/>
      <w:marRight w:val="0"/>
      <w:marTop w:val="0"/>
      <w:marBottom w:val="0"/>
      <w:divBdr>
        <w:top w:val="none" w:sz="0" w:space="0" w:color="auto"/>
        <w:left w:val="none" w:sz="0" w:space="0" w:color="auto"/>
        <w:bottom w:val="none" w:sz="0" w:space="0" w:color="auto"/>
        <w:right w:val="none" w:sz="0" w:space="0" w:color="auto"/>
      </w:divBdr>
    </w:div>
    <w:div w:id="2052144642">
      <w:bodyDiv w:val="1"/>
      <w:marLeft w:val="0"/>
      <w:marRight w:val="0"/>
      <w:marTop w:val="0"/>
      <w:marBottom w:val="0"/>
      <w:divBdr>
        <w:top w:val="none" w:sz="0" w:space="0" w:color="auto"/>
        <w:left w:val="none" w:sz="0" w:space="0" w:color="auto"/>
        <w:bottom w:val="none" w:sz="0" w:space="0" w:color="auto"/>
        <w:right w:val="none" w:sz="0" w:space="0" w:color="auto"/>
      </w:divBdr>
    </w:div>
    <w:div w:id="2128311403">
      <w:bodyDiv w:val="1"/>
      <w:marLeft w:val="0"/>
      <w:marRight w:val="0"/>
      <w:marTop w:val="0"/>
      <w:marBottom w:val="0"/>
      <w:divBdr>
        <w:top w:val="none" w:sz="0" w:space="0" w:color="auto"/>
        <w:left w:val="none" w:sz="0" w:space="0" w:color="auto"/>
        <w:bottom w:val="none" w:sz="0" w:space="0" w:color="auto"/>
        <w:right w:val="none" w:sz="0" w:space="0" w:color="auto"/>
      </w:divBdr>
    </w:div>
    <w:div w:id="213158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www.budget.gov.au" TargetMode="Externa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7.emf"/><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6.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Budget%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7571fde376dbe1ffea08831cec20a6be">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3b7f4dd7f9a17a6f45efef350b3b244b"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EV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MudmapEVID xmlns="9115ddca-c623-419f-a3c0-6a1c58c4dac8"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Notes xmlns="9115ddca-c623-419f-a3c0-6a1c58c4dac8" xsi:nil="true"/>
    <Date_x005f_x0020_of_x005f_x0020_Creation xmlns="244fe85f-b655-4145-9b20-543b75dc1c24" xsi:nil="true"/>
    <Image xmlns="9115ddca-c623-419f-a3c0-6a1c58c4dac8" xsi:nil="true"/>
    <LetterID xmlns="9115ddca-c623-419f-a3c0-6a1c58c4dac8" xsi:nil="true"/>
  </documentManagement>
</p:properties>
</file>

<file path=customXml/itemProps1.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customXml/itemProps2.xml><?xml version="1.0" encoding="utf-8"?>
<ds:datastoreItem xmlns:ds="http://schemas.openxmlformats.org/officeDocument/2006/customXml" ds:itemID="{F315DC9C-9DD6-4E0E-9294-363581A8340A}">
  <ds:schemaRefs>
    <ds:schemaRef ds:uri="http://schemas.microsoft.com/sharepoint/v3/contenttype/forms"/>
  </ds:schemaRefs>
</ds:datastoreItem>
</file>

<file path=customXml/itemProps3.xml><?xml version="1.0" encoding="utf-8"?>
<ds:datastoreItem xmlns:ds="http://schemas.openxmlformats.org/officeDocument/2006/customXml" ds:itemID="{7C0C6139-DE9E-4F11-9B8E-19C6080D0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157A63-D61A-4497-B95B-9CAB7A3EB8C4}">
  <ds:schemaRefs>
    <ds:schemaRef ds:uri="http://purl.org/dc/elements/1.1/"/>
    <ds:schemaRef ds:uri="http://schemas.microsoft.com/office/infopath/2007/PartnerControls"/>
    <ds:schemaRef ds:uri="9115ddca-c623-419f-a3c0-6a1c58c4dac8"/>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244fe85f-b655-4145-9b20-543b75dc1c24"/>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Budget Template.dotm</Template>
  <TotalTime>152</TotalTime>
  <Pages>26</Pages>
  <Words>7606</Words>
  <Characters>39897</Characters>
  <Application>Microsoft Office Word</Application>
  <DocSecurity>0</DocSecurity>
  <Lines>3022</Lines>
  <Paragraphs>1970</Paragraphs>
  <ScaleCrop>false</ScaleCrop>
  <HeadingPairs>
    <vt:vector size="2" baseType="variant">
      <vt:variant>
        <vt:lpstr>Title</vt:lpstr>
      </vt:variant>
      <vt:variant>
        <vt:i4>1</vt:i4>
      </vt:variant>
    </vt:vector>
  </HeadingPairs>
  <TitlesOfParts>
    <vt:vector size="1" baseType="lpstr">
      <vt:lpstr>Budget Paper No. 1</vt:lpstr>
    </vt:vector>
  </TitlesOfParts>
  <Company/>
  <LinksUpToDate>false</LinksUpToDate>
  <CharactersWithSpaces>46052</CharactersWithSpaces>
  <SharedDoc>false</SharedDoc>
  <HLinks>
    <vt:vector size="48" baseType="variant">
      <vt:variant>
        <vt:i4>5374022</vt:i4>
      </vt:variant>
      <vt:variant>
        <vt:i4>146</vt:i4>
      </vt:variant>
      <vt:variant>
        <vt:i4>0</vt:i4>
      </vt:variant>
      <vt:variant>
        <vt:i4>5</vt:i4>
      </vt:variant>
      <vt:variant>
        <vt:lpwstr>http://www.budget.gov.au/</vt:lpwstr>
      </vt:variant>
      <vt:variant>
        <vt:lpwstr/>
      </vt:variant>
      <vt:variant>
        <vt:i4>1179710</vt:i4>
      </vt:variant>
      <vt:variant>
        <vt:i4>54</vt:i4>
      </vt:variant>
      <vt:variant>
        <vt:i4>0</vt:i4>
      </vt:variant>
      <vt:variant>
        <vt:i4>5</vt:i4>
      </vt:variant>
      <vt:variant>
        <vt:lpwstr/>
      </vt:variant>
      <vt:variant>
        <vt:lpwstr>_Toc134182351</vt:lpwstr>
      </vt:variant>
      <vt:variant>
        <vt:i4>1179710</vt:i4>
      </vt:variant>
      <vt:variant>
        <vt:i4>48</vt:i4>
      </vt:variant>
      <vt:variant>
        <vt:i4>0</vt:i4>
      </vt:variant>
      <vt:variant>
        <vt:i4>5</vt:i4>
      </vt:variant>
      <vt:variant>
        <vt:lpwstr/>
      </vt:variant>
      <vt:variant>
        <vt:lpwstr>_Toc134182350</vt:lpwstr>
      </vt:variant>
      <vt:variant>
        <vt:i4>1245246</vt:i4>
      </vt:variant>
      <vt:variant>
        <vt:i4>42</vt:i4>
      </vt:variant>
      <vt:variant>
        <vt:i4>0</vt:i4>
      </vt:variant>
      <vt:variant>
        <vt:i4>5</vt:i4>
      </vt:variant>
      <vt:variant>
        <vt:lpwstr/>
      </vt:variant>
      <vt:variant>
        <vt:lpwstr>_Toc134182349</vt:lpwstr>
      </vt:variant>
      <vt:variant>
        <vt:i4>1245246</vt:i4>
      </vt:variant>
      <vt:variant>
        <vt:i4>36</vt:i4>
      </vt:variant>
      <vt:variant>
        <vt:i4>0</vt:i4>
      </vt:variant>
      <vt:variant>
        <vt:i4>5</vt:i4>
      </vt:variant>
      <vt:variant>
        <vt:lpwstr/>
      </vt:variant>
      <vt:variant>
        <vt:lpwstr>_Toc134182348</vt:lpwstr>
      </vt:variant>
      <vt:variant>
        <vt:i4>1245246</vt:i4>
      </vt:variant>
      <vt:variant>
        <vt:i4>30</vt:i4>
      </vt:variant>
      <vt:variant>
        <vt:i4>0</vt:i4>
      </vt:variant>
      <vt:variant>
        <vt:i4>5</vt:i4>
      </vt:variant>
      <vt:variant>
        <vt:lpwstr/>
      </vt:variant>
      <vt:variant>
        <vt:lpwstr>_Toc134182347</vt:lpwstr>
      </vt:variant>
      <vt:variant>
        <vt:i4>1245246</vt:i4>
      </vt:variant>
      <vt:variant>
        <vt:i4>24</vt:i4>
      </vt:variant>
      <vt:variant>
        <vt:i4>0</vt:i4>
      </vt:variant>
      <vt:variant>
        <vt:i4>5</vt:i4>
      </vt:variant>
      <vt:variant>
        <vt:lpwstr/>
      </vt:variant>
      <vt:variant>
        <vt:lpwstr>_Toc134182346</vt:lpwstr>
      </vt:variant>
      <vt:variant>
        <vt:i4>1245246</vt:i4>
      </vt:variant>
      <vt:variant>
        <vt:i4>18</vt:i4>
      </vt:variant>
      <vt:variant>
        <vt:i4>0</vt:i4>
      </vt:variant>
      <vt:variant>
        <vt:i4>5</vt:i4>
      </vt:variant>
      <vt:variant>
        <vt:lpwstr/>
      </vt:variant>
      <vt:variant>
        <vt:lpwstr>_Toc134182344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Paper No. 1</dc:title>
  <dc:subject>Statement 5: Revenue</dc:subject>
  <dc:creator>Australian Government</dc:creator>
  <cp:keywords/>
  <dc:description/>
  <cp:lastModifiedBy>Hill, Christine</cp:lastModifiedBy>
  <cp:revision>87</cp:revision>
  <cp:lastPrinted>2024-05-12T02:17:00Z</cp:lastPrinted>
  <dcterms:created xsi:type="dcterms:W3CDTF">2024-05-10T08:18:00Z</dcterms:created>
  <dcterms:modified xsi:type="dcterms:W3CDTF">2024-05-13T04:30:00Z</dcterms:modified>
</cp:coreProperties>
</file>